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48"/>
          <w:szCs w:val="48"/>
        </w:rPr>
        <w:t xml:space="preserve">A Study on Scalability and Performance of SQL and NoSQL Databases</w:t>
      </w:r>
    </w:p>
    <w:tbl>
      <w:tblPr>
        <w:tblW w:type="dxa" w:w="10120"/>
        <w:tblBorders>
          <w:top w:val="none"/>
          <w:left w:val="none"/>
          <w:bottom w:val="none"/>
          <w:right w:val="none"/>
          <w:insideH w:val="single" w:color="auto" w:sz="4"/>
          <w:insideV w:val="single" w:color="auto" w:sz="4"/>
        </w:tblBorders>
      </w:tblPr>
      <w:tblGrid>
        <w:gridCol w:w="5060"/>
        <w:gridCol w:w="5060"/>
      </w:tblGrid>
      <w:tr>
        <w:tc>
          <w:tcPr>
            <w:tcW w:type="dxa" w:w="5060"/>
            <w:tcBorders>
              <w:top w:val="none"/>
              <w:left w:val="none"/>
              <w:bottom w:val="none"/>
              <w:right w:val="none"/>
            </w:tcBorders>
          </w:tcPr>
          <w:p>
            <w:pPr>
              <w:spacing w:after="0" w:before="0"/>
              <w:jc w:val="center"/>
            </w:pPr>
            <w:r>
              <w:rPr>
                <w:rFonts w:ascii="Times New Roman" w:cs="Times New Roman" w:eastAsia="Times New Roman" w:hAnsi="Times New Roman"/>
                <w:b/>
                <w:bCs/>
                <w:sz w:val="22"/>
                <w:szCs w:val="22"/>
              </w:rPr>
              <w:t xml:space="preserve">Japish Bagga</w:t>
            </w:r>
          </w:p>
          <w:p>
            <w:pPr>
              <w:spacing w:after="0" w:before="0"/>
              <w:jc w:val="center"/>
            </w:pPr>
            <w:r>
              <w:rPr>
                <w:rFonts w:ascii="Times New Roman" w:cs="Times New Roman" w:eastAsia="Times New Roman" w:hAnsi="Times New Roman"/>
                <w:i/>
                <w:iCs/>
                <w:sz w:val="18"/>
                <w:szCs w:val="18"/>
              </w:rPr>
              <w:t xml:space="preserve">Dept. of Computer Science and Engineering</w:t>
            </w:r>
          </w:p>
          <w:p>
            <w:pPr>
              <w:spacing w:after="0" w:before="0"/>
              <w:jc w:val="center"/>
            </w:pPr>
            <w:r>
              <w:rPr>
                <w:rFonts w:ascii="Times New Roman" w:cs="Times New Roman" w:eastAsia="Times New Roman" w:hAnsi="Times New Roman"/>
                <w:i/>
                <w:iCs/>
                <w:sz w:val="18"/>
                <w:szCs w:val="18"/>
              </w:rPr>
              <w:t xml:space="preserve">Chitkara University Institute of Engineering and Technology</w:t>
            </w:r>
          </w:p>
          <w:p>
            <w:pPr>
              <w:spacing w:after="60" w:before="0"/>
              <w:jc w:val="center"/>
            </w:pPr>
            <w:r>
              <w:rPr>
                <w:rFonts w:ascii="Times New Roman" w:cs="Times New Roman" w:eastAsia="Times New Roman" w:hAnsi="Times New Roman"/>
                <w:sz w:val="18"/>
                <w:szCs w:val="18"/>
              </w:rPr>
              <w:t xml:space="preserve">2210990432</w:t>
            </w:r>
          </w:p>
          <w:p>
            <w:pPr>
              <w:spacing w:after="0" w:before="0"/>
              <w:jc w:val="center"/>
            </w:pPr>
            <w:r>
              <w:rPr>
                <w:rFonts w:ascii="Times New Roman" w:cs="Times New Roman" w:eastAsia="Times New Roman" w:hAnsi="Times New Roman"/>
                <w:b/>
                <w:bCs/>
                <w:sz w:val="22"/>
                <w:szCs w:val="22"/>
              </w:rPr>
              <w:t xml:space="preserve">Pratham Chaudhary</w:t>
            </w:r>
          </w:p>
          <w:p>
            <w:pPr>
              <w:spacing w:after="0" w:before="0"/>
              <w:jc w:val="center"/>
            </w:pPr>
            <w:r>
              <w:rPr>
                <w:rFonts w:ascii="Times New Roman" w:cs="Times New Roman" w:eastAsia="Times New Roman" w:hAnsi="Times New Roman"/>
                <w:i/>
                <w:iCs/>
                <w:sz w:val="18"/>
                <w:szCs w:val="18"/>
              </w:rPr>
              <w:t xml:space="preserve">Dept. of Computer Science and Engineering</w:t>
            </w:r>
          </w:p>
          <w:p>
            <w:pPr>
              <w:spacing w:after="0" w:before="0"/>
              <w:jc w:val="center"/>
            </w:pPr>
            <w:r>
              <w:rPr>
                <w:rFonts w:ascii="Times New Roman" w:cs="Times New Roman" w:eastAsia="Times New Roman" w:hAnsi="Times New Roman"/>
                <w:i/>
                <w:iCs/>
                <w:sz w:val="18"/>
                <w:szCs w:val="18"/>
              </w:rPr>
              <w:t xml:space="preserve">Chitkara University Institute of Engineering and Technology</w:t>
            </w:r>
          </w:p>
          <w:p>
            <w:pPr>
              <w:spacing w:after="0" w:before="0"/>
              <w:jc w:val="center"/>
            </w:pPr>
            <w:r>
              <w:rPr>
                <w:rFonts w:ascii="Times New Roman" w:cs="Times New Roman" w:eastAsia="Times New Roman" w:hAnsi="Times New Roman"/>
                <w:sz w:val="18"/>
                <w:szCs w:val="18"/>
              </w:rPr>
              <w:t xml:space="preserve">2210992073</w:t>
            </w:r>
          </w:p>
        </w:tc>
        <w:tc>
          <w:tcPr>
            <w:tcW w:type="dxa" w:w="5060"/>
            <w:tcBorders>
              <w:top w:val="none"/>
              <w:left w:val="none"/>
              <w:bottom w:val="none"/>
              <w:right w:val="none"/>
            </w:tcBorders>
          </w:tcPr>
          <w:p>
            <w:pPr>
              <w:spacing w:after="0" w:before="0"/>
              <w:jc w:val="center"/>
            </w:pPr>
            <w:r>
              <w:rPr>
                <w:rFonts w:ascii="Times New Roman" w:cs="Times New Roman" w:eastAsia="Times New Roman" w:hAnsi="Times New Roman"/>
                <w:b/>
                <w:bCs/>
                <w:sz w:val="22"/>
                <w:szCs w:val="22"/>
              </w:rPr>
              <w:t xml:space="preserve">Jashanjot Singh</w:t>
            </w:r>
          </w:p>
          <w:p>
            <w:pPr>
              <w:spacing w:after="0" w:before="0"/>
              <w:jc w:val="center"/>
            </w:pPr>
            <w:r>
              <w:rPr>
                <w:rFonts w:ascii="Times New Roman" w:cs="Times New Roman" w:eastAsia="Times New Roman" w:hAnsi="Times New Roman"/>
                <w:i/>
                <w:iCs/>
                <w:sz w:val="18"/>
                <w:szCs w:val="18"/>
              </w:rPr>
              <w:t xml:space="preserve">Dept. of Computer Science and Engineering</w:t>
            </w:r>
          </w:p>
          <w:p>
            <w:pPr>
              <w:spacing w:after="0" w:before="0"/>
              <w:jc w:val="center"/>
            </w:pPr>
            <w:r>
              <w:rPr>
                <w:rFonts w:ascii="Times New Roman" w:cs="Times New Roman" w:eastAsia="Times New Roman" w:hAnsi="Times New Roman"/>
                <w:i/>
                <w:iCs/>
                <w:sz w:val="18"/>
                <w:szCs w:val="18"/>
              </w:rPr>
              <w:t xml:space="preserve">Chitkara University Institute of Engineering and Technology</w:t>
            </w:r>
          </w:p>
          <w:p>
            <w:pPr>
              <w:spacing w:after="60" w:before="0"/>
              <w:jc w:val="center"/>
            </w:pPr>
            <w:r>
              <w:rPr>
                <w:rFonts w:ascii="Times New Roman" w:cs="Times New Roman" w:eastAsia="Times New Roman" w:hAnsi="Times New Roman"/>
                <w:sz w:val="18"/>
                <w:szCs w:val="18"/>
              </w:rPr>
              <w:t xml:space="preserve">2210990441</w:t>
            </w:r>
          </w:p>
          <w:p>
            <w:pPr>
              <w:spacing w:after="0" w:before="0"/>
              <w:jc w:val="center"/>
            </w:pPr>
            <w:r>
              <w:rPr>
                <w:rFonts w:ascii="Times New Roman" w:cs="Times New Roman" w:eastAsia="Times New Roman" w:hAnsi="Times New Roman"/>
                <w:b/>
                <w:bCs/>
                <w:sz w:val="22"/>
                <w:szCs w:val="22"/>
              </w:rPr>
              <w:t xml:space="preserve">Abhay Singh Mankotia</w:t>
            </w:r>
          </w:p>
          <w:p>
            <w:pPr>
              <w:spacing w:after="0" w:before="0"/>
              <w:jc w:val="center"/>
            </w:pPr>
            <w:r>
              <w:rPr>
                <w:rFonts w:ascii="Times New Roman" w:cs="Times New Roman" w:eastAsia="Times New Roman" w:hAnsi="Times New Roman"/>
                <w:i/>
                <w:iCs/>
                <w:sz w:val="18"/>
                <w:szCs w:val="18"/>
              </w:rPr>
              <w:t xml:space="preserve">Dept. of Computer Science and Engineering</w:t>
            </w:r>
          </w:p>
          <w:p>
            <w:pPr>
              <w:spacing w:after="0" w:before="0"/>
              <w:jc w:val="center"/>
            </w:pPr>
            <w:r>
              <w:rPr>
                <w:rFonts w:ascii="Times New Roman" w:cs="Times New Roman" w:eastAsia="Times New Roman" w:hAnsi="Times New Roman"/>
                <w:i/>
                <w:iCs/>
                <w:sz w:val="18"/>
                <w:szCs w:val="18"/>
              </w:rPr>
              <w:t xml:space="preserve">Chitkara University Institute of Engineering and Technology</w:t>
            </w:r>
          </w:p>
          <w:p>
            <w:pPr>
              <w:spacing w:after="0" w:before="0"/>
              <w:jc w:val="center"/>
            </w:pPr>
            <w:r>
              <w:rPr>
                <w:rFonts w:ascii="Times New Roman" w:cs="Times New Roman" w:eastAsia="Times New Roman" w:hAnsi="Times New Roman"/>
                <w:sz w:val="18"/>
                <w:szCs w:val="18"/>
              </w:rPr>
              <w:t xml:space="preserve">2210991148</w:t>
            </w:r>
          </w:p>
        </w:tc>
      </w:tr>
    </w:tbl>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jc w:val="both"/>
      </w:pPr>
      <w:r>
        <w:rPr>
          <w:rFonts w:ascii="Times New Roman" w:cs="Times New Roman" w:eastAsia="Times New Roman" w:hAnsi="Times New Roman"/>
          <w:b/>
          <w:bCs/>
          <w:i w:val="false"/>
          <w:iCs w:val="false"/>
          <w:sz w:val="20"/>
          <w:szCs w:val="20"/>
        </w:rPr>
        <w:t xml:space="preserve">Abstract</w:t>
      </w:r>
      <w:r>
        <w:rPr>
          <w:rFonts w:ascii="Times New Roman" w:cs="Times New Roman" w:eastAsia="Times New Roman" w:hAnsi="Times New Roman"/>
          <w:b w:val="false"/>
          <w:bCs w:val="false"/>
          <w:i w:val="false"/>
          <w:iCs w:val="false"/>
          <w:sz w:val="20"/>
          <w:szCs w:val="20"/>
        </w:rPr>
        <w:t xml:space="preserve">—The proliferation of diverse application workloads—spanning financial transaction processing, social-network graph traversal, real-time event streaming, and large-scale analytical aggregation—has produced a correspondingly diverse ecosystem of database management systems. The foundational divide between relational, SQL-speaking databases and their non-relational, NoSQL counterparts encapsulates a set of engineering trade-offs that no single solution resolves optimally across all dimensions. This paper presents a systematic, multi-dimensional comparison of SQL and NoSQL database paradigms, examining five orthogonal axes: data modeling and schema philosophy, query expressiveness and language maturity, ACID versus BASE consistency guarantees, horizontal scalability characteristics, and empirical throughput and latency profiles across standardized benchmark workloads. Five representative engines—PostgreSQL (relational), MongoDB (document), Redis (key-value), Apache Cassandra (wide-column), and Neo4j (graph)—serve as concrete instantiations of their respective paradigms. Benchmark results collected under the Yahoo Cloud Serving Benchmark (YCSB) framework and a custom join-heavy OLAP mix reveal that key-value stores achieve up to 22× higher read throughput than relational engines under identical hardware, while relational engines outperform all NoSQL alternatives on five-table join workloads by a factor of 8× or more. A decision framework synthesizing these findings into workload-to-engine recommendations is presented to equip practitioners and researchers with actionable guidance for architecture selection.</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jc w:val="both"/>
      </w:pPr>
      <w:r>
        <w:rPr>
          <w:rFonts w:ascii="Times New Roman" w:cs="Times New Roman" w:eastAsia="Times New Roman" w:hAnsi="Times New Roman"/>
          <w:b w:val="false"/>
          <w:bCs w:val="false"/>
          <w:i/>
          <w:iCs/>
          <w:sz w:val="20"/>
          <w:szCs w:val="20"/>
        </w:rPr>
        <w:t xml:space="preserve">Index Terms</w:t>
      </w:r>
      <w:r>
        <w:rPr>
          <w:rFonts w:ascii="Times New Roman" w:cs="Times New Roman" w:eastAsia="Times New Roman" w:hAnsi="Times New Roman"/>
          <w:b w:val="false"/>
          <w:bCs w:val="false"/>
          <w:i w:val="false"/>
          <w:iCs w:val="false"/>
          <w:sz w:val="20"/>
          <w:szCs w:val="20"/>
        </w:rPr>
        <w:t xml:space="preserve">—relational databases, NoSQL, SQL, database benchmarking, ACID, BASE consistency, scalability, CAP theorem, workload analysis, data modeling.</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ectPr>
          <w:pgSz w:w="11906" w:h="16838" w:orient="portrait"/>
          <w:pgMar w:top="540" w:right="893" w:bottom="1440" w:left="893" w:header="708" w:footer="708" w:gutter="0"/>
          <w:pgNumType/>
          <w:cols w:space="360" w:num="1" w:equalWidth="true"/>
          <w:docGrid w:linePitch="360"/>
        </w:sectPr>
      </w:pPr>
    </w:p>
    <w:p>
      <w:pPr>
        <w:spacing w:after="60" w:before="120"/>
        <w:jc w:val="center"/>
      </w:pPr>
      <w:r>
        <w:rPr>
          <w:rFonts w:ascii="Times New Roman" w:cs="Times New Roman" w:eastAsia="Times New Roman" w:hAnsi="Times New Roman"/>
          <w:b w:val="false"/>
          <w:bCs w:val="false"/>
          <w:smallCaps/>
          <w:sz w:val="20"/>
          <w:szCs w:val="20"/>
        </w:rPr>
        <w:t xml:space="preserve">I. Introduction</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relational database model, formalized by Codd in 1970 and commercialized through systems such as Oracle, IBM DB2, and later PostgreSQL and MySQL, dominated enterprise data management for more than four decades. Its foundations—normalization theory, declarative SQL query language, and the ACID transaction model—provided a principled framework that enabled organizations to build reliable, auditable, and interoperable data systems at scale. For the majority of application categories encountered before the mid-2000s, relational databases were not merely adequate but optimal: their query planners, index structures, and locking protocols were extensively studied and tuned to minimize I/O for the workloads of the era [1].</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emergence of web-scale applications changed the constraints of the problem. Systems such as Amazon’s retail platform, Google’s search index, and Facebook’s social graph confronted workloads that relational architectures had not been designed to absorb: tens of millions of concurrent users, petabyte-scale datasets, geographically distributed deployments requiring sub-second global read latency, and data structures too irregular or too deeply nested to normalize into flat relational tables without prohibitive join overhead [2]. These pressures catalyzed a wave of alternative storage engines—collectively termed NoSQL (“not only SQL”)—each optimized for a specific subset of these challenges by relaxing one or more constraints of the relational model [3].</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Four broad NoSQL families emerged: document stores (MongoDB, CouchDB) representing data as hierarchical JSON trees; key-value stores (Redis, DynamoDB) offering O(1) access to opaque byte blobs indexed by a string key; wide-column stores (Cassandra, Bigtable) organizing data into sparse, partition-keyed tables suited to time-series and analytical writes; and graph databases (Neo4j, Neptune) modeling entities and relationships as first-class objects traversable by dedicated path-query languages. Each family trades away some capability of the relational model—most commonly, multi-entity join support or strict ACID semantics—in exchange for horizontal scalability, schema flexibility, or specialized access-pattern performance [4].</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Today’s infrastructure architects face a decision space in which the correct choice is workload-dependent and the trade-offs are non-trivial. Choosing a relational database for a catalog service expected to shard across fifty nodes imposes an operational burden that a document store eliminates. Choosing a key-value store for a banking ledger abandons the transactional guarantees on which correctness depends. The empirical literature comparing these paradigms remains fragmented: individual papers benchmark one or two engines under a single workload, rendering cross-study comparison unreliable due to differing hardware, dataset sizes, and consistency settings [5].</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A. Problem Statement</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Inspection of the database selection landscape through the lens of four orthogonal requirements reveals a persistent ambiguity. No single published guide simultaneously addresses: (i) a principled taxonomy of all five major database paradigms; (ii) a consistent empirical benchmark across representative engines under identical hardware and dataset conditions; (iii) an analysis of consistency models and their operational implications; and (iv) a prescriptive decision framework mapping workload patterns to engine families with quantitative justification.</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60"/>
        <w:jc w:val="center"/>
      </w:pPr>
      <w:r>
        <w:rPr>
          <w:rFonts w:ascii="Times New Roman" w:cs="Times New Roman" w:eastAsia="Times New Roman" w:hAnsi="Times New Roman"/>
          <w:b w:val="false"/>
          <w:bCs w:val="false"/>
          <w:smallCaps/>
          <w:sz w:val="18"/>
          <w:szCs w:val="18"/>
        </w:rPr>
        <w:t xml:space="preserve">TABLE I. FOUR ORTHOGONAL REQUIREMENTS UNADDRESSED BY ANY SINGLE EXISTING COMPARATIVE STUDY</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854"/>
        <w:gridCol w:w="3026"/>
      </w:tblGrid>
      <w:tr>
        <w:trPr>
          <w:tblHeader/>
        </w:trPr>
        <w:tc>
          <w:tcPr>
            <w:tcW w:type="dxa" w:w="1854"/>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Requirement</w:t>
            </w:r>
          </w:p>
        </w:tc>
        <w:tc>
          <w:tcPr>
            <w:tcW w:type="dxa" w:w="3026"/>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Rationale for Inclusion</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Structured Schema Enforcement</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Relational databases enforce data integrity through schema definitions and constraints, reducing anomalies in transactional systems.</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Horizontal Scalability</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Modern web-scale applications require distributing data across commodity nodes; NoSQL databases are architected for this workload from the ground up.</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Flexible Data Models</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Semi-structured and polymorphic data (JSON documents, key-value pairs, graphs) cannot be cleanly mapped to fixed relational tables without significant overhead.</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Consistency Guarantees</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Financial, medical, and audit-trail applications require ACID guarantees that relational systems have provided for decades and many NoSQL systems trade away for performance.</w:t>
            </w:r>
          </w:p>
        </w:tc>
      </w:tr>
    </w:tbl>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B. Contributions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(1) A structured taxonomy of five database paradigms organized across eight evaluation dimensions, enabling side-by-side comparison of data model, query language, schema enforcement, ACID support, join capability, scalability, latency profile, and typical use case.</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(2) A controlled benchmark study using YCSB and a custom join-heavy OLAP workload mix, executed against PostgreSQL, MongoDB, Redis, Cassandra, and Neo4j under identical hardware, reporting throughput, 99th-percentile latency, and schema-migration overhead.</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(3) A workload-to-engine decision framework synthesizing benchmark results, consistency model analysis, and operational complexity into actionable architecture recommendations for seven canonical application patterns.</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60" w:before="120"/>
        <w:jc w:val="center"/>
      </w:pPr>
      <w:r>
        <w:rPr>
          <w:rFonts w:ascii="Times New Roman" w:cs="Times New Roman" w:eastAsia="Times New Roman" w:hAnsi="Times New Roman"/>
          <w:b w:val="false"/>
          <w:bCs w:val="false"/>
          <w:smallCaps/>
          <w:sz w:val="20"/>
          <w:szCs w:val="20"/>
        </w:rPr>
        <w:t xml:space="preserve">II. Literature Review</w:t>
      </w:r>
    </w:p>
    <w:p>
      <w:pPr>
        <w:spacing w:after="40" w:before="80"/>
        <w:jc w:val="left"/>
      </w:pPr>
      <w:r>
        <w:rPr>
          <w:rFonts w:ascii="Times New Roman" w:cs="Times New Roman" w:eastAsia="Times New Roman" w:hAnsi="Times New Roman"/>
          <w:b w:val="false"/>
          <w:bCs w:val="false"/>
          <w:i/>
          <w:iCs/>
          <w:sz w:val="20"/>
          <w:szCs w:val="20"/>
        </w:rPr>
        <w:t xml:space="preserve">A. Foundations of the Relational Model</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Codd’s seminal 1970 paper [1] introduced the relational model as a mathematically rigorous alternative to the hierarchical and network models that preceded it. By representing data as sets of tuples organized into relations, and by separating the logical model from its physical storage representation, Codd provided a foundation on which decades of optimization research could be accumulated. Date and Darwen [6] subsequently formalized the relational algebra that underlies SQL, and Gray and Reuter [7] codified the ACID transaction model—Atomicity, Consistency, Isolation, Durability—as the contract that relational engines must honor to guarantee correctness in concurrent, failure-prone environments. These theoretical foundations remain intact and continue to make relational databases the default choice for systems where correctness is non-negotiable.</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B. Emergence of NoSQL</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NoSQL movement gained academic recognition through Brewer’s CAP theorem [8], later formalized by Gilbert and Lynch [9], which proved that a distributed system cannot simultaneously guarantee Consistency, Availability, and Partition Tolerance. Relational systems, by prioritizing Consistency and Partition Tolerance (CP), sacrifice availability under network partitions. Early NoSQL systems—including Amazon Dynamo [10] and Google Bigtable [11]—explicitly chose Availability and Partition Tolerance (AP) over strict consistency, yielding the BASE (Basically Available, Soft-state, Eventually consistent) model articulated by Pritchett [12]. These foundational papers established the design space within which all subsequent NoSQL engines operate.</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C. Document Databases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MongoDB’s architecture is documented by Chodorow [13], who describes the WiredTiger storage engine’s document-level locking model and the aggregation pipeline’s columnar execution strategy. Cattell [14] provides a systematic survey of scalable SQL and NoSQL databases, concluding that document stores offer the broadest applicability across web-scale workloads due to their combination of schema flexibility, secondary indexing, and horizontal sharding. Meylan et al. [15] benchmarked MongoDB against PostgreSQL on e-commerce workloads and found that MongoDB’s embedded document model reduced average query latency by 43% for catalog retrieval by eliminating join operations.</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D. Key-Value and Wide-Column Stores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DeCandia et al. [10] described Amazon Dynamo’s consistent hashing ring, vector clock versioning, and sloppy quorum protocol—mechanisms that became reference architecture for subsequent key-value store implementations. Redis, documented by Carlson [16], extends the key-value model with rich data structures (sorted sets, hyperloglogs, streams) and an optional persistence layer, positioning it as a multi-purpose in-memory engine. Lakshman and Malik [17] introduced Cassandra’s wide-column model and its log-structured merge-tree (LSM-tree) storage engine, demonstrating linear write throughput scaling to hundreds of nodes.</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E. Graph Databases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Robinson et al. [18] provide the canonical reference for Neo4j’s property graph model and the Cypher query language, demonstrating that relationship traversal in a native graph store requires O(log n) edge lookups compared to O(n²) recursive self-joins in a relational database for friend-of-a-friend queries at social-network scale. Angles and Gutierrez [19] survey the theoretical underpinnings of graph data models, while Jouili and Vansteenberghe [20] benchmark four graph databases against relational alternatives on path-finding workloads, confirming that native graph engines outperform relational systems by two to three orders of magnitude on traversal-heavy queries.</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F. Comparative Benchmarks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Yahoo Cloud Serving Benchmark (YCSB), introduced by Cooper et al. [21], became the de facto standard for comparing NoSQL engines across read-dominated, write-dominated, and mixed workloads. Subsequent studies using YCSB—including Rabl et al. [22] and Abramova and Bernardino [23]—confirmed that key-value stores achieve the highest raw throughput while relational engines provide superior query expressiveness. Parker et al. [24] extended comparative analysis to NewSQL engines such as CockroachDB and Spanner. Sadalage and Fowler [25] synthesize the NoSQL landscape from a practitioner perspective, introducing the polyglot persistence pattern.</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G. Comparative Tool Analysis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Table II positions the five benchmark engines across eight evaluation dimensions. The table reveals that no single paradigm satisfies all requirements simultaneously: relational databases lead on join capability and ACID support; key-value stores lead on latency; wide-column stores lead on write throughput scalability; and graph databases lead on traversal-intensive relationship queries.</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60"/>
        <w:jc w:val="center"/>
      </w:pPr>
      <w:r>
        <w:rPr>
          <w:rFonts w:ascii="Times New Roman" w:cs="Times New Roman" w:eastAsia="Times New Roman" w:hAnsi="Times New Roman"/>
          <w:b w:val="false"/>
          <w:bCs w:val="false"/>
          <w:smallCaps/>
          <w:sz w:val="18"/>
          <w:szCs w:val="18"/>
        </w:rPr>
        <w:t xml:space="preserve">TABLE II. MULTI-DIMENSIONAL COMPARISON OF FIVE DATABASE PARADIGMS ACROSS EIGHT EVALUATION DIMENSIONS</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878"/>
        <w:gridCol w:w="805"/>
        <w:gridCol w:w="805"/>
        <w:gridCol w:w="805"/>
        <w:gridCol w:w="805"/>
        <w:gridCol w:w="782"/>
      </w:tblGrid>
      <w:tr>
        <w:trPr>
          <w:tblHeader/>
        </w:trPr>
        <w:tc>
          <w:tcPr>
            <w:tcW w:type="dxa" w:w="878"/>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Dimension</w:t>
            </w:r>
          </w:p>
        </w:tc>
        <w:tc>
          <w:tcPr>
            <w:tcW w:type="dxa" w:w="805"/>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Relational</w:t>
            </w:r>
          </w:p>
        </w:tc>
        <w:tc>
          <w:tcPr>
            <w:tcW w:type="dxa" w:w="805"/>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Document</w:t>
            </w:r>
          </w:p>
        </w:tc>
        <w:tc>
          <w:tcPr>
            <w:tcW w:type="dxa" w:w="805"/>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Key-Value</w:t>
            </w:r>
          </w:p>
        </w:tc>
        <w:tc>
          <w:tcPr>
            <w:tcW w:type="dxa" w:w="805"/>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Wide-Col.</w:t>
            </w:r>
          </w:p>
        </w:tc>
        <w:tc>
          <w:tcPr>
            <w:tcW w:type="dxa" w:w="782"/>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Graph</w:t>
            </w:r>
          </w:p>
        </w:tc>
      </w:tr>
      <w:tr>
        <w:tc>
          <w:tcPr>
            <w:tcW w:type="dxa" w:w="87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Data model</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Normalized tables</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JSON/BSON trees</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Opaque byte blobs</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Sparse col. families</w:t>
            </w:r>
          </w:p>
        </w:tc>
        <w:tc>
          <w:tcPr>
            <w:tcW w:type="dxa" w:w="782"/>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Nodes and edges</w:t>
            </w:r>
          </w:p>
        </w:tc>
      </w:tr>
      <w:tr>
        <w:tc>
          <w:tcPr>
            <w:tcW w:type="dxa" w:w="87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Query lang.</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SQL (ISO/ANSI)</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MQL/AQL/N1QL</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GET/PUT/DELETE</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CQL (Cassandra)</w:t>
            </w:r>
          </w:p>
        </w:tc>
        <w:tc>
          <w:tcPr>
            <w:tcW w:type="dxa" w:w="782"/>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Cypher/Gremlin</w:t>
            </w:r>
          </w:p>
        </w:tc>
      </w:tr>
      <w:tr>
        <w:tc>
          <w:tcPr>
            <w:tcW w:type="dxa" w:w="87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Schema</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Strict, DDL</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Flexible/schema-on-read</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Schema-less</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Flexible per row</w:t>
            </w:r>
          </w:p>
        </w:tc>
        <w:tc>
          <w:tcPr>
            <w:tcW w:type="dxa" w:w="782"/>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Property-based</w:t>
            </w:r>
          </w:p>
        </w:tc>
      </w:tr>
      <w:tr>
        <w:tc>
          <w:tcPr>
            <w:tcW w:type="dxa" w:w="87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ACID</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Full (native)</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Partial (4.0+)</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None</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Eventual (tunable)</w:t>
            </w:r>
          </w:p>
        </w:tc>
        <w:tc>
          <w:tcPr>
            <w:tcW w:type="dxa" w:w="782"/>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Full (Neo4j)</w:t>
            </w:r>
          </w:p>
        </w:tc>
      </w:tr>
      <w:tr>
        <w:tc>
          <w:tcPr>
            <w:tcW w:type="dxa" w:w="87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Join</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Native multi-table</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Embedded docs</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None (app-side)</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Limited</w:t>
            </w:r>
          </w:p>
        </w:tc>
        <w:tc>
          <w:tcPr>
            <w:tcW w:type="dxa" w:w="782"/>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Traversal (native)</w:t>
            </w:r>
          </w:p>
        </w:tc>
      </w:tr>
      <w:tr>
        <w:tc>
          <w:tcPr>
            <w:tcW w:type="dxa" w:w="87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H. Scale</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Difficult</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Native sharding</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Native sharding</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Native sharding</w:t>
            </w:r>
          </w:p>
        </w:tc>
        <w:tc>
          <w:tcPr>
            <w:tcW w:type="dxa" w:w="782"/>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Limited</w:t>
            </w:r>
          </w:p>
        </w:tc>
      </w:tr>
      <w:tr>
        <w:tc>
          <w:tcPr>
            <w:tcW w:type="dxa" w:w="87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Read lat.</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Moderate</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Low</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Very low O(1)</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Low</w:t>
            </w:r>
          </w:p>
        </w:tc>
        <w:tc>
          <w:tcPr>
            <w:tcW w:type="dxa" w:w="782"/>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Variable (depth)</w:t>
            </w:r>
          </w:p>
        </w:tc>
      </w:tr>
      <w:tr>
        <w:tc>
          <w:tcPr>
            <w:tcW w:type="dxa" w:w="87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Use case</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ERP, banking</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Catalogs, CMS</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Sessions, cache</w:t>
            </w:r>
          </w:p>
        </w:tc>
        <w:tc>
          <w:tcPr>
            <w:tcW w:type="dxa" w:w="805"/>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Analytics, IoT</w:t>
            </w:r>
          </w:p>
        </w:tc>
        <w:tc>
          <w:tcPr>
            <w:tcW w:type="dxa" w:w="782"/>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Social, fraud</w:t>
            </w:r>
          </w:p>
        </w:tc>
      </w:tr>
    </w:tbl>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60" w:before="120"/>
        <w:jc w:val="center"/>
      </w:pPr>
      <w:r>
        <w:rPr>
          <w:rFonts w:ascii="Times New Roman" w:cs="Times New Roman" w:eastAsia="Times New Roman" w:hAnsi="Times New Roman"/>
          <w:b w:val="false"/>
          <w:bCs w:val="false"/>
          <w:smallCaps/>
          <w:sz w:val="20"/>
          <w:szCs w:val="20"/>
        </w:rPr>
        <w:t xml:space="preserve">III. Taxonomy, Data Models, and Consistency</w:t>
      </w:r>
    </w:p>
    <w:p>
      <w:pPr>
        <w:spacing w:after="40" w:before="80"/>
        <w:jc w:val="left"/>
      </w:pPr>
      <w:r>
        <w:rPr>
          <w:rFonts w:ascii="Times New Roman" w:cs="Times New Roman" w:eastAsia="Times New Roman" w:hAnsi="Times New Roman"/>
          <w:b w:val="false"/>
          <w:bCs w:val="false"/>
          <w:i/>
          <w:iCs/>
          <w:sz w:val="20"/>
          <w:szCs w:val="20"/>
        </w:rPr>
        <w:t xml:space="preserve">A. Five-Paradigm Taxonomy</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Five database paradigms occupy the contemporary landscape. Table III maps each to its canonical engines, characteristic data organization, and distinguishing properties. The taxonomy is intentionally engine-agnostic at the paradigm level: the behavioral differences described are properties of the data model and consistency protocol, not implementation artifacts of any single vendor.</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60"/>
        <w:jc w:val="center"/>
      </w:pPr>
      <w:r>
        <w:rPr>
          <w:rFonts w:ascii="Times New Roman" w:cs="Times New Roman" w:eastAsia="Times New Roman" w:hAnsi="Times New Roman"/>
          <w:b w:val="false"/>
          <w:bCs w:val="false"/>
          <w:smallCaps/>
          <w:sz w:val="18"/>
          <w:szCs w:val="18"/>
        </w:rPr>
        <w:t xml:space="preserve">TABLE III. FIVE-TIER DATABASE PARADIGM TAXONOMY</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220"/>
        <w:gridCol w:w="1610"/>
        <w:gridCol w:w="2050"/>
      </w:tblGrid>
      <w:tr>
        <w:trPr>
          <w:tblHeader/>
        </w:trPr>
        <w:tc>
          <w:tcPr>
            <w:tcW w:type="dxa" w:w="1220"/>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Tier</w:t>
            </w:r>
          </w:p>
        </w:tc>
        <w:tc>
          <w:tcPr>
            <w:tcW w:type="dxa" w:w="1610"/>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Databases</w:t>
            </w:r>
          </w:p>
        </w:tc>
        <w:tc>
          <w:tcPr>
            <w:tcW w:type="dxa" w:w="2050"/>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Characteristics</w:t>
            </w:r>
          </w:p>
        </w:tc>
      </w:tr>
      <w:tr>
        <w:tc>
          <w:tcPr>
            <w:tcW w:type="dxa" w:w="12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 — Relational/SQL</w:t>
            </w:r>
          </w:p>
        </w:tc>
        <w:tc>
          <w:tcPr>
            <w:tcW w:type="dxa" w:w="161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PostgreSQL, MySQL, Oracle, SQL Server</w:t>
            </w:r>
          </w:p>
        </w:tc>
        <w:tc>
          <w:tcPr>
            <w:tcW w:type="dxa" w:w="2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ACID-compliant, schema-enforced, optimized for complex joins, mature ecosystem.</w:t>
            </w:r>
          </w:p>
        </w:tc>
      </w:tr>
      <w:tr>
        <w:tc>
          <w:tcPr>
            <w:tcW w:type="dxa" w:w="12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2 — Document</w:t>
            </w:r>
          </w:p>
        </w:tc>
        <w:tc>
          <w:tcPr>
            <w:tcW w:type="dxa" w:w="161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MongoDB, CouchDB, Firestore</w:t>
            </w:r>
          </w:p>
        </w:tc>
        <w:tc>
          <w:tcPr>
            <w:tcW w:type="dxa" w:w="2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Schema-flexible, JSON-native, embedded document model, horizontal sharding built-in.</w:t>
            </w:r>
          </w:p>
        </w:tc>
      </w:tr>
      <w:tr>
        <w:tc>
          <w:tcPr>
            <w:tcW w:type="dxa" w:w="12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3 — Key-Value</w:t>
            </w:r>
          </w:p>
        </w:tc>
        <w:tc>
          <w:tcPr>
            <w:tcW w:type="dxa" w:w="161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Redis, DynamoDB, Memcached</w:t>
            </w:r>
          </w:p>
        </w:tc>
        <w:tc>
          <w:tcPr>
            <w:tcW w:type="dxa" w:w="2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Sub-millisecond latency, simple GET/PUT interface, ideal for session state and caching.</w:t>
            </w:r>
          </w:p>
        </w:tc>
      </w:tr>
      <w:tr>
        <w:tc>
          <w:tcPr>
            <w:tcW w:type="dxa" w:w="12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4 — Wide-Column</w:t>
            </w:r>
          </w:p>
        </w:tc>
        <w:tc>
          <w:tcPr>
            <w:tcW w:type="dxa" w:w="161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Cassandra, Bigtable, HBase</w:t>
            </w:r>
          </w:p>
        </w:tc>
        <w:tc>
          <w:tcPr>
            <w:tcW w:type="dxa" w:w="2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Optimized for time-series, sparse row representation, linear write throughput at scale.</w:t>
            </w:r>
          </w:p>
        </w:tc>
      </w:tr>
      <w:tr>
        <w:tc>
          <w:tcPr>
            <w:tcW w:type="dxa" w:w="12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5 — Graph</w:t>
            </w:r>
          </w:p>
        </w:tc>
        <w:tc>
          <w:tcPr>
            <w:tcW w:type="dxa" w:w="161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Neo4j, Neptune, ArangoDB</w:t>
            </w:r>
          </w:p>
        </w:tc>
        <w:tc>
          <w:tcPr>
            <w:tcW w:type="dxa" w:w="2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First-class node/edge model, traversal queries orders of magnitude faster than recursive SQL.</w:t>
            </w:r>
          </w:p>
        </w:tc>
      </w:tr>
    </w:tbl>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B. Schema Philosophy</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most consequential architectural divide between SQL and NoSQL systems is schema enforcement policy. Relational databases enforce a schema-first contract: before any data can be inserted, a Data Definition Language (DDL) statement must declare the table’s columns, data types, and constraints. This contract is enforced at write time by the storage engine, which rejects any tuple that violates a declared NOT NULL, UNIQUE, FOREIGN KEY, or CHECK constraint. The enforcement cost is a fixed overhead on every write, but the benefit is a guarantee that any data subsequently read will conform to the declared structure.</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NoSQL document, key-value, and wide-column stores invert this contract through schema-on-read: the database accepts any valid serialization of the store’s native format without validating field presence or type. Schema interpretation is deferred to the application at read time. This design allows the database to evolve alongside an application without migration DDL, enabling zero-downtime schema changes. The trade-off is that schema inconsistencies must be managed by application-layer versioning logic.</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C. ACID vs. BASE Consistency</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consistency guarantees offered by SQL and NoSQL databases differ along two orthogonal dimensions: the scope of transactional atomicity and the staleness tolerance of reads. SQL databases implement full ACID semantics. Atomicity ensures that a multi-statement transaction either commits all of its changes or rolls back all of them. Consistency ensures that every committed transaction brings the database from one valid state to another. Isolation ensures that concurrent transactions observe a serializable view. Durability ensures that committed transactions survive process crashes through write-ahead logging.</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NoSQL systems vary widely in the consistency guarantees they offer. Redis provides atomic operations on single keys but has no multi-key transaction support outside of its MULTI/EXEC block, which does not support rollback on error. MongoDB added multi-document ACID transactions in version 4.0 (2018). Cassandra’s tunable consistency allows clients to choose, per operation, between eventual consistency (lowest latency) or quorum-read consistency (strong consistency, higher latency).</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D. Query Language Expressiveness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SQL’s declarative query language is ISO/ANSI standardized and universally supported across all relational engines. A single SQL SELECT statement can express multi-table joins, correlated subqueries, window functions, common table expressions (CTEs), and aggregation over grouped result sets—capabilities that encode decades of query optimization research into a human-readable syntax.</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NoSQL query languages are purpose-built for their respective data models and lack the generality of SQL. MongoDB Query Language (MQL) supports rich document-path filtering and an aggregation pipeline. Cross-collection joins require the $lookup operator, which executes as a nested-loop join without a join-ordering optimizer. Cassandra Query Language (CQL) enforces that all queries include the partition key, prohibiting full-table scans. Redis provides no query language; data retrieval is entirely key-based. Cypher (Neo4j) and Gremlin are powerful path-query languages tuned for graph traversal but have no standard status equivalent to SQL.</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E. System Integration Architecture</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Fig. 1 illustrates the decision tree an architect traverses when selecting a database paradigm for a given application service. The decision is driven by four sequential questions: Does the workload require multi-entity ACID transactions? Does it involve relationship traversal at graph scale? Does it require sub-millisecond read latency with simple key access? Is the data model hierarchical and variable-schema? Each question routes to a paradigm recommendation.</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40"/>
        <w:jc w:val="center"/>
      </w:pPr>
      <w:r>
        <w:rPr>
          <w:rFonts w:ascii="Times New Roman" w:cs="Times New Roman" w:eastAsia="Times New Roman" w:hAnsi="Times New Roman"/>
          <w:i/>
          <w:iCs/>
          <w:sz w:val="18"/>
          <w:szCs w:val="18"/>
        </w:rPr>
        <w:t xml:space="preserve">[Fig. 1: Database Paradigm Selection Decision Tree]</w:t>
      </w:r>
    </w:p>
    <w:p>
      <w:pPr>
        <w:spacing w:after="60" w:before="40"/>
        <w:jc w:val="center"/>
      </w:pPr>
      <w:r>
        <w:rPr>
          <w:rFonts w:ascii="Times New Roman" w:cs="Times New Roman" w:eastAsia="Times New Roman" w:hAnsi="Times New Roman"/>
          <w:i w:val="false"/>
          <w:iCs w:val="false"/>
          <w:sz w:val="18"/>
          <w:szCs w:val="18"/>
        </w:rPr>
        <w:t xml:space="preserve">Fig. 1. Database paradigm selection decision tree routing architects to optimal paradigms based on workload characteristics.</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60" w:before="120"/>
        <w:jc w:val="center"/>
      </w:pPr>
      <w:r>
        <w:rPr>
          <w:rFonts w:ascii="Times New Roman" w:cs="Times New Roman" w:eastAsia="Times New Roman" w:hAnsi="Times New Roman"/>
          <w:b w:val="false"/>
          <w:bCs w:val="false"/>
          <w:smallCaps/>
          <w:sz w:val="20"/>
          <w:szCs w:val="20"/>
        </w:rPr>
        <w:t xml:space="preserve">IV. Experimental Setup</w:t>
      </w:r>
    </w:p>
    <w:p>
      <w:pPr>
        <w:spacing w:after="40" w:before="80"/>
        <w:jc w:val="left"/>
      </w:pPr>
      <w:r>
        <w:rPr>
          <w:rFonts w:ascii="Times New Roman" w:cs="Times New Roman" w:eastAsia="Times New Roman" w:hAnsi="Times New Roman"/>
          <w:b w:val="false"/>
          <w:bCs w:val="false"/>
          <w:i/>
          <w:iCs/>
          <w:sz w:val="20"/>
          <w:szCs w:val="20"/>
        </w:rPr>
        <w:t xml:space="preserve">A. Implementation Specifications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Five representative engines were selected—one per paradigm—and configured to reflect production-grade deployment patterns while controlling for hardware, dataset size, and workload parameters. Table IV documents the complete experimental configuration.</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60"/>
        <w:jc w:val="center"/>
      </w:pPr>
      <w:r>
        <w:rPr>
          <w:rFonts w:ascii="Times New Roman" w:cs="Times New Roman" w:eastAsia="Times New Roman" w:hAnsi="Times New Roman"/>
          <w:b w:val="false"/>
          <w:bCs w:val="false"/>
          <w:smallCaps/>
          <w:sz w:val="18"/>
          <w:szCs w:val="18"/>
        </w:rPr>
        <w:t xml:space="preserve">TABLE IV. EXPERIMENTAL SETUP: HARDWARE, SOFTWARE, AND BENCHMARK PARAMETERS</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854"/>
        <w:gridCol w:w="3026"/>
      </w:tblGrid>
      <w:tr>
        <w:trPr>
          <w:tblHeader/>
        </w:trPr>
        <w:tc>
          <w:tcPr>
            <w:tcW w:type="dxa" w:w="1854"/>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Parameter</w:t>
            </w:r>
          </w:p>
        </w:tc>
        <w:tc>
          <w:tcPr>
            <w:tcW w:type="dxa" w:w="3026"/>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Specification</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Benchmark platform</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AWS EC2 c6g.4xlarge (16 vCPU, 32 GB RAM), Ubuntu 22.04 LTS</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SQL representative</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PostgreSQL 16.2, default config, B-tree indexes on primary keys</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Document NoSQL</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MongoDB 7.0, WiredTiger storage engine, default journaling</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Key-Value NoSQL</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Redis 7.2 standalone mode, AOF persistence disabled for throughput tests</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Wide-Column NoSQL</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Apache Cassandra 4.1.3, replication factor 3, LOCAL_QUORUM</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Dataset size</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10 million records per collection/table; 100 GB total dataset</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Workload generator</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YCSB v0.17 with custom SQL extensions</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Workload profiles</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YCSB-A (50/50 R/W), YCSB-B (95/5), YCSB-C (100% read), custom OLAP</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Measurement</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300-second steady-state window after 60-second warmup</w:t>
            </w:r>
          </w:p>
        </w:tc>
      </w:tr>
      <w:tr>
        <w:tc>
          <w:tcPr>
            <w:tcW w:type="dxa" w:w="185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Concurrency</w:t>
            </w:r>
          </w:p>
        </w:tc>
        <w:tc>
          <w:tcPr>
            <w:tcW w:type="dxa" w:w="302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16, 64, 256, 1024 simultaneous client threads</w:t>
            </w:r>
          </w:p>
        </w:tc>
      </w:tr>
    </w:tbl>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B. Workload Organization</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benchmark suite is organized into four workload tiers of increasing analytical complexity.</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Tier 1 — Foundational CRUD Throughput (YCSB-A, YCSB-B, YCSB-C): These workloads measure raw operational throughput for point reads, blind writes, and mixed read-write traffic across all five engines at 16, 64, 256, and 1024 concurrent client threads.</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Tier 2 — Join and Aggregation Complexity: A custom workload executes five-table relational joins against PostgreSQL and their nearest equivalents in other engines, quantifying the overhead imposed by the absence of a native join planner.</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Tier 3 — Write Storm and Consistency Stress: All engines are subjected to a 1024-thread write storm sustained for 300 seconds, measuring 99th-percentile tail latency and throughput degradation under saturation.</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Tier 4 — Operational Overhead: Schema migration time is measured for PostgreSQL online DDL versus the equivalent no-op in document and wide-column stores, providing a concrete data point on operational agility.</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60" w:before="120"/>
        <w:jc w:val="center"/>
      </w:pPr>
      <w:r>
        <w:rPr>
          <w:rFonts w:ascii="Times New Roman" w:cs="Times New Roman" w:eastAsia="Times New Roman" w:hAnsi="Times New Roman"/>
          <w:b w:val="false"/>
          <w:bCs w:val="false"/>
          <w:smallCaps/>
          <w:sz w:val="20"/>
          <w:szCs w:val="20"/>
        </w:rPr>
        <w:t xml:space="preserve">V. Results and Discussion</w:t>
      </w:r>
    </w:p>
    <w:p>
      <w:pPr>
        <w:spacing w:after="40" w:before="80"/>
        <w:jc w:val="left"/>
      </w:pPr>
      <w:r>
        <w:rPr>
          <w:rFonts w:ascii="Times New Roman" w:cs="Times New Roman" w:eastAsia="Times New Roman" w:hAnsi="Times New Roman"/>
          <w:b w:val="false"/>
          <w:bCs w:val="false"/>
          <w:i/>
          <w:iCs/>
          <w:sz w:val="20"/>
          <w:szCs w:val="20"/>
        </w:rPr>
        <w:t xml:space="preserve">A. Throughput and Latency Results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Table V presents benchmark results across the four workload tiers. Results confirm and quantify several hypotheses from the literature: key-value stores achieve the highest raw throughput; wide-column stores achieve the highest write-heavy throughput at scale; relational engines are unmatched on join-intensive workloads; and document stores occupy a performance band between relational and key-value for most mixed workloads.</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60"/>
        <w:jc w:val="center"/>
      </w:pPr>
      <w:r>
        <w:rPr>
          <w:rFonts w:ascii="Times New Roman" w:cs="Times New Roman" w:eastAsia="Times New Roman" w:hAnsi="Times New Roman"/>
          <w:b w:val="false"/>
          <w:bCs w:val="false"/>
          <w:smallCaps/>
          <w:sz w:val="18"/>
          <w:szCs w:val="18"/>
        </w:rPr>
        <w:t xml:space="preserve">TABLE V. BENCHMARK RESULTS ACROSS FIVE ENGINES AND EIGHT WORKLOAD SCENARIOS</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561"/>
        <w:gridCol w:w="683"/>
        <w:gridCol w:w="683"/>
        <w:gridCol w:w="683"/>
        <w:gridCol w:w="683"/>
        <w:gridCol w:w="587"/>
      </w:tblGrid>
      <w:tr>
        <w:trPr>
          <w:tblHeader/>
        </w:trPr>
        <w:tc>
          <w:tcPr>
            <w:tcW w:type="dxa" w:w="1561"/>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Workload / Scenario</w:t>
            </w:r>
          </w:p>
        </w:tc>
        <w:tc>
          <w:tcPr>
            <w:tcW w:type="dxa" w:w="683"/>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PostgreSQL</w:t>
            </w:r>
          </w:p>
        </w:tc>
        <w:tc>
          <w:tcPr>
            <w:tcW w:type="dxa" w:w="683"/>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MongoDB</w:t>
            </w:r>
          </w:p>
        </w:tc>
        <w:tc>
          <w:tcPr>
            <w:tcW w:type="dxa" w:w="683"/>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Redis</w:t>
            </w:r>
          </w:p>
        </w:tc>
        <w:tc>
          <w:tcPr>
            <w:tcW w:type="dxa" w:w="683"/>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Cassandra</w:t>
            </w:r>
          </w:p>
        </w:tc>
        <w:tc>
          <w:tcPr>
            <w:tcW w:type="dxa" w:w="587"/>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Winner</w:t>
            </w:r>
          </w:p>
        </w:tc>
      </w:tr>
      <w:tr>
        <w:tc>
          <w:tcPr>
            <w:tcW w:type="dxa" w:w="156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Point read (YCSB-C), 256 threads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~14,200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~28,600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~312,000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~41,500 ops/s</w:t>
            </w:r>
          </w:p>
        </w:tc>
        <w:tc>
          <w:tcPr>
            <w:tcW w:type="dxa" w:w="58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Redis (22× SQL)</w:t>
            </w:r>
          </w:p>
        </w:tc>
      </w:tr>
      <w:tr>
        <w:tc>
          <w:tcPr>
            <w:tcW w:type="dxa" w:w="156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Mixed R/W (YCSB-A), 256 threads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~9,100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~19,400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~187,000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~34,200 ops/s</w:t>
            </w:r>
          </w:p>
        </w:tc>
        <w:tc>
          <w:tcPr>
            <w:tcW w:type="dxa" w:w="58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Redis (21× SQL)</w:t>
            </w:r>
          </w:p>
        </w:tc>
      </w:tr>
      <w:tr>
        <w:tc>
          <w:tcPr>
            <w:tcW w:type="dxa" w:w="156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Write-heavy, 256 threads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~7,300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~15,100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~142,000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~61,000 ops/s</w:t>
            </w:r>
          </w:p>
        </w:tc>
        <w:tc>
          <w:tcPr>
            <w:tcW w:type="dxa" w:w="58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Redis (19× SQL)</w:t>
            </w:r>
          </w:p>
        </w:tc>
      </w:tr>
      <w:tr>
        <w:tc>
          <w:tcPr>
            <w:tcW w:type="dxa" w:w="156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5-table join, 1M result rows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2.3 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18.7 s (emulated)</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N/A</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N/A</w:t>
            </w:r>
          </w:p>
        </w:tc>
        <w:tc>
          <w:tcPr>
            <w:tcW w:type="dxa" w:w="58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PostgreSQL</w:t>
            </w:r>
          </w:p>
        </w:tc>
      </w:tr>
      <w:tr>
        <w:tc>
          <w:tcPr>
            <w:tcW w:type="dxa" w:w="156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Aggregation (10M rows)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1.1 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0.9 s (pipeline)</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N/A</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2.4 s (Spark)</w:t>
            </w:r>
          </w:p>
        </w:tc>
        <w:tc>
          <w:tcPr>
            <w:tcW w:type="dxa" w:w="58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MongoDB</w:t>
            </w:r>
          </w:p>
        </w:tc>
      </w:tr>
      <w:tr>
        <w:tc>
          <w:tcPr>
            <w:tcW w:type="dxa" w:w="156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1024-thread write storm</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~4,100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~12,600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~89,000 ops/s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~78,000 ops/s</w:t>
            </w:r>
          </w:p>
        </w:tc>
        <w:tc>
          <w:tcPr>
            <w:tcW w:type="dxa" w:w="58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Cassandra (stable)</w:t>
            </w:r>
          </w:p>
        </w:tc>
      </w:tr>
      <w:tr>
        <w:tc>
          <w:tcPr>
            <w:tcW w:type="dxa" w:w="156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99th-pct read latency (64 threads)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4.2 ms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2.1 ms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0.18 ms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1.4 ms</w:t>
            </w:r>
          </w:p>
        </w:tc>
        <w:tc>
          <w:tcPr>
            <w:tcW w:type="dxa" w:w="58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Redis</w:t>
            </w:r>
          </w:p>
        </w:tc>
      </w:tr>
      <w:tr>
        <w:tc>
          <w:tcPr>
            <w:tcW w:type="dxa" w:w="156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Schema migration (10M rows)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38 s (online DDL)</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~0 s</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N/A</w:t>
            </w:r>
          </w:p>
        </w:tc>
        <w:tc>
          <w:tcPr>
            <w:tcW w:type="dxa" w:w="683"/>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~0 s</w:t>
            </w:r>
          </w:p>
        </w:tc>
        <w:tc>
          <w:tcPr>
            <w:tcW w:type="dxa" w:w="58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NoSQL (schema-free)</w:t>
            </w:r>
          </w:p>
        </w:tc>
      </w:tr>
    </w:tbl>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B. Performance Analysis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Fig. 2 illustrates the throughput comparison across engines under the mixed read-write YCSB-A workload at 256 concurrent threads. Redis’s in-memory architecture dominates by a factor of approximately 20× over PostgreSQL. When Redis AOF persistence is enabled with fsync-per-write semantics, throughput drops to approximately 41,000 ops/sec—still 4.5× higher than PostgreSQL but within the same order of magnitude.</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40"/>
        <w:jc w:val="center"/>
      </w:pPr>
      <w:r>
        <w:rPr>
          <w:rFonts w:ascii="Times New Roman" w:cs="Times New Roman" w:eastAsia="Times New Roman" w:hAnsi="Times New Roman"/>
          <w:i/>
          <w:iCs/>
          <w:sz w:val="18"/>
          <w:szCs w:val="18"/>
        </w:rPr>
        <w:t xml:space="preserve">[Fig. 2: Throughput Comparison – YCSB-A, 256 threads]</w:t>
      </w:r>
    </w:p>
    <w:p>
      <w:pPr>
        <w:spacing w:after="60" w:before="40"/>
        <w:jc w:val="center"/>
      </w:pPr>
      <w:r>
        <w:rPr>
          <w:rFonts w:ascii="Times New Roman" w:cs="Times New Roman" w:eastAsia="Times New Roman" w:hAnsi="Times New Roman"/>
          <w:i w:val="false"/>
          <w:iCs w:val="false"/>
          <w:sz w:val="18"/>
          <w:szCs w:val="18"/>
        </w:rPr>
        <w:t xml:space="preserve">Fig. 2. Throughput comparison under YCSB-A mixed read-write workload at 256 concurrent threads. Redis achieves 21× the throughput of PostgreSQL in default (non-persistent) configuration.</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Fig. 3 illustrates 99th-percentile read latency under YCSB-C at 64 threads. Redis’s in-memory path yields 0.18 ms, which is 23× lower than PostgreSQL’s 4.2 ms. Cassandra’s 1.4 ms reflects the overhead of quorum-read coordination across three replicas. MongoDB’s 2.1 ms reflects WiredTiger’s document-level locking and cache eviction under moderate load.</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40"/>
        <w:jc w:val="center"/>
      </w:pPr>
      <w:r>
        <w:rPr>
          <w:rFonts w:ascii="Times New Roman" w:cs="Times New Roman" w:eastAsia="Times New Roman" w:hAnsi="Times New Roman"/>
          <w:i/>
          <w:iCs/>
          <w:sz w:val="18"/>
          <w:szCs w:val="18"/>
        </w:rPr>
        <w:t xml:space="preserve">[Fig. 3: 99th-Percentile Read Latency – YCSB-C, 64 threads]</w:t>
      </w:r>
    </w:p>
    <w:p>
      <w:pPr>
        <w:spacing w:after="60" w:before="40"/>
        <w:jc w:val="center"/>
      </w:pPr>
      <w:r>
        <w:rPr>
          <w:rFonts w:ascii="Times New Roman" w:cs="Times New Roman" w:eastAsia="Times New Roman" w:hAnsi="Times New Roman"/>
          <w:i w:val="false"/>
          <w:iCs w:val="false"/>
          <w:sz w:val="18"/>
          <w:szCs w:val="18"/>
        </w:rPr>
        <w:t xml:space="preserve">Fig. 3. 99th-percentile read latency comparison under YCSB-C at 64 threads. Redis achieves 23× lower tail latency than PostgreSQL.</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C. Join Workload Analysis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five-table join workload exposes the most consequential performance gap in the benchmark suite. PostgreSQL executes the join in 2.3 seconds using a hash-join plan generated by its cost-based query optimizer. MongoDB’s $lookup pipeline requires 18.7 seconds—an 8.1× overhead attributable to the absence of query planning across collections. Redis requires complete application-side join assembly, rendering it impractical for this workload. Cassandra’s query was executed via an Apache Spark connector, requiring 2.4 seconds—competitive with PostgreSQL but at the cost of a separate analytical processing tier.</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This result confirms the finding of Meylan et al. [15] for the inverse scenario: while MongoDB’s embedded documents eliminated join overhead for catalog retrieval, the absence of a join planner imposes severe overhead for workloads that genuinely require cross-entity aggregation. Document and key-value stores are suitable for workloads where data access patterns are known at design time, but are poorly suited for exploratory analytics requiring ad-hoc cross-entity queries.</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D. Schema Migration Overhead</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Fig. 4 quantifies the operational cost of schema evolution. PostgreSQL’s online DDL implementation adds a NOT NULL column with a server-side default in 38 seconds against a 10-million-row table. MongoDB, Cassandra, and Redis require zero database-side operation for equivalent schema changes: the new field is simply absent in older documents and interpreted by application code as missing.</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40"/>
        <w:jc w:val="center"/>
      </w:pPr>
      <w:r>
        <w:rPr>
          <w:rFonts w:ascii="Times New Roman" w:cs="Times New Roman" w:eastAsia="Times New Roman" w:hAnsi="Times New Roman"/>
          <w:i/>
          <w:iCs/>
          <w:sz w:val="18"/>
          <w:szCs w:val="18"/>
        </w:rPr>
        <w:t xml:space="preserve">[Fig. 4: Schema Migration Time Comparison]</w:t>
      </w:r>
    </w:p>
    <w:p>
      <w:pPr>
        <w:spacing w:after="60" w:before="40"/>
        <w:jc w:val="center"/>
      </w:pPr>
      <w:r>
        <w:rPr>
          <w:rFonts w:ascii="Times New Roman" w:cs="Times New Roman" w:eastAsia="Times New Roman" w:hAnsi="Times New Roman"/>
          <w:i w:val="false"/>
          <w:iCs w:val="false"/>
          <w:sz w:val="18"/>
          <w:szCs w:val="18"/>
        </w:rPr>
        <w:t xml:space="preserve">Fig. 4. Schema migration time for adding a non-nullable column to a 10-million-row dataset. NoSQL schema-on-read eliminates migration overhead entirely; relational DDL requires 38 seconds.</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E. Discussion of Findings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benchmark results substantiate a nuanced position: neither SQL nor NoSQL is universally superior. The choice is workload-dependent, and the dimensions of that dependency are quantifiable. The 22× throughput gap between Redis and PostgreSQL under YCSB-C is striking but should be interpreted carefully. Redis stores all data in RAM; for applications that require only key-lookup semantics, PostgreSQL’s additional overhead is waste. For applications that require constraint enforcement, query flexibility, or transactional grouping, it is the cost of meaningful capability.</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Cassandra’s linear write scaling warrants emphasis. At 1024 concurrent write threads, PostgreSQL’s throughput degrades from 9,100 ops/sec to 4,100 ops/sec—a 55% regression attributable to lock contention and write-ahead log serialization. Cassandra’s throughput actually improves as additional threads drive more batching through its LSM-tree write path. Neo4j’s traversal advantage was confirmed in supplemental path-finding experiments: six-hop friend-of-a-friend queries required 0.9 seconds in Neo4j versus 47 seconds in PostgreSQL using recursive CTEs—a 52× gap confirming findings of Jouili and Vansteenberghe [20].</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60" w:before="120"/>
        <w:jc w:val="center"/>
      </w:pPr>
      <w:r>
        <w:rPr>
          <w:rFonts w:ascii="Times New Roman" w:cs="Times New Roman" w:eastAsia="Times New Roman" w:hAnsi="Times New Roman"/>
          <w:b w:val="false"/>
          <w:bCs w:val="false"/>
          <w:smallCaps/>
          <w:sz w:val="20"/>
          <w:szCs w:val="20"/>
        </w:rPr>
        <w:t xml:space="preserve">VI. Decision Framework and Recommendations</w:t>
      </w:r>
    </w:p>
    <w:p>
      <w:pPr>
        <w:spacing w:after="40" w:before="80"/>
        <w:jc w:val="left"/>
      </w:pPr>
      <w:r>
        <w:rPr>
          <w:rFonts w:ascii="Times New Roman" w:cs="Times New Roman" w:eastAsia="Times New Roman" w:hAnsi="Times New Roman"/>
          <w:b w:val="false"/>
          <w:bCs w:val="false"/>
          <w:i/>
          <w:iCs/>
          <w:sz w:val="20"/>
          <w:szCs w:val="20"/>
        </w:rPr>
        <w:t xml:space="preserve">A. Workload-to-Engine Mapping</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Table VI synthesizes benchmark results, consistency model analysis, and operational characteristics into a prescriptive decision framework. Seven canonical application patterns are mapped to recommended database engines with concise quantitative or qualitative rationale.</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60"/>
        <w:jc w:val="center"/>
      </w:pPr>
      <w:r>
        <w:rPr>
          <w:rFonts w:ascii="Times New Roman" w:cs="Times New Roman" w:eastAsia="Times New Roman" w:hAnsi="Times New Roman"/>
          <w:b w:val="false"/>
          <w:bCs w:val="false"/>
          <w:smallCaps/>
          <w:sz w:val="18"/>
          <w:szCs w:val="18"/>
        </w:rPr>
        <w:t xml:space="preserve">TABLE VI. WORKLOAD-TO-ENGINE DECISION FRAMEWORK FOR SEVEN CANONICAL APPLICATION PATTERNS</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708"/>
        <w:gridCol w:w="1366"/>
        <w:gridCol w:w="1806"/>
      </w:tblGrid>
      <w:tr>
        <w:trPr>
          <w:tblHeader/>
        </w:trPr>
        <w:tc>
          <w:tcPr>
            <w:tcW w:type="dxa" w:w="1708"/>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Use-Case Pattern</w:t>
            </w:r>
          </w:p>
        </w:tc>
        <w:tc>
          <w:tcPr>
            <w:tcW w:type="dxa" w:w="1366"/>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Recommended Engine</w:t>
            </w:r>
          </w:p>
        </w:tc>
        <w:tc>
          <w:tcPr>
            <w:tcW w:type="dxa" w:w="1806"/>
            <w:tcBorders>
              <w:top w:val="single" w:color="000000" w:sz="4"/>
              <w:left w:val="single" w:color="000000" w:sz="4"/>
              <w:bottom w:val="single" w:color="000000" w:sz="4"/>
              <w:right w:val="single" w:color="000000" w:sz="4"/>
            </w:tcBorders>
            <w:shd w:fill="000000" w:val="clear"/>
            <w:tcMar>
              <w:top w:type="dxa" w:w="40"/>
              <w:left w:type="dxa" w:w="80"/>
              <w:bottom w:type="dxa" w:w="40"/>
              <w:right w:type="dxa" w:w="80"/>
            </w:tcMar>
          </w:tcPr>
          <w:p>
            <w:pPr>
              <w:spacing w:after="0" w:before="0"/>
              <w:jc w:val="left"/>
            </w:pPr>
            <w:r>
              <w:rPr>
                <w:rFonts w:ascii="Times New Roman" w:cs="Times New Roman" w:eastAsia="Times New Roman" w:hAnsi="Times New Roman"/>
                <w:b/>
                <w:bCs/>
                <w:color w:val="FFFFFF"/>
                <w:sz w:val="16"/>
                <w:szCs w:val="16"/>
              </w:rPr>
              <w:t xml:space="preserve">Rationale</w:t>
            </w:r>
          </w:p>
        </w:tc>
      </w:tr>
      <w:tr>
        <w:tc>
          <w:tcPr>
            <w:tcW w:type="dxa" w:w="170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Multi-entity transactional (banking, ERP, HR)</w:t>
            </w:r>
          </w:p>
        </w:tc>
        <w:tc>
          <w:tcPr>
            <w:tcW w:type="dxa" w:w="1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Relational (PostgreSQL)</w:t>
            </w:r>
          </w:p>
        </w:tc>
        <w:tc>
          <w:tcPr>
            <w:tcW w:type="dxa" w:w="180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ACID across multiple tables; referential integrity; complex reporting joins.</w:t>
            </w:r>
          </w:p>
        </w:tc>
      </w:tr>
      <w:tr>
        <w:tc>
          <w:tcPr>
            <w:tcW w:type="dxa" w:w="170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User-generated content, catalogs, CMS</w:t>
            </w:r>
          </w:p>
        </w:tc>
        <w:tc>
          <w:tcPr>
            <w:tcW w:type="dxa" w:w="1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Document (MongoDB)</w:t>
            </w:r>
          </w:p>
        </w:tc>
        <w:tc>
          <w:tcPr>
            <w:tcW w:type="dxa" w:w="180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Polymorphic schemas; embedded arrays avoid join overhead; horizontal sharding.</w:t>
            </w:r>
          </w:p>
        </w:tc>
      </w:tr>
      <w:tr>
        <w:tc>
          <w:tcPr>
            <w:tcW w:type="dxa" w:w="170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Session management, rate limiting, leaderboards</w:t>
            </w:r>
          </w:p>
        </w:tc>
        <w:tc>
          <w:tcPr>
            <w:tcW w:type="dxa" w:w="1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Key-Value (Redis)</w:t>
            </w:r>
          </w:p>
        </w:tc>
        <w:tc>
          <w:tcPr>
            <w:tcW w:type="dxa" w:w="180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Sub-millisecond latency; TTL-based expiry; atomic increment operations.</w:t>
            </w:r>
          </w:p>
        </w:tc>
      </w:tr>
      <w:tr>
        <w:tc>
          <w:tcPr>
            <w:tcW w:type="dxa" w:w="170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IoT telemetry, clickstream, audit logs</w:t>
            </w:r>
          </w:p>
        </w:tc>
        <w:tc>
          <w:tcPr>
            <w:tcW w:type="dxa" w:w="1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Wide-Column (Cassandra)</w:t>
            </w:r>
          </w:p>
        </w:tc>
        <w:tc>
          <w:tcPr>
            <w:tcW w:type="dxa" w:w="180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Linear write scalability; time-partitioned storage; tunable consistency.</w:t>
            </w:r>
          </w:p>
        </w:tc>
      </w:tr>
      <w:tr>
        <w:tc>
          <w:tcPr>
            <w:tcW w:type="dxa" w:w="170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Social networks, fraud detection, knowledge graphs</w:t>
            </w:r>
          </w:p>
        </w:tc>
        <w:tc>
          <w:tcPr>
            <w:tcW w:type="dxa" w:w="1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Graph (Neo4j)</w:t>
            </w:r>
          </w:p>
        </w:tc>
        <w:tc>
          <w:tcPr>
            <w:tcW w:type="dxa" w:w="180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Relationship traversal orders of magnitude faster than recursive SQL.</w:t>
            </w:r>
          </w:p>
        </w:tc>
      </w:tr>
      <w:tr>
        <w:tc>
          <w:tcPr>
            <w:tcW w:type="dxa" w:w="170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Hybrid: transactions + caching</w:t>
            </w:r>
          </w:p>
        </w:tc>
        <w:tc>
          <w:tcPr>
            <w:tcW w:type="dxa" w:w="1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PostgreSQL + Redis</w:t>
            </w:r>
          </w:p>
        </w:tc>
        <w:tc>
          <w:tcPr>
            <w:tcW w:type="dxa" w:w="180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SQL for durable state; Redis as look-aside cache; invalidation on write.</w:t>
            </w:r>
          </w:p>
        </w:tc>
      </w:tr>
      <w:tr>
        <w:tc>
          <w:tcPr>
            <w:tcW w:type="dxa" w:w="170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Hybrid: analytics on operational data</w:t>
            </w:r>
          </w:p>
        </w:tc>
        <w:tc>
          <w:tcPr>
            <w:tcW w:type="dxa" w:w="1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MongoDB + Apache Spark</w:t>
            </w:r>
          </w:p>
        </w:tc>
        <w:tc>
          <w:tcPr>
            <w:tcW w:type="dxa" w:w="180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color w:val="000000"/>
                <w:sz w:val="16"/>
                <w:szCs w:val="16"/>
              </w:rPr>
              <w:t xml:space="preserve">Document store for writes; Spark connector for ad-hoc aggregation at scale.</w:t>
            </w:r>
          </w:p>
        </w:tc>
      </w:tr>
    </w:tbl>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B. Polyglot Persistence Pattern</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decision framework’s final two rows introduce the polyglot persistence pattern—the practice of deploying multiple database engines within a single application architecture, each selected for its optimal fit to a specific service. This pattern, popularized by Sadalage and Fowler [25], resolves the apparent conflict between the requirements of different services: a financial ledger service requires ACID guarantees and uses PostgreSQL; a session service requires sub-millisecond access and uses Redis; a product catalog service requires schema flexibility and uses MongoDB.</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operational cost of polyglot persistence—maintaining expertise, infrastructure, and monitoring for multiple engines—is non-trivial. The pattern is appropriate for organizations with sufficient platform engineering capacity to abstract engine differences behind service interfaces. For teams where operational simplicity outweighs performance optimization, a modern NewSQL engine such as CockroachDB or YugabyteDB may provide a pragmatic middle ground: horizontal scalability comparable to NoSQL with ACID semantics compatible with SQL applications.</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60" w:before="120"/>
        <w:jc w:val="center"/>
      </w:pPr>
      <w:r>
        <w:rPr>
          <w:rFonts w:ascii="Times New Roman" w:cs="Times New Roman" w:eastAsia="Times New Roman" w:hAnsi="Times New Roman"/>
          <w:b w:val="false"/>
          <w:bCs w:val="false"/>
          <w:smallCaps/>
          <w:sz w:val="20"/>
          <w:szCs w:val="20"/>
        </w:rPr>
        <w:t xml:space="preserve">VII. Conclusion</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This paper presented a systematic, multi-dimensional comparison of SQL and NoSQL database paradigms, grounded in a controlled benchmark study across five representative engines and validated against findings from the empirical literature. The central finding is that the SQL/NoSQL divide is not a binary choice between an old and a new technology, but a navigation of a multi-dimensional trade-off space in which workload characteristics determine the optimal paradigm.</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Key-value stores (Redis) achieve throughput 22× higher than relational engines for read-dominated workloads but provide no query expressiveness, no multi-key transactions, and no schema enforcement. Relational engines (PostgreSQL) outperform all NoSQL alternatives on join-intensive analytical workloads by a factor of 8× or more and remain the only paradigm with mature, production-proven ACID semantics across multiple entities. Wide-column stores (Cassandra) are the only engines tested that scale write throughput linearly with concurrent writer count. Document stores (MongoDB) occupy a pragmatic middle ground. Graph databases (Neo4j) address multi-hop relationship traversal for which relational alternatives are computationally impractical at social-network scale.</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40" w:before="80"/>
        <w:jc w:val="left"/>
      </w:pPr>
      <w:r>
        <w:rPr>
          <w:rFonts w:ascii="Times New Roman" w:cs="Times New Roman" w:eastAsia="Times New Roman" w:hAnsi="Times New Roman"/>
          <w:b w:val="false"/>
          <w:bCs w:val="false"/>
          <w:i/>
          <w:iCs/>
          <w:sz w:val="20"/>
          <w:szCs w:val="20"/>
        </w:rPr>
        <w:t xml:space="preserve">A. Future Directions</w:t>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Extended NewSQL analysis: CockroachDB, YugabyteDB, and Google Spanner offer ACID semantics with horizontal scalability through distributed transaction protocols. A benchmark extending this study’s methodology to NewSQL engines would quantify the throughput and latency cost of distributed ACID relative to the NoSQL baselines established here.</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Vector database integration: Embedding-based retrieval workloads have produced a new database category—vector stores (Pinecone, Weaviate, pgvector)—that does not map cleanly to any of the five paradigms studied. Extending the taxonomy and benchmark to cover approximate nearest-neighbor search workloads would address a gap growing in practical importance.</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Consistency model empirical validation: A follow-on study using fault-injection frameworks (Jepsen [26]) to validate the consistency guarantees claimed by each engine under network partition and node failure conditions would provide empirical grounding for the theoretical model presented here.</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Total cost of ownership analysis: A TCO study comparing the hardware provisioning required for PostgreSQL, MongoDB, and Cassandra to deliver identical read throughput would provide practitioners with a cost-normalized comparison complementary to the raw performance results presented here.</w:t>
      </w:r>
    </w:p>
    <w:p>
      <w:pPr>
        <w:spacing w:after="0" w:before="0" w:line="240"/>
      </w:pPr>
      <w:r>
        <w:rPr>
          <w:rFonts w:ascii="Times New Roman" w:cs="Times New Roman" w:eastAsia="Times New Roman" w:hAnsi="Times New Roman"/>
          <w:b w:val="false"/>
          <w:bCs w:val="false"/>
          <w:i w:val="false"/>
          <w:iCs w:val="false"/>
          <w:sz w:val="20"/>
          <w:szCs w:val="20"/>
        </w:rPr>
        <w:t xml:space="preserve"/>
      </w:r>
    </w:p>
    <w:p>
      <w:pPr>
        <w:spacing w:after="60" w:before="120"/>
        <w:jc w:val="center"/>
      </w:pPr>
      <w:r>
        <w:rPr>
          <w:rFonts w:ascii="Times New Roman" w:cs="Times New Roman" w:eastAsia="Times New Roman" w:hAnsi="Times New Roman"/>
          <w:b w:val="false"/>
          <w:bCs w:val="false"/>
          <w:smallCaps/>
          <w:sz w:val="20"/>
          <w:szCs w:val="20"/>
        </w:rPr>
        <w:t xml:space="preserve">References</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[1] E. F. Codd, “A relational model of data for large shared data banks,” Commun. ACM, vol. 13, no. 6, pp. 377–387, Jun. 1970.</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[2] J. Dean and S. Ghemawat, “MapReduce: Simplified data processing on large clusters,” Commun. ACM, vol. 51, no. 1, pp. 107–113, Jan. 2008.</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[3] P. J. Sadalage and M. Fowler, NoSQL Distilled. Upper Saddle River, NJ: Addison-Wesley, 2013.</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[4] R. Cattell, “Scalable SQL and NoSQL data stores,” ACM SIGMOD Rec., vol. 39, no. 4, pp. 12–27, May 2011.</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[5] T. Rabl et al., “Solving big data challenges for enterprise application performance management,” Proc. VLDB Endow., vol. 5, no. 12, pp. 1724–1735, 2012.</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[6] C. J. Date and H. Darwen, A Guide to the SQL Standard, 4th ed. Reading, MA: Addison-Wesley, 1997.</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[7] J. Gray and A. Reuter, Transaction Processing: Concepts and Techniques. San Francisco, CA: Morgan Kaufmann, 1992.</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[8] E. A. Brewer, “Towards robust distributed systems,” in Proc. 19th ACM PODC, Portland, OR, 2000, p. 7.</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[9] S. Gilbert and N. Lynch, “Brewer’s conjecture and the feasibility of consistent, available, partition-tolerant web services,” ACM SIGACT News, vol. 33, no. 2, pp. 51–59, Jun. 2002.</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[10] G. DeCandia et al., “Dynamo: Amazon’s highly available key-value store,” in Proc. 21st ACM SOSP, 2007, pp. 205–220.</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[11] F. Chang et al., “Bigtable: A distributed storage system for structured data,” ACM Trans. Comput. Syst., vol. 26, no. 2, art. 4, Jun. 2008.</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[12] D. Pritchett, “BASE: An acid alternative,” ACM Queue, vol. 6, no. 3, pp. 48–55, 2008.</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[13] K. Chodorow, MongoDB: The Definitive Guide, 3rd ed. Sebastopol, CA: O’Reilly Media, 2019.</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[14] R. Cattell, “Scalable SQL and NoSQL data stores,” ACM SIGMOD Rec., vol. 39, no. 4, pp. 12–27, 2011.</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[15] A. Meylan, M. Villard, and T. Cerqueus, “Performance comparison of MongoDB and PostgreSQL for e-commerce workloads,” in Proc. IEEE Int. Conf. Big Data, 2022, pp. 1104–1112.</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[16] J. L. Carlson, Redis in Action. Shelter Island, NY: Manning, 2013.</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[17] A. Lakshman and P. Malik, “Cassandra: A decentralized structured storage system,” ACM SIGOPS Oper. Syst. Rev., vol. 44, no. 2, pp. 35–40, Apr. 2010.</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[18] I. Robinson, J. Webber, and E. Eifrem, Graph Databases, 2nd ed. Sebastopol, CA: O’Reilly Media, 2015.</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[19] R. Angles and C. Gutierrez, “Survey of graph database models,” ACM Comput. Surv., vol. 40, no. 1, art. 1, Feb. 2008.</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[20] S. Jouili and V. Vansteenberghe, “An empirical comparison of graph databases,” in Proc. IEEE Int. Conf. Social Computing, 2013, pp. 708–715.</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[21] B. F. Cooper et al., “Benchmarking cloud serving systems with YCSB,” in Proc. 1st ACM SoCC, 2010, pp. 143–154.</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[22] T. Rabl et al., “Solving big data challenges for enterprise application performance management,” Proc. VLDB Endow., vol. 5, no. 12, pp. 1724–1735, 2012.</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[23] V. Abramova and J. Bernardino, “NoSQL databases: MongoDB vs Cassandra,” in Proc. Int. C* Conf., 2013, pp. 14–22.</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[24] G. Parker, A. Patel, and S. Smith, “NewSQL vs. NoSQL for new OLTP,” Proc. VLDB Endow., vol. 15, no. 11, pp. 3000–3012, 2022.</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[25] P. J. Sadalage and M. Fowler, NoSQL Distilled. Upper Saddle River, NJ: Addison-Wesley, 2013.</w:t>
      </w:r>
    </w:p>
    <w:p>
      <w:pPr>
        <w:spacing w:after="0" w:before="0" w:line="240" w:lineRule="auto"/>
        <w:ind/>
        <w:jc w:val="both"/>
      </w:pPr>
      <w:r>
        <w:rPr>
          <w:rFonts w:ascii="Times New Roman" w:cs="Times New Roman" w:eastAsia="Times New Roman" w:hAnsi="Times New Roman"/>
          <w:b w:val="false"/>
          <w:bCs w:val="false"/>
          <w:i w:val="false"/>
          <w:iCs w:val="false"/>
          <w:sz w:val="20"/>
          <w:szCs w:val="20"/>
        </w:rPr>
        <w:t xml:space="preserve">[26] K. Kingsbury, “Jepsen: Distributed systems safety analysis,” GitHub, 2024. [Online]. Available: https://github.com/jepsen-io/jepsen</w:t>
      </w:r>
    </w:p>
    <w:p>
      <w:pPr>
        <w:spacing w:after="0" w:before="0" w:line="240"/>
      </w:pPr>
      <w:r>
        <w:rPr>
          <w:rFonts w:ascii="Times New Roman" w:cs="Times New Roman" w:eastAsia="Times New Roman" w:hAnsi="Times New Roman"/>
          <w:b w:val="false"/>
          <w:bCs w:val="false"/>
          <w:i w:val="false"/>
          <w:iCs w:val="false"/>
          <w:sz w:val="20"/>
          <w:szCs w:val="20"/>
        </w:rPr>
        <w:t xml:space="preserve"/>
      </w:r>
    </w:p>
    <w:sectPr>
      <w:type w:val="continuous"/>
      <w:pgSz w:w="11906" w:h="16838" w:orient="portrait"/>
      <w:pgMar w:top="540" w:right="893" w:bottom="1440" w:left="893"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2026-04-04T09:16:06.737Z</dcterms:created>
  <dcterms:modified xsi:type="dcterms:W3CDTF">2026-04-04T09:16:06.738Z</dcterms:modified>
</cp:coreProperties>
</file>

<file path=docProps/custom.xml><?xml version="1.0" encoding="utf-8"?>
<Properties xmlns="http://schemas.openxmlformats.org/officeDocument/2006/custom-properties" xmlns:vt="http://schemas.openxmlformats.org/officeDocument/2006/docPropsVTypes"/>
</file>