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rFonts w:ascii="Arial" w:cs="Arial" w:eastAsia="Arial" w:hAnsi="Arial"/>
          <w:b/>
          <w:bCs/>
          <w:color w:val="2E7D6B"/>
          <w:spacing w:val="40"/>
          <w:sz w:val="18"/>
          <w:szCs w:val="18"/>
        </w:rPr>
        <w:t xml:space="preserve">GROWMAILERS  |  INTERNAL REPORT</w:t>
      </w:r>
    </w:p>
    <w:p>
      <w:pPr>
        <w:spacing w:after="200" w:before="240" w:line="240" w:lineRule="auto"/>
      </w:pPr>
      <w:r>
        <w:rPr>
          <w:rFonts w:ascii="Arial" w:cs="Arial" w:eastAsia="Arial" w:hAnsi="Arial"/>
          <w:b/>
          <w:bCs/>
          <w:color w:val="1F3A5F"/>
          <w:sz w:val="56"/>
          <w:szCs w:val="56"/>
        </w:rPr>
        <w:t xml:space="preserve">Direct-to-Consumer Market and Go-To-Market Report</w:t>
      </w:r>
    </w:p>
    <w:p>
      <w:pPr>
        <w:pBdr>
          <w:bottom w:val="single" w:color="2E7D6B" w:sz="18" w:space="18"/>
        </w:pBdr>
        <w:spacing w:after="480" w:before="0"/>
      </w:pPr>
      <w:r>
        <w:rPr>
          <w:rFonts w:ascii="Arial" w:cs="Arial" w:eastAsia="Arial" w:hAnsi="Arial"/>
          <w:color w:val="5B6573"/>
          <w:sz w:val="28"/>
          <w:szCs w:val="28"/>
        </w:rPr>
        <w:t xml:space="preserve">Ideal clients, market size, email delivery and the sales plan for GrowMailers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680"/>
      </w:tblGrid>
      <w:tr>
        <w:tc>
          <w:tcPr>
            <w:tcW w:type="dxa" w:w="2400"/>
            <w:tcBorders>
              <w:top w:val="none" w:color="FFFFFF" w:sz="0"/>
              <w:left w:val="none" w:color="FFFFFF" w:sz="0"/>
              <w:bottom w:val="none" w:color="FFFFFF" w:sz="0"/>
              <w:right w:val="none" w:color="FFFFFF" w:sz="0"/>
            </w:tcBorders>
            <w:tcMar>
              <w:top w:type="dxa" w:w="60"/>
              <w:left w:type="dxa" w:w="0"/>
              <w:bottom w:type="dxa" w:w="60"/>
              <w:right w:type="dxa" w:w="80"/>
            </w:tcMar>
          </w:tcPr>
          <w:p>
            <w:pPr>
              <w:spacing w:after="0"/>
            </w:pPr>
            <w:r>
              <w:rPr>
                <w:rFonts w:ascii="Arial" w:cs="Arial" w:eastAsia="Arial" w:hAnsi="Arial"/>
                <w:b/>
                <w:bCs/>
                <w:color w:val="2E7D6B"/>
                <w:spacing w:val="20"/>
                <w:sz w:val="16"/>
                <w:szCs w:val="16"/>
              </w:rPr>
              <w:t xml:space="preserve">PREPARED FOR</w:t>
            </w:r>
          </w:p>
        </w:tc>
        <w:tc>
          <w:tcPr>
            <w:tcW w:type="dxa" w:w="7680"/>
            <w:tcBorders>
              <w:top w:val="none" w:color="FFFFFF" w:sz="0"/>
              <w:left w:val="none" w:color="FFFFFF" w:sz="0"/>
              <w:bottom w:val="none" w:color="FFFFFF" w:sz="0"/>
              <w:right w:val="none" w:color="FFFFFF" w:sz="0"/>
            </w:tcBorders>
            <w:tcMar>
              <w:top w:type="dxa" w:w="60"/>
              <w:left w:type="dxa" w:w="80"/>
              <w:bottom w:type="dxa" w:w="60"/>
              <w:right w:type="dxa" w:w="0"/>
            </w:tcMar>
          </w:tcPr>
          <w:p>
            <w:pPr>
              <w:spacing w:after="0"/>
            </w:pPr>
            <w:r>
              <w:rPr>
                <w:rFonts w:ascii="Arial" w:cs="Arial" w:eastAsia="Arial" w:hAnsi="Arial"/>
                <w:color w:val="1E2733"/>
                <w:sz w:val="21"/>
                <w:szCs w:val="21"/>
              </w:rPr>
              <w:t xml:space="preserve">Shardul Phuyal, GrowMailers</w:t>
            </w:r>
          </w:p>
        </w:tc>
      </w:tr>
      <w:tr>
        <w:tc>
          <w:tcPr>
            <w:tcW w:type="dxa" w:w="2400"/>
            <w:tcBorders>
              <w:top w:val="none" w:color="FFFFFF" w:sz="0"/>
              <w:left w:val="none" w:color="FFFFFF" w:sz="0"/>
              <w:bottom w:val="none" w:color="FFFFFF" w:sz="0"/>
              <w:right w:val="none" w:color="FFFFFF" w:sz="0"/>
            </w:tcBorders>
            <w:tcMar>
              <w:top w:type="dxa" w:w="60"/>
              <w:left w:type="dxa" w:w="0"/>
              <w:bottom w:type="dxa" w:w="60"/>
              <w:right w:type="dxa" w:w="80"/>
            </w:tcMar>
          </w:tcPr>
          <w:p>
            <w:pPr>
              <w:spacing w:after="0"/>
            </w:pPr>
            <w:r>
              <w:rPr>
                <w:rFonts w:ascii="Arial" w:cs="Arial" w:eastAsia="Arial" w:hAnsi="Arial"/>
                <w:b/>
                <w:bCs/>
                <w:color w:val="2E7D6B"/>
                <w:spacing w:val="20"/>
                <w:sz w:val="16"/>
                <w:szCs w:val="16"/>
              </w:rPr>
              <w:t xml:space="preserve">DATE</w:t>
            </w:r>
          </w:p>
        </w:tc>
        <w:tc>
          <w:tcPr>
            <w:tcW w:type="dxa" w:w="7680"/>
            <w:tcBorders>
              <w:top w:val="none" w:color="FFFFFF" w:sz="0"/>
              <w:left w:val="none" w:color="FFFFFF" w:sz="0"/>
              <w:bottom w:val="none" w:color="FFFFFF" w:sz="0"/>
              <w:right w:val="none" w:color="FFFFFF" w:sz="0"/>
            </w:tcBorders>
            <w:tcMar>
              <w:top w:type="dxa" w:w="60"/>
              <w:left w:type="dxa" w:w="80"/>
              <w:bottom w:type="dxa" w:w="60"/>
              <w:right w:type="dxa" w:w="0"/>
            </w:tcMar>
          </w:tcPr>
          <w:p>
            <w:pPr>
              <w:spacing w:after="0"/>
            </w:pPr>
            <w:r>
              <w:rPr>
                <w:rFonts w:ascii="Arial" w:cs="Arial" w:eastAsia="Arial" w:hAnsi="Arial"/>
                <w:color w:val="1E2733"/>
                <w:sz w:val="21"/>
                <w:szCs w:val="21"/>
              </w:rPr>
              <w:t xml:space="preserve">28 September 2026</w:t>
            </w:r>
          </w:p>
        </w:tc>
      </w:tr>
      <w:tr>
        <w:tc>
          <w:tcPr>
            <w:tcW w:type="dxa" w:w="2400"/>
            <w:tcBorders>
              <w:top w:val="none" w:color="FFFFFF" w:sz="0"/>
              <w:left w:val="none" w:color="FFFFFF" w:sz="0"/>
              <w:bottom w:val="none" w:color="FFFFFF" w:sz="0"/>
              <w:right w:val="none" w:color="FFFFFF" w:sz="0"/>
            </w:tcBorders>
            <w:tcMar>
              <w:top w:type="dxa" w:w="60"/>
              <w:left w:type="dxa" w:w="0"/>
              <w:bottom w:type="dxa" w:w="60"/>
              <w:right w:type="dxa" w:w="80"/>
            </w:tcMar>
          </w:tcPr>
          <w:p>
            <w:pPr>
              <w:spacing w:after="0"/>
            </w:pPr>
            <w:r>
              <w:rPr>
                <w:rFonts w:ascii="Arial" w:cs="Arial" w:eastAsia="Arial" w:hAnsi="Arial"/>
                <w:b/>
                <w:bCs/>
                <w:color w:val="2E7D6B"/>
                <w:spacing w:val="20"/>
                <w:sz w:val="16"/>
                <w:szCs w:val="16"/>
              </w:rPr>
              <w:t xml:space="preserve">VERSION</w:t>
            </w:r>
          </w:p>
        </w:tc>
        <w:tc>
          <w:tcPr>
            <w:tcW w:type="dxa" w:w="7680"/>
            <w:tcBorders>
              <w:top w:val="none" w:color="FFFFFF" w:sz="0"/>
              <w:left w:val="none" w:color="FFFFFF" w:sz="0"/>
              <w:bottom w:val="none" w:color="FFFFFF" w:sz="0"/>
              <w:right w:val="none" w:color="FFFFFF" w:sz="0"/>
            </w:tcBorders>
            <w:tcMar>
              <w:top w:type="dxa" w:w="60"/>
              <w:left w:type="dxa" w:w="80"/>
              <w:bottom w:type="dxa" w:w="60"/>
              <w:right w:type="dxa" w:w="0"/>
            </w:tcMar>
          </w:tcPr>
          <w:p>
            <w:pPr>
              <w:spacing w:after="0"/>
            </w:pPr>
            <w:r>
              <w:rPr>
                <w:rFonts w:ascii="Arial" w:cs="Arial" w:eastAsia="Arial" w:hAnsi="Arial"/>
                <w:color w:val="1E2733"/>
                <w:sz w:val="21"/>
                <w:szCs w:val="21"/>
              </w:rPr>
              <w:t xml:space="preserve">2.0 (final)</w:t>
            </w:r>
          </w:p>
        </w:tc>
      </w:tr>
      <w:tr>
        <w:tc>
          <w:tcPr>
            <w:tcW w:type="dxa" w:w="2400"/>
            <w:tcBorders>
              <w:top w:val="none" w:color="FFFFFF" w:sz="0"/>
              <w:left w:val="none" w:color="FFFFFF" w:sz="0"/>
              <w:bottom w:val="none" w:color="FFFFFF" w:sz="0"/>
              <w:right w:val="none" w:color="FFFFFF" w:sz="0"/>
            </w:tcBorders>
            <w:tcMar>
              <w:top w:type="dxa" w:w="60"/>
              <w:left w:type="dxa" w:w="0"/>
              <w:bottom w:type="dxa" w:w="60"/>
              <w:right w:type="dxa" w:w="80"/>
            </w:tcMar>
          </w:tcPr>
          <w:p>
            <w:pPr>
              <w:spacing w:after="0"/>
            </w:pPr>
            <w:r>
              <w:rPr>
                <w:rFonts w:ascii="Arial" w:cs="Arial" w:eastAsia="Arial" w:hAnsi="Arial"/>
                <w:b/>
                <w:bCs/>
                <w:color w:val="2E7D6B"/>
                <w:spacing w:val="20"/>
                <w:sz w:val="16"/>
                <w:szCs w:val="16"/>
              </w:rPr>
              <w:t xml:space="preserve">MARKETS COVERED</w:t>
            </w:r>
          </w:p>
        </w:tc>
        <w:tc>
          <w:tcPr>
            <w:tcW w:type="dxa" w:w="7680"/>
            <w:tcBorders>
              <w:top w:val="none" w:color="FFFFFF" w:sz="0"/>
              <w:left w:val="none" w:color="FFFFFF" w:sz="0"/>
              <w:bottom w:val="none" w:color="FFFFFF" w:sz="0"/>
              <w:right w:val="none" w:color="FFFFFF" w:sz="0"/>
            </w:tcBorders>
            <w:tcMar>
              <w:top w:type="dxa" w:w="60"/>
              <w:left w:type="dxa" w:w="80"/>
              <w:bottom w:type="dxa" w:w="60"/>
              <w:right w:type="dxa" w:w="0"/>
            </w:tcMar>
          </w:tcPr>
          <w:p>
            <w:pPr>
              <w:spacing w:after="0"/>
            </w:pPr>
            <w:r>
              <w:rPr>
                <w:rFonts w:ascii="Arial" w:cs="Arial" w:eastAsia="Arial" w:hAnsi="Arial"/>
                <w:color w:val="1E2733"/>
                <w:sz w:val="21"/>
                <w:szCs w:val="21"/>
              </w:rPr>
              <w:t xml:space="preserve">United States, United Kingdom, Canada, Australia, Ireland and New Zealand</w:t>
            </w:r>
          </w:p>
        </w:tc>
      </w:tr>
      <w:tr>
        <w:tc>
          <w:tcPr>
            <w:tcW w:type="dxa" w:w="2400"/>
            <w:tcBorders>
              <w:top w:val="none" w:color="FFFFFF" w:sz="0"/>
              <w:left w:val="none" w:color="FFFFFF" w:sz="0"/>
              <w:bottom w:val="none" w:color="FFFFFF" w:sz="0"/>
              <w:right w:val="none" w:color="FFFFFF" w:sz="0"/>
            </w:tcBorders>
            <w:tcMar>
              <w:top w:type="dxa" w:w="60"/>
              <w:left w:type="dxa" w:w="0"/>
              <w:bottom w:type="dxa" w:w="60"/>
              <w:right w:type="dxa" w:w="80"/>
            </w:tcMar>
          </w:tcPr>
          <w:p>
            <w:pPr>
              <w:spacing w:after="0"/>
            </w:pPr>
            <w:r>
              <w:rPr>
                <w:rFonts w:ascii="Arial" w:cs="Arial" w:eastAsia="Arial" w:hAnsi="Arial"/>
                <w:b/>
                <w:bCs/>
                <w:color w:val="2E7D6B"/>
                <w:spacing w:val="20"/>
                <w:sz w:val="16"/>
                <w:szCs w:val="16"/>
              </w:rPr>
              <w:t xml:space="preserve">CLASSIFICATION</w:t>
            </w:r>
          </w:p>
        </w:tc>
        <w:tc>
          <w:tcPr>
            <w:tcW w:type="dxa" w:w="7680"/>
            <w:tcBorders>
              <w:top w:val="none" w:color="FFFFFF" w:sz="0"/>
              <w:left w:val="none" w:color="FFFFFF" w:sz="0"/>
              <w:bottom w:val="none" w:color="FFFFFF" w:sz="0"/>
              <w:right w:val="none" w:color="FFFFFF" w:sz="0"/>
            </w:tcBorders>
            <w:tcMar>
              <w:top w:type="dxa" w:w="60"/>
              <w:left w:type="dxa" w:w="80"/>
              <w:bottom w:type="dxa" w:w="60"/>
              <w:right w:type="dxa" w:w="0"/>
            </w:tcMar>
          </w:tcPr>
          <w:p>
            <w:pPr>
              <w:spacing w:after="0"/>
            </w:pPr>
            <w:r>
              <w:rPr>
                <w:rFonts w:ascii="Arial" w:cs="Arial" w:eastAsia="Arial" w:hAnsi="Arial"/>
                <w:color w:val="1E2733"/>
                <w:sz w:val="21"/>
                <w:szCs w:val="21"/>
              </w:rPr>
              <w:t xml:space="preserve">Internal use only</w:t>
            </w:r>
          </w:p>
        </w:tc>
      </w:tr>
    </w:tbl>
    <w:p>
      <w:pPr>
        <w:pageBreakBefore/>
        <w:pBdr>
          <w:bottom w:val="single" w:color="2E7D6B" w:sz="12" w:space="6"/>
        </w:pBdr>
        <w:spacing w:after="240"/>
      </w:pPr>
      <w:r>
        <w:rPr>
          <w:rFonts w:ascii="Arial" w:cs="Arial" w:eastAsia="Arial" w:hAnsi="Arial"/>
          <w:b/>
          <w:bCs/>
          <w:color w:val="1F3A5F"/>
          <w:sz w:val="36"/>
          <w:szCs w:val="36"/>
        </w:rPr>
        <w:t xml:space="preserve">Contents</w:t>
      </w:r>
    </w:p>
    <w:p>
      <w:pPr>
        <w:keepNext/>
        <w:tabs>
          <w:tab w:val="right" w:pos="10080" w:leader="dot"/>
        </w:tabs>
        <w:spacing w:after="30" w:before="150" w:line="240"/>
        <w:ind w:left="0"/>
      </w:pPr>
      <w:hyperlink w:history="1" w:anchor="h_about_this_report">
        <w:r>
          <w:rPr>
            <w:rFonts w:ascii="Arial" w:cs="Arial" w:eastAsia="Arial" w:hAnsi="Arial"/>
            <w:b/>
            <w:bCs/>
            <w:color w:val="1F3A5F"/>
            <w:sz w:val="20"/>
            <w:szCs w:val="20"/>
          </w:rPr>
          <w:t xml:space="preserve">About This Report</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h_about_this_report</w:instrText>
          <w:fldChar w:fldCharType="end"/>
        </w:r>
      </w:hyperlink>
    </w:p>
    <w:p>
      <w:pPr>
        <w:keepNext w:val="false"/>
        <w:tabs>
          <w:tab w:val="right" w:pos="10080" w:leader="dot"/>
        </w:tabs>
        <w:spacing w:after="10" w:before="0" w:line="240"/>
        <w:ind w:left="400"/>
      </w:pPr>
      <w:hyperlink w:history="1" w:anchor="h_purpose_and_scope">
        <w:r>
          <w:rPr>
            <w:rFonts w:ascii="Arial" w:cs="Arial" w:eastAsia="Arial" w:hAnsi="Arial"/>
            <w:color w:val="5B6573"/>
            <w:sz w:val="17"/>
            <w:szCs w:val="17"/>
          </w:rPr>
          <w:t xml:space="preserve">Purpose and scope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h_purpose_and_scope</w:instrText>
          <w:fldChar w:fldCharType="end"/>
        </w:r>
      </w:hyperlink>
    </w:p>
    <w:p>
      <w:pPr>
        <w:keepNext w:val="false"/>
        <w:tabs>
          <w:tab w:val="right" w:pos="10080" w:leader="dot"/>
        </w:tabs>
        <w:spacing w:after="10" w:before="0" w:line="240"/>
        <w:ind w:left="400"/>
      </w:pPr>
      <w:hyperlink w:history="1" w:anchor="h_the_two_growmailers_services">
        <w:r>
          <w:rPr>
            <w:rFonts w:ascii="Arial" w:cs="Arial" w:eastAsia="Arial" w:hAnsi="Arial"/>
            <w:color w:val="5B6573"/>
            <w:sz w:val="17"/>
            <w:szCs w:val="17"/>
          </w:rPr>
          <w:t xml:space="preserve">The two GrowMailers services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h_the_two_growmailers_services</w:instrText>
          <w:fldChar w:fldCharType="end"/>
        </w:r>
      </w:hyperlink>
    </w:p>
    <w:p>
      <w:pPr>
        <w:keepNext w:val="false"/>
        <w:tabs>
          <w:tab w:val="right" w:pos="10080" w:leader="dot"/>
        </w:tabs>
        <w:spacing w:after="10" w:before="0" w:line="240"/>
        <w:ind w:left="400"/>
      </w:pPr>
      <w:hyperlink w:history="1" w:anchor="h_how_to_read_this_report">
        <w:r>
          <w:rPr>
            <w:rFonts w:ascii="Arial" w:cs="Arial" w:eastAsia="Arial" w:hAnsi="Arial"/>
            <w:color w:val="5B6573"/>
            <w:sz w:val="17"/>
            <w:szCs w:val="17"/>
          </w:rPr>
          <w:t xml:space="preserve">How to read this report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h_how_to_read_this_report</w:instrText>
          <w:fldChar w:fldCharType="end"/>
        </w:r>
      </w:hyperlink>
    </w:p>
    <w:p>
      <w:pPr>
        <w:keepNext/>
        <w:tabs>
          <w:tab w:val="right" w:pos="10080" w:leader="dot"/>
        </w:tabs>
        <w:spacing w:after="30" w:before="150" w:line="240"/>
        <w:ind w:left="0"/>
      </w:pPr>
      <w:hyperlink w:history="1" w:anchor="sec_1">
        <w:r>
          <w:rPr>
            <w:rFonts w:ascii="Arial" w:cs="Arial" w:eastAsia="Arial" w:hAnsi="Arial"/>
            <w:b/>
            <w:bCs/>
            <w:color w:val="1F3A5F"/>
            <w:sz w:val="20"/>
            <w:szCs w:val="20"/>
          </w:rPr>
          <w:t xml:space="preserve">1. Types of Online Stores and Which Ones We Target</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w:instrText>
          <w:fldChar w:fldCharType="end"/>
        </w:r>
      </w:hyperlink>
    </w:p>
    <w:p>
      <w:pPr>
        <w:keepNext w:val="false"/>
        <w:tabs>
          <w:tab w:val="right" w:pos="10080" w:leader="dot"/>
        </w:tabs>
        <w:spacing w:after="10" w:before="0" w:line="240"/>
        <w:ind w:left="400"/>
      </w:pPr>
      <w:hyperlink w:history="1" w:anchor="sec_1_1">
        <w:r>
          <w:rPr>
            <w:rFonts w:ascii="Arial" w:cs="Arial" w:eastAsia="Arial" w:hAnsi="Arial"/>
            <w:color w:val="5B6573"/>
            <w:sz w:val="17"/>
            <w:szCs w:val="17"/>
          </w:rPr>
          <w:t xml:space="preserve">1.1 Types of online business and whether we can help</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sec_1_1</w:instrText>
          <w:fldChar w:fldCharType="end"/>
        </w:r>
      </w:hyperlink>
    </w:p>
    <w:p>
      <w:pPr>
        <w:keepNext w:val="false"/>
        <w:tabs>
          <w:tab w:val="right" w:pos="10080" w:leader="dot"/>
        </w:tabs>
        <w:spacing w:after="10" w:before="0" w:line="240"/>
        <w:ind w:left="400"/>
      </w:pPr>
      <w:hyperlink w:history="1" w:anchor="sec_1_2">
        <w:r>
          <w:rPr>
            <w:rFonts w:ascii="Arial" w:cs="Arial" w:eastAsia="Arial" w:hAnsi="Arial"/>
            <w:color w:val="5B6573"/>
            <w:sz w:val="17"/>
            <w:szCs w:val="17"/>
          </w:rPr>
          <w:t xml:space="preserve">1.2 Why we skip dropshippers and print-on-demand</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sec_1_2</w:instrText>
          <w:fldChar w:fldCharType="end"/>
        </w:r>
      </w:hyperlink>
    </w:p>
    <w:p>
      <w:pPr>
        <w:keepNext w:val="false"/>
        <w:tabs>
          <w:tab w:val="right" w:pos="10080" w:leader="dot"/>
        </w:tabs>
        <w:spacing w:after="10" w:before="0" w:line="240"/>
        <w:ind w:left="400"/>
      </w:pPr>
      <w:hyperlink w:history="1" w:anchor="sec_1_3">
        <w:r>
          <w:rPr>
            <w:rFonts w:ascii="Arial" w:cs="Arial" w:eastAsia="Arial" w:hAnsi="Arial"/>
            <w:color w:val="5B6573"/>
            <w:sz w:val="17"/>
            <w:szCs w:val="17"/>
          </w:rPr>
          <w:t xml:space="preserve">1.3 Quick decision checklist for qualifying a store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sec_1_3</w:instrText>
          <w:fldChar w:fldCharType="end"/>
        </w:r>
      </w:hyperlink>
    </w:p>
    <w:p>
      <w:pPr>
        <w:keepNext w:val="false"/>
        <w:tabs>
          <w:tab w:val="right" w:pos="10080" w:leader="dot"/>
        </w:tabs>
        <w:spacing w:after="10" w:before="0" w:line="240"/>
        <w:ind w:left="400"/>
      </w:pPr>
      <w:hyperlink w:history="1" w:anchor="sec_1_4">
        <w:r>
          <w:rPr>
            <w:rFonts w:ascii="Arial" w:cs="Arial" w:eastAsia="Arial" w:hAnsi="Arial"/>
            <w:color w:val="5B6573"/>
            <w:sz w:val="17"/>
            <w:szCs w:val="17"/>
          </w:rPr>
          <w:t xml:space="preserve">1.4 Tricky cases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sec_1_4</w:instrText>
          <w:fldChar w:fldCharType="end"/>
        </w:r>
      </w:hyperlink>
    </w:p>
    <w:p>
      <w:pPr>
        <w:keepNext/>
        <w:tabs>
          <w:tab w:val="right" w:pos="10080" w:leader="dot"/>
        </w:tabs>
        <w:spacing w:after="30" w:before="150" w:line="240"/>
        <w:ind w:left="0"/>
      </w:pPr>
      <w:hyperlink w:history="1" w:anchor="sec_2">
        <w:r>
          <w:rPr>
            <w:rFonts w:ascii="Arial" w:cs="Arial" w:eastAsia="Arial" w:hAnsi="Arial"/>
            <w:b/>
            <w:bCs/>
            <w:color w:val="1F3A5F"/>
            <w:sz w:val="20"/>
            <w:szCs w:val="20"/>
          </w:rPr>
          <w:t xml:space="preserve">2. Why Ad Costs Are Killing Profit (and How Email Fixes It)</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sec_2</w:instrText>
          <w:fldChar w:fldCharType="end"/>
        </w:r>
      </w:hyperlink>
    </w:p>
    <w:p>
      <w:pPr>
        <w:keepNext w:val="false"/>
        <w:tabs>
          <w:tab w:val="right" w:pos="10080" w:leader="dot"/>
        </w:tabs>
        <w:spacing w:after="10" w:before="0" w:line="240"/>
        <w:ind w:left="400"/>
      </w:pPr>
      <w:hyperlink w:history="1" w:anchor="sec_2_1">
        <w:r>
          <w:rPr>
            <w:rFonts w:ascii="Arial" w:cs="Arial" w:eastAsia="Arial" w:hAnsi="Arial"/>
            <w:color w:val="5B6573"/>
            <w:sz w:val="17"/>
            <w:szCs w:val="17"/>
          </w:rPr>
          <w:t xml:space="preserve">2.1 The size of the US online shopping market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sec_2_1</w:instrText>
          <w:fldChar w:fldCharType="end"/>
        </w:r>
      </w:hyperlink>
    </w:p>
    <w:p>
      <w:pPr>
        <w:keepNext w:val="false"/>
        <w:tabs>
          <w:tab w:val="right" w:pos="10080" w:leader="dot"/>
        </w:tabs>
        <w:spacing w:after="10" w:before="0" w:line="240"/>
        <w:ind w:left="400"/>
      </w:pPr>
      <w:hyperlink w:history="1" w:anchor="sec_2_2">
        <w:r>
          <w:rPr>
            <w:rFonts w:ascii="Arial" w:cs="Arial" w:eastAsia="Arial" w:hAnsi="Arial"/>
            <w:color w:val="5B6573"/>
            <w:sz w:val="17"/>
            <w:szCs w:val="17"/>
          </w:rPr>
          <w:t xml:space="preserve">2.2 Why ads keep getting more expensive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sec_2_2</w:instrText>
          <w:fldChar w:fldCharType="end"/>
        </w:r>
      </w:hyperlink>
    </w:p>
    <w:p>
      <w:pPr>
        <w:keepNext w:val="false"/>
        <w:tabs>
          <w:tab w:val="right" w:pos="10080" w:leader="dot"/>
        </w:tabs>
        <w:spacing w:after="10" w:before="0" w:line="240"/>
        <w:ind w:left="400"/>
      </w:pPr>
      <w:hyperlink w:history="1" w:anchor="sec_2_3">
        <w:r>
          <w:rPr>
            <w:rFonts w:ascii="Arial" w:cs="Arial" w:eastAsia="Arial" w:hAnsi="Arial"/>
            <w:color w:val="5B6573"/>
            <w:sz w:val="17"/>
            <w:szCs w:val="17"/>
          </w:rPr>
          <w:t xml:space="preserve">2.3 Import taxes (tariffs) and higher costs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sec_2_3</w:instrText>
          <w:fldChar w:fldCharType="end"/>
        </w:r>
      </w:hyperlink>
    </w:p>
    <w:p>
      <w:pPr>
        <w:keepNext w:val="false"/>
        <w:tabs>
          <w:tab w:val="right" w:pos="10080" w:leader="dot"/>
        </w:tabs>
        <w:spacing w:after="10" w:before="0" w:line="240"/>
        <w:ind w:left="400"/>
      </w:pPr>
      <w:hyperlink w:history="1" w:anchor="sec_2_4">
        <w:r>
          <w:rPr>
            <w:rFonts w:ascii="Arial" w:cs="Arial" w:eastAsia="Arial" w:hAnsi="Arial"/>
            <w:color w:val="5B6573"/>
            <w:sz w:val="17"/>
            <w:szCs w:val="17"/>
          </w:rPr>
          <w:t xml:space="preserve">2.4 The cost of getting a new customer vs. keeping one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sec_2_4</w:instrText>
          <w:fldChar w:fldCharType="end"/>
        </w:r>
      </w:hyperlink>
    </w:p>
    <w:p>
      <w:pPr>
        <w:keepNext w:val="false"/>
        <w:tabs>
          <w:tab w:val="right" w:pos="10080" w:leader="dot"/>
        </w:tabs>
        <w:spacing w:after="10" w:before="0" w:line="240"/>
        <w:ind w:left="400"/>
      </w:pPr>
      <w:hyperlink w:history="1" w:anchor="sec_2_5">
        <w:r>
          <w:rPr>
            <w:rFonts w:ascii="Arial" w:cs="Arial" w:eastAsia="Arial" w:hAnsi="Arial"/>
            <w:color w:val="5B6573"/>
            <w:sz w:val="17"/>
            <w:szCs w:val="17"/>
          </w:rPr>
          <w:t xml:space="preserve">2.5 Why getting customers back is so profitable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sec_2_5</w:instrText>
          <w:fldChar w:fldCharType="end"/>
        </w:r>
      </w:hyperlink>
    </w:p>
    <w:p>
      <w:pPr>
        <w:keepNext w:val="false"/>
        <w:tabs>
          <w:tab w:val="right" w:pos="10080" w:leader="dot"/>
        </w:tabs>
        <w:spacing w:after="10" w:before="0" w:line="240"/>
        <w:ind w:left="400"/>
      </w:pPr>
      <w:hyperlink w:history="1" w:anchor="sec_2_6">
        <w:r>
          <w:rPr>
            <w:rFonts w:ascii="Arial" w:cs="Arial" w:eastAsia="Arial" w:hAnsi="Arial"/>
            <w:color w:val="5B6573"/>
            <w:sz w:val="17"/>
            <w:szCs w:val="17"/>
          </w:rPr>
          <w:t xml:space="preserve">2.6 How to talk about this with clients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sec_2_6</w:instrText>
          <w:fldChar w:fldCharType="end"/>
        </w:r>
      </w:hyperlink>
    </w:p>
    <w:p>
      <w:pPr>
        <w:keepNext/>
        <w:tabs>
          <w:tab w:val="right" w:pos="10080" w:leader="dot"/>
        </w:tabs>
        <w:spacing w:after="30" w:before="150" w:line="240"/>
        <w:ind w:left="0"/>
      </w:pPr>
      <w:hyperlink w:history="1" w:anchor="sec_3">
        <w:r>
          <w:rPr>
            <w:rFonts w:ascii="Arial" w:cs="Arial" w:eastAsia="Arial" w:hAnsi="Arial"/>
            <w:b/>
            <w:bCs/>
            <w:color w:val="1F3A5F"/>
            <w:sz w:val="20"/>
            <w:szCs w:val="20"/>
          </w:rPr>
          <w:t xml:space="preserve">3. How to Read a Store's Tech Setup to Judge Fit</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sec_3</w:instrText>
          <w:fldChar w:fldCharType="end"/>
        </w:r>
      </w:hyperlink>
    </w:p>
    <w:p>
      <w:pPr>
        <w:keepNext w:val="false"/>
        <w:tabs>
          <w:tab w:val="right" w:pos="10080" w:leader="dot"/>
        </w:tabs>
        <w:spacing w:after="10" w:before="0" w:line="240"/>
        <w:ind w:left="400"/>
      </w:pPr>
      <w:hyperlink w:history="1" w:anchor="sec_3_1">
        <w:r>
          <w:rPr>
            <w:rFonts w:ascii="Arial" w:cs="Arial" w:eastAsia="Arial" w:hAnsi="Arial"/>
            <w:color w:val="5B6573"/>
            <w:sz w:val="17"/>
            <w:szCs w:val="17"/>
          </w:rPr>
          <w:t xml:space="preserve">3.1 What tools DTC brands use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sec_3_1</w:instrText>
          <w:fldChar w:fldCharType="end"/>
        </w:r>
      </w:hyperlink>
    </w:p>
    <w:p>
      <w:pPr>
        <w:keepNext w:val="false"/>
        <w:tabs>
          <w:tab w:val="right" w:pos="10080" w:leader="dot"/>
        </w:tabs>
        <w:spacing w:after="10" w:before="0" w:line="240"/>
        <w:ind w:left="400"/>
      </w:pPr>
      <w:hyperlink w:history="1" w:anchor="sec_3_2">
        <w:r>
          <w:rPr>
            <w:rFonts w:ascii="Arial" w:cs="Arial" w:eastAsia="Arial" w:hAnsi="Arial"/>
            <w:color w:val="5B6573"/>
            <w:sz w:val="17"/>
            <w:szCs w:val="17"/>
          </w:rPr>
          <w:t xml:space="preserve">3.2 What each tool tells us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sec_3_2</w:instrText>
          <w:fldChar w:fldCharType="end"/>
        </w:r>
      </w:hyperlink>
    </w:p>
    <w:p>
      <w:pPr>
        <w:keepNext w:val="false"/>
        <w:tabs>
          <w:tab w:val="right" w:pos="10080" w:leader="dot"/>
        </w:tabs>
        <w:spacing w:after="10" w:before="0" w:line="240"/>
        <w:ind w:left="400"/>
      </w:pPr>
      <w:hyperlink w:history="1" w:anchor="sec_3_3">
        <w:r>
          <w:rPr>
            <w:rFonts w:ascii="Arial" w:cs="Arial" w:eastAsia="Arial" w:hAnsi="Arial"/>
            <w:color w:val="5B6573"/>
            <w:sz w:val="17"/>
            <w:szCs w:val="17"/>
          </w:rPr>
          <w:t xml:space="preserve">3.3 How to score a prospect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sec_3_3</w:instrText>
          <w:fldChar w:fldCharType="end"/>
        </w:r>
      </w:hyperlink>
    </w:p>
    <w:p>
      <w:pPr>
        <w:keepNext w:val="false"/>
        <w:tabs>
          <w:tab w:val="right" w:pos="10080" w:leader="dot"/>
        </w:tabs>
        <w:spacing w:after="10" w:before="0" w:line="240"/>
        <w:ind w:left="400"/>
      </w:pPr>
      <w:hyperlink w:history="1" w:anchor="sec_3_4">
        <w:r>
          <w:rPr>
            <w:rFonts w:ascii="Arial" w:cs="Arial" w:eastAsia="Arial" w:hAnsi="Arial"/>
            <w:color w:val="5B6573"/>
            <w:sz w:val="17"/>
            <w:szCs w:val="17"/>
          </w:rPr>
          <w:t xml:space="preserve">3.4 Always verify before reaching out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sec_3_4</w:instrText>
          <w:fldChar w:fldCharType="end"/>
        </w:r>
      </w:hyperlink>
    </w:p>
    <w:p>
      <w:pPr>
        <w:keepNext/>
        <w:tabs>
          <w:tab w:val="right" w:pos="10080" w:leader="dot"/>
        </w:tabs>
        <w:spacing w:after="30" w:before="150" w:line="240"/>
        <w:ind w:left="0"/>
      </w:pPr>
      <w:hyperlink w:history="1" w:anchor="sec_4">
        <w:r>
          <w:rPr>
            <w:rFonts w:ascii="Arial" w:cs="Arial" w:eastAsia="Arial" w:hAnsi="Arial"/>
            <w:b/>
            <w:bCs/>
            <w:color w:val="1F3A5F"/>
            <w:sz w:val="20"/>
            <w:szCs w:val="20"/>
          </w:rPr>
          <w:t xml:space="preserve">4. Who Our Perfect Clients Are</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sec_4</w:instrText>
          <w:fldChar w:fldCharType="end"/>
        </w:r>
      </w:hyperlink>
    </w:p>
    <w:p>
      <w:pPr>
        <w:keepNext w:val="false"/>
        <w:tabs>
          <w:tab w:val="right" w:pos="10080" w:leader="dot"/>
        </w:tabs>
        <w:spacing w:after="10" w:before="0" w:line="240"/>
        <w:ind w:left="400"/>
      </w:pPr>
      <w:hyperlink w:history="1" w:anchor="sec_4_1">
        <w:r>
          <w:rPr>
            <w:rFonts w:ascii="Arial" w:cs="Arial" w:eastAsia="Arial" w:hAnsi="Arial"/>
            <w:color w:val="5B6573"/>
            <w:sz w:val="17"/>
            <w:szCs w:val="17"/>
          </w:rPr>
          <w:t xml:space="preserve">4.1 The entry requirements (must have all of these)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sec_4_1</w:instrText>
          <w:fldChar w:fldCharType="end"/>
        </w:r>
      </w:hyperlink>
    </w:p>
    <w:p>
      <w:pPr>
        <w:keepNext w:val="false"/>
        <w:tabs>
          <w:tab w:val="right" w:pos="10080" w:leader="dot"/>
        </w:tabs>
        <w:spacing w:after="10" w:before="0" w:line="240"/>
        <w:ind w:left="400"/>
      </w:pPr>
      <w:hyperlink w:history="1" w:anchor="sec_4_2">
        <w:r>
          <w:rPr>
            <w:rFonts w:ascii="Arial" w:cs="Arial" w:eastAsia="Arial" w:hAnsi="Arial"/>
            <w:color w:val="5B6573"/>
            <w:sz w:val="17"/>
            <w:szCs w:val="17"/>
          </w:rPr>
          <w:t xml:space="preserve">4.2 Ascent client tiers (all technical repair jobs)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sec_4_2</w:instrText>
          <w:fldChar w:fldCharType="end"/>
        </w:r>
      </w:hyperlink>
    </w:p>
    <w:p>
      <w:pPr>
        <w:keepNext w:val="false"/>
        <w:tabs>
          <w:tab w:val="right" w:pos="10080" w:leader="dot"/>
        </w:tabs>
        <w:spacing w:after="10" w:before="0" w:line="240"/>
        <w:ind w:left="400"/>
      </w:pPr>
      <w:hyperlink w:history="1" w:anchor="sec_4_3">
        <w:r>
          <w:rPr>
            <w:rFonts w:ascii="Arial" w:cs="Arial" w:eastAsia="Arial" w:hAnsi="Arial"/>
            <w:color w:val="5B6573"/>
            <w:sz w:val="17"/>
            <w:szCs w:val="17"/>
          </w:rPr>
          <w:t xml:space="preserve">4.3 Lhotse client tiers (monthly retainer)</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sec_4_3</w:instrText>
          <w:fldChar w:fldCharType="end"/>
        </w:r>
      </w:hyperlink>
    </w:p>
    <w:p>
      <w:pPr>
        <w:keepNext w:val="false"/>
        <w:tabs>
          <w:tab w:val="right" w:pos="10080" w:leader="dot"/>
        </w:tabs>
        <w:spacing w:after="10" w:before="0" w:line="240"/>
        <w:ind w:left="400"/>
      </w:pPr>
      <w:hyperlink w:history="1" w:anchor="sec_4_4">
        <w:r>
          <w:rPr>
            <w:rFonts w:ascii="Arial" w:cs="Arial" w:eastAsia="Arial" w:hAnsi="Arial"/>
            <w:color w:val="5B6573"/>
            <w:sz w:val="17"/>
            <w:szCs w:val="17"/>
          </w:rPr>
          <w:t xml:space="preserve">4.4 Why these four product types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sec_4_4</w:instrText>
          <w:fldChar w:fldCharType="end"/>
        </w:r>
      </w:hyperlink>
    </w:p>
    <w:p>
      <w:pPr>
        <w:keepNext w:val="false"/>
        <w:tabs>
          <w:tab w:val="right" w:pos="10080" w:leader="dot"/>
        </w:tabs>
        <w:spacing w:after="10" w:before="0" w:line="240"/>
        <w:ind w:left="400"/>
      </w:pPr>
      <w:hyperlink w:history="1" w:anchor="sec_4_5">
        <w:r>
          <w:rPr>
            <w:rFonts w:ascii="Arial" w:cs="Arial" w:eastAsia="Arial" w:hAnsi="Arial"/>
            <w:color w:val="5B6573"/>
            <w:sz w:val="17"/>
            <w:szCs w:val="17"/>
          </w:rPr>
          <w:t xml:space="preserve">4.5 Who to skip</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sec_4_5</w:instrText>
          <w:fldChar w:fldCharType="end"/>
        </w:r>
      </w:hyperlink>
    </w:p>
    <w:p>
      <w:pPr>
        <w:keepNext w:val="false"/>
        <w:tabs>
          <w:tab w:val="right" w:pos="10080" w:leader="dot"/>
        </w:tabs>
        <w:spacing w:after="10" w:before="0" w:line="240"/>
        <w:ind w:left="400"/>
      </w:pPr>
      <w:hyperlink w:history="1" w:anchor="sec_4_6">
        <w:r>
          <w:rPr>
            <w:rFonts w:ascii="Arial" w:cs="Arial" w:eastAsia="Arial" w:hAnsi="Arial"/>
            <w:color w:val="5B6573"/>
            <w:sz w:val="17"/>
            <w:szCs w:val="17"/>
          </w:rPr>
          <w:t xml:space="preserve">4.6 What our perfect Lhotse client looks like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sec_4_6</w:instrText>
          <w:fldChar w:fldCharType="end"/>
        </w:r>
      </w:hyperlink>
    </w:p>
    <w:p>
      <w:pPr>
        <w:keepNext/>
        <w:tabs>
          <w:tab w:val="right" w:pos="10080" w:leader="dot"/>
        </w:tabs>
        <w:spacing w:after="30" w:before="150" w:line="240"/>
        <w:ind w:left="0"/>
      </w:pPr>
      <w:hyperlink w:history="1" w:anchor="sec_5">
        <w:r>
          <w:rPr>
            <w:rFonts w:ascii="Arial" w:cs="Arial" w:eastAsia="Arial" w:hAnsi="Arial"/>
            <w:b/>
            <w:bCs/>
            <w:color w:val="1F3A5F"/>
            <w:sz w:val="20"/>
            <w:szCs w:val="20"/>
          </w:rPr>
          <w:t xml:space="preserve">5. How Many Potential Clients Exist and Where They Are</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sec_5</w:instrText>
          <w:fldChar w:fldCharType="end"/>
        </w:r>
      </w:hyperlink>
    </w:p>
    <w:p>
      <w:pPr>
        <w:keepNext w:val="false"/>
        <w:tabs>
          <w:tab w:val="right" w:pos="10080" w:leader="dot"/>
        </w:tabs>
        <w:spacing w:after="10" w:before="0" w:line="240"/>
        <w:ind w:left="400"/>
      </w:pPr>
      <w:hyperlink w:history="1" w:anchor="sec_5_1">
        <w:r>
          <w:rPr>
            <w:rFonts w:ascii="Arial" w:cs="Arial" w:eastAsia="Arial" w:hAnsi="Arial"/>
            <w:color w:val="5B6573"/>
            <w:sz w:val="17"/>
            <w:szCs w:val="17"/>
          </w:rPr>
          <w:t xml:space="preserve">5.1 The number of Shopify stores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sec_5_1</w:instrText>
          <w:fldChar w:fldCharType="end"/>
        </w:r>
      </w:hyperlink>
    </w:p>
    <w:p>
      <w:pPr>
        <w:keepNext w:val="false"/>
        <w:tabs>
          <w:tab w:val="right" w:pos="10080" w:leader="dot"/>
        </w:tabs>
        <w:spacing w:after="10" w:before="0" w:line="240"/>
        <w:ind w:left="400"/>
      </w:pPr>
      <w:hyperlink w:history="1" w:anchor="sec_5_2">
        <w:r>
          <w:rPr>
            <w:rFonts w:ascii="Arial" w:cs="Arial" w:eastAsia="Arial" w:hAnsi="Arial"/>
            <w:color w:val="5B6573"/>
            <w:sz w:val="17"/>
            <w:szCs w:val="17"/>
          </w:rPr>
          <w:t xml:space="preserve">5.2 Narrowing down to real prospects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sec_5_2</w:instrText>
          <w:fldChar w:fldCharType="end"/>
        </w:r>
      </w:hyperlink>
    </w:p>
    <w:p>
      <w:pPr>
        <w:keepNext w:val="false"/>
        <w:tabs>
          <w:tab w:val="right" w:pos="10080" w:leader="dot"/>
        </w:tabs>
        <w:spacing w:after="10" w:before="0" w:line="240"/>
        <w:ind w:left="400"/>
      </w:pPr>
      <w:hyperlink w:history="1" w:anchor="sec_5_3">
        <w:r>
          <w:rPr>
            <w:rFonts w:ascii="Arial" w:cs="Arial" w:eastAsia="Arial" w:hAnsi="Arial"/>
            <w:color w:val="5B6573"/>
            <w:sz w:val="17"/>
            <w:szCs w:val="17"/>
          </w:rPr>
          <w:t xml:space="preserve">5.3 Each country's role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sec_5_3</w:instrText>
          <w:fldChar w:fldCharType="end"/>
        </w:r>
      </w:hyperlink>
    </w:p>
    <w:p>
      <w:pPr>
        <w:keepNext w:val="false"/>
        <w:tabs>
          <w:tab w:val="right" w:pos="10080" w:leader="dot"/>
        </w:tabs>
        <w:spacing w:after="10" w:before="0" w:line="240"/>
        <w:ind w:left="400"/>
      </w:pPr>
      <w:hyperlink w:history="1" w:anchor="sec_5_4">
        <w:r>
          <w:rPr>
            <w:rFonts w:ascii="Arial" w:cs="Arial" w:eastAsia="Arial" w:hAnsi="Arial"/>
            <w:color w:val="5B6573"/>
            <w:sz w:val="17"/>
            <w:szCs w:val="17"/>
          </w:rPr>
          <w:t xml:space="preserve">5.4 Best US states to target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sec_5_4</w:instrText>
          <w:fldChar w:fldCharType="end"/>
        </w:r>
      </w:hyperlink>
    </w:p>
    <w:p>
      <w:pPr>
        <w:keepNext w:val="false"/>
        <w:tabs>
          <w:tab w:val="right" w:pos="10080" w:leader="dot"/>
        </w:tabs>
        <w:spacing w:after="10" w:before="0" w:line="240"/>
        <w:ind w:left="400"/>
      </w:pPr>
      <w:hyperlink w:history="1" w:anchor="sec_5_5">
        <w:r>
          <w:rPr>
            <w:rFonts w:ascii="Arial" w:cs="Arial" w:eastAsia="Arial" w:hAnsi="Arial"/>
            <w:color w:val="5B6573"/>
            <w:sz w:val="17"/>
            <w:szCs w:val="17"/>
          </w:rPr>
          <w:t xml:space="preserve">5.5 Watch out for fake US addresses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sec_5_5</w:instrText>
          <w:fldChar w:fldCharType="end"/>
        </w:r>
      </w:hyperlink>
    </w:p>
    <w:p>
      <w:pPr>
        <w:keepNext w:val="false"/>
        <w:tabs>
          <w:tab w:val="right" w:pos="10080" w:leader="dot"/>
        </w:tabs>
        <w:spacing w:after="10" w:before="0" w:line="240"/>
        <w:ind w:left="400"/>
      </w:pPr>
      <w:hyperlink w:history="1" w:anchor="sec_5_6">
        <w:r>
          <w:rPr>
            <w:rFonts w:ascii="Arial" w:cs="Arial" w:eastAsia="Arial" w:hAnsi="Arial"/>
            <w:color w:val="5B6573"/>
            <w:sz w:val="17"/>
            <w:szCs w:val="17"/>
          </w:rPr>
          <w:t xml:space="preserve">5.6 Time zone guide (working from Nepal)</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sec_5_6</w:instrText>
          <w:fldChar w:fldCharType="end"/>
        </w:r>
      </w:hyperlink>
    </w:p>
    <w:p>
      <w:pPr>
        <w:keepNext/>
        <w:tabs>
          <w:tab w:val="right" w:pos="10080" w:leader="dot"/>
        </w:tabs>
        <w:spacing w:after="30" w:before="150" w:line="240"/>
        <w:ind w:left="0"/>
      </w:pPr>
      <w:hyperlink w:history="1" w:anchor="sec_6">
        <w:r>
          <w:rPr>
            <w:rFonts w:ascii="Arial" w:cs="Arial" w:eastAsia="Arial" w:hAnsi="Arial"/>
            <w:b/>
            <w:bCs/>
            <w:color w:val="1F3A5F"/>
            <w:sz w:val="20"/>
            <w:szCs w:val="20"/>
          </w:rPr>
          <w:t xml:space="preserve">6. Who Makes the Buying Decision and What They Care About</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sec_6</w:instrText>
          <w:fldChar w:fldCharType="end"/>
        </w:r>
      </w:hyperlink>
    </w:p>
    <w:p>
      <w:pPr>
        <w:keepNext w:val="false"/>
        <w:tabs>
          <w:tab w:val="right" w:pos="10080" w:leader="dot"/>
        </w:tabs>
        <w:spacing w:after="10" w:before="0" w:line="240"/>
        <w:ind w:left="400"/>
      </w:pPr>
      <w:hyperlink w:history="1" w:anchor="sec_6_1">
        <w:r>
          <w:rPr>
            <w:rFonts w:ascii="Arial" w:cs="Arial" w:eastAsia="Arial" w:hAnsi="Arial"/>
            <w:color w:val="5B6573"/>
            <w:sz w:val="17"/>
            <w:szCs w:val="17"/>
          </w:rPr>
          <w:t xml:space="preserve">6.1 How teams change as brands grow</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sec_6_1</w:instrText>
          <w:fldChar w:fldCharType="end"/>
        </w:r>
      </w:hyperlink>
    </w:p>
    <w:p>
      <w:pPr>
        <w:keepNext w:val="false"/>
        <w:tabs>
          <w:tab w:val="right" w:pos="10080" w:leader="dot"/>
        </w:tabs>
        <w:spacing w:after="10" w:before="0" w:line="240"/>
        <w:ind w:left="400"/>
      </w:pPr>
      <w:hyperlink w:history="1" w:anchor="sec_6_2">
        <w:r>
          <w:rPr>
            <w:rFonts w:ascii="Arial" w:cs="Arial" w:eastAsia="Arial" w:hAnsi="Arial"/>
            <w:color w:val="5B6573"/>
            <w:sz w:val="17"/>
            <w:szCs w:val="17"/>
          </w:rPr>
          <w:t xml:space="preserve">6.2 The four types of decision-makers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sec_6_2</w:instrText>
          <w:fldChar w:fldCharType="end"/>
        </w:r>
      </w:hyperlink>
    </w:p>
    <w:p>
      <w:pPr>
        <w:keepNext w:val="false"/>
        <w:tabs>
          <w:tab w:val="right" w:pos="10080" w:leader="dot"/>
        </w:tabs>
        <w:spacing w:after="10" w:before="0" w:line="240"/>
        <w:ind w:left="400"/>
      </w:pPr>
      <w:hyperlink w:history="1" w:anchor="sec_6_3">
        <w:r>
          <w:rPr>
            <w:rFonts w:ascii="Arial" w:cs="Arial" w:eastAsia="Arial" w:hAnsi="Arial"/>
            <w:color w:val="5B6573"/>
            <w:sz w:val="17"/>
            <w:szCs w:val="17"/>
          </w:rPr>
          <w:t xml:space="preserve">6.3 How to handle common objections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sec_6_3</w:instrText>
          <w:fldChar w:fldCharType="end"/>
        </w:r>
      </w:hyperlink>
    </w:p>
    <w:p>
      <w:pPr>
        <w:keepNext/>
        <w:tabs>
          <w:tab w:val="right" w:pos="10080" w:leader="dot"/>
        </w:tabs>
        <w:spacing w:after="30" w:before="150" w:line="240"/>
        <w:ind w:left="0"/>
      </w:pPr>
      <w:hyperlink w:history="1" w:anchor="sec_7">
        <w:r>
          <w:rPr>
            <w:rFonts w:ascii="Arial" w:cs="Arial" w:eastAsia="Arial" w:hAnsi="Arial"/>
            <w:b/>
            <w:bCs/>
            <w:color w:val="1F3A5F"/>
            <w:sz w:val="20"/>
            <w:szCs w:val="20"/>
          </w:rPr>
          <w:t xml:space="preserve">7. How Much Money Each Type of Product Makes</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sec_7</w:instrText>
          <w:fldChar w:fldCharType="end"/>
        </w:r>
      </w:hyperlink>
    </w:p>
    <w:p>
      <w:pPr>
        <w:keepNext w:val="false"/>
        <w:tabs>
          <w:tab w:val="right" w:pos="10080" w:leader="dot"/>
        </w:tabs>
        <w:spacing w:after="10" w:before="0" w:line="240"/>
        <w:ind w:left="400"/>
      </w:pPr>
      <w:hyperlink w:history="1" w:anchor="sec_7_1">
        <w:r>
          <w:rPr>
            <w:rFonts w:ascii="Arial" w:cs="Arial" w:eastAsia="Arial" w:hAnsi="Arial"/>
            <w:color w:val="5B6573"/>
            <w:sz w:val="17"/>
            <w:szCs w:val="17"/>
          </w:rPr>
          <w:t xml:space="preserve">7.1 What real company financials look like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sec_7_1</w:instrText>
          <w:fldChar w:fldCharType="end"/>
        </w:r>
      </w:hyperlink>
    </w:p>
    <w:p>
      <w:pPr>
        <w:keepNext w:val="false"/>
        <w:tabs>
          <w:tab w:val="right" w:pos="10080" w:leader="dot"/>
        </w:tabs>
        <w:spacing w:after="10" w:before="0" w:line="240"/>
        <w:ind w:left="400"/>
      </w:pPr>
      <w:hyperlink w:history="1" w:anchor="sec_7_2">
        <w:r>
          <w:rPr>
            <w:rFonts w:ascii="Arial" w:cs="Arial" w:eastAsia="Arial" w:hAnsi="Arial"/>
            <w:color w:val="5B6573"/>
            <w:sz w:val="17"/>
            <w:szCs w:val="17"/>
          </w:rPr>
          <w:t xml:space="preserve">7.2 Profit per order by product type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sec_7_2</w:instrText>
          <w:fldChar w:fldCharType="end"/>
        </w:r>
      </w:hyperlink>
    </w:p>
    <w:p>
      <w:pPr>
        <w:keepNext w:val="false"/>
        <w:tabs>
          <w:tab w:val="right" w:pos="10080" w:leader="dot"/>
        </w:tabs>
        <w:spacing w:after="10" w:before="0" w:line="240"/>
        <w:ind w:left="400"/>
      </w:pPr>
      <w:hyperlink w:history="1" w:anchor="sec_7_3">
        <w:r>
          <w:rPr>
            <w:rFonts w:ascii="Arial" w:cs="Arial" w:eastAsia="Arial" w:hAnsi="Arial"/>
            <w:color w:val="5B6573"/>
            <w:sz w:val="17"/>
            <w:szCs w:val="17"/>
          </w:rPr>
          <w:t xml:space="preserve">7.3 How profit builds over time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sec_7_3</w:instrText>
          <w:fldChar w:fldCharType="end"/>
        </w:r>
      </w:hyperlink>
    </w:p>
    <w:p>
      <w:pPr>
        <w:keepNext w:val="false"/>
        <w:tabs>
          <w:tab w:val="right" w:pos="10080" w:leader="dot"/>
        </w:tabs>
        <w:spacing w:after="10" w:before="0" w:line="240"/>
        <w:ind w:left="400"/>
      </w:pPr>
      <w:hyperlink w:history="1" w:anchor="sec_7_4">
        <w:r>
          <w:rPr>
            <w:rFonts w:ascii="Arial" w:cs="Arial" w:eastAsia="Arial" w:hAnsi="Arial"/>
            <w:color w:val="5B6573"/>
            <w:sz w:val="17"/>
            <w:szCs w:val="17"/>
          </w:rPr>
          <w:t xml:space="preserve">7.4 How many extra repeat orders our services need to generate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sec_7_4</w:instrText>
          <w:fldChar w:fldCharType="end"/>
        </w:r>
      </w:hyperlink>
    </w:p>
    <w:p>
      <w:pPr>
        <w:keepNext w:val="false"/>
        <w:tabs>
          <w:tab w:val="right" w:pos="10080" w:leader="dot"/>
        </w:tabs>
        <w:spacing w:after="10" w:before="0" w:line="240"/>
        <w:ind w:left="400"/>
      </w:pPr>
      <w:hyperlink w:history="1" w:anchor="sec_7_5">
        <w:r>
          <w:rPr>
            <w:rFonts w:ascii="Arial" w:cs="Arial" w:eastAsia="Arial" w:hAnsi="Arial"/>
            <w:color w:val="5B6573"/>
            <w:sz w:val="17"/>
            <w:szCs w:val="17"/>
          </w:rPr>
          <w:t xml:space="preserve">7.5 The levers that move the model</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sec_7_5</w:instrText>
          <w:fldChar w:fldCharType="end"/>
        </w:r>
      </w:hyperlink>
    </w:p>
    <w:p>
      <w:pPr>
        <w:keepNext/>
        <w:tabs>
          <w:tab w:val="right" w:pos="10080" w:leader="dot"/>
        </w:tabs>
        <w:spacing w:after="30" w:before="150" w:line="240"/>
        <w:ind w:left="0"/>
      </w:pPr>
      <w:hyperlink w:history="1" w:anchor="sec_8">
        <w:r>
          <w:rPr>
            <w:rFonts w:ascii="Arial" w:cs="Arial" w:eastAsia="Arial" w:hAnsi="Arial"/>
            <w:b/>
            <w:bCs/>
            <w:color w:val="1F3A5F"/>
            <w:sz w:val="20"/>
            <w:szCs w:val="20"/>
          </w:rPr>
          <w:t xml:space="preserve">8. When to Sell (the Business Calendar)</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sec_8</w:instrText>
          <w:fldChar w:fldCharType="end"/>
        </w:r>
      </w:hyperlink>
    </w:p>
    <w:p>
      <w:pPr>
        <w:keepNext w:val="false"/>
        <w:tabs>
          <w:tab w:val="right" w:pos="10080" w:leader="dot"/>
        </w:tabs>
        <w:spacing w:after="10" w:before="0" w:line="240"/>
        <w:ind w:left="400"/>
      </w:pPr>
      <w:hyperlink w:history="1" w:anchor="sec_8_1">
        <w:r>
          <w:rPr>
            <w:rFonts w:ascii="Arial" w:cs="Arial" w:eastAsia="Arial" w:hAnsi="Arial"/>
            <w:color w:val="5B6573"/>
            <w:sz w:val="17"/>
            <w:szCs w:val="17"/>
          </w:rPr>
          <w:t xml:space="preserve">8.1 The inventory money cycle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sec_8_1</w:instrText>
          <w:fldChar w:fldCharType="end"/>
        </w:r>
      </w:hyperlink>
    </w:p>
    <w:p>
      <w:pPr>
        <w:keepNext w:val="false"/>
        <w:tabs>
          <w:tab w:val="right" w:pos="10080" w:leader="dot"/>
        </w:tabs>
        <w:spacing w:after="10" w:before="0" w:line="240"/>
        <w:ind w:left="400"/>
      </w:pPr>
      <w:hyperlink w:history="1" w:anchor="sec_8_2">
        <w:r>
          <w:rPr>
            <w:rFonts w:ascii="Arial" w:cs="Arial" w:eastAsia="Arial" w:hAnsi="Arial"/>
            <w:color w:val="5B6573"/>
            <w:sz w:val="17"/>
            <w:szCs w:val="17"/>
          </w:rPr>
          <w:t xml:space="preserve">8.2 Month-by-month guide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sec_8_2</w:instrText>
          <w:fldChar w:fldCharType="end"/>
        </w:r>
      </w:hyperlink>
    </w:p>
    <w:p>
      <w:pPr>
        <w:keepNext w:val="false"/>
        <w:tabs>
          <w:tab w:val="right" w:pos="10080" w:leader="dot"/>
        </w:tabs>
        <w:spacing w:after="10" w:before="0" w:line="240"/>
        <w:ind w:left="400"/>
      </w:pPr>
      <w:hyperlink w:history="1" w:anchor="sec_8_3">
        <w:r>
          <w:rPr>
            <w:rFonts w:ascii="Arial" w:cs="Arial" w:eastAsia="Arial" w:hAnsi="Arial"/>
            <w:color w:val="5B6573"/>
            <w:sz w:val="17"/>
            <w:szCs w:val="17"/>
          </w:rPr>
          <w:t xml:space="preserve">8.3 When budgets reset by country</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sec_8_3</w:instrText>
          <w:fldChar w:fldCharType="end"/>
        </w:r>
      </w:hyperlink>
    </w:p>
    <w:p>
      <w:pPr>
        <w:keepNext/>
        <w:tabs>
          <w:tab w:val="right" w:pos="10080" w:leader="dot"/>
        </w:tabs>
        <w:spacing w:after="30" w:before="150" w:line="240"/>
        <w:ind w:left="0"/>
      </w:pPr>
      <w:hyperlink w:history="1" w:anchor="sec_9">
        <w:r>
          <w:rPr>
            <w:rFonts w:ascii="Arial" w:cs="Arial" w:eastAsia="Arial" w:hAnsi="Arial"/>
            <w:b/>
            <w:bCs/>
            <w:color w:val="1F3A5F"/>
            <w:sz w:val="20"/>
            <w:szCs w:val="20"/>
          </w:rPr>
          <w:t xml:space="preserve">9. How to Measure Whether Email Is Working</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sec_9</w:instrText>
          <w:fldChar w:fldCharType="end"/>
        </w:r>
      </w:hyperlink>
    </w:p>
    <w:p>
      <w:pPr>
        <w:keepNext w:val="false"/>
        <w:tabs>
          <w:tab w:val="right" w:pos="10080" w:leader="dot"/>
        </w:tabs>
        <w:spacing w:after="10" w:before="0" w:line="240"/>
        <w:ind w:left="400"/>
      </w:pPr>
      <w:hyperlink w:history="1" w:anchor="sec_9_1">
        <w:r>
          <w:rPr>
            <w:rFonts w:ascii="Arial" w:cs="Arial" w:eastAsia="Arial" w:hAnsi="Arial"/>
            <w:color w:val="5B6573"/>
            <w:sz w:val="17"/>
            <w:szCs w:val="17"/>
          </w:rPr>
          <w:t xml:space="preserve">9.1 How much revenue email should drive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sec_9_1</w:instrText>
          <w:fldChar w:fldCharType="end"/>
        </w:r>
      </w:hyperlink>
    </w:p>
    <w:p>
      <w:pPr>
        <w:keepNext w:val="false"/>
        <w:tabs>
          <w:tab w:val="right" w:pos="10080" w:leader="dot"/>
        </w:tabs>
        <w:spacing w:after="10" w:before="0" w:line="240"/>
        <w:ind w:left="400"/>
      </w:pPr>
      <w:hyperlink w:history="1" w:anchor="sec_9_2">
        <w:r>
          <w:rPr>
            <w:rFonts w:ascii="Arial" w:cs="Arial" w:eastAsia="Arial" w:hAnsi="Arial"/>
            <w:color w:val="5B6573"/>
            <w:sz w:val="17"/>
            <w:szCs w:val="17"/>
          </w:rPr>
          <w:t xml:space="preserve">9.2 Industry benchmarks by platform</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sec_9_2</w:instrText>
          <w:fldChar w:fldCharType="end"/>
        </w:r>
      </w:hyperlink>
    </w:p>
    <w:p>
      <w:pPr>
        <w:keepNext w:val="false"/>
        <w:tabs>
          <w:tab w:val="right" w:pos="10080" w:leader="dot"/>
        </w:tabs>
        <w:spacing w:after="10" w:before="0" w:line="240"/>
        <w:ind w:left="400"/>
      </w:pPr>
      <w:hyperlink w:history="1" w:anchor="sec_9_3">
        <w:r>
          <w:rPr>
            <w:rFonts w:ascii="Arial" w:cs="Arial" w:eastAsia="Arial" w:hAnsi="Arial"/>
            <w:color w:val="5B6573"/>
            <w:sz w:val="17"/>
            <w:szCs w:val="17"/>
          </w:rPr>
          <w:t xml:space="preserve">9.3 The Apple problem (why open rates are broken)</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sec_9_3</w:instrText>
          <w:fldChar w:fldCharType="end"/>
        </w:r>
      </w:hyperlink>
    </w:p>
    <w:p>
      <w:pPr>
        <w:keepNext w:val="false"/>
        <w:tabs>
          <w:tab w:val="right" w:pos="10080" w:leader="dot"/>
        </w:tabs>
        <w:spacing w:after="10" w:before="0" w:line="240"/>
        <w:ind w:left="400"/>
      </w:pPr>
      <w:hyperlink w:history="1" w:anchor="sec_9_4">
        <w:r>
          <w:rPr>
            <w:rFonts w:ascii="Arial" w:cs="Arial" w:eastAsia="Arial" w:hAnsi="Arial"/>
            <w:color w:val="5B6573"/>
            <w:sz w:val="17"/>
            <w:szCs w:val="17"/>
          </w:rPr>
          <w:t xml:space="preserve">9.4 Targets for a healthy Lhotse client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sec_9_4</w:instrText>
          <w:fldChar w:fldCharType="end"/>
        </w:r>
      </w:hyperlink>
    </w:p>
    <w:p>
      <w:pPr>
        <w:keepNext w:val="false"/>
        <w:tabs>
          <w:tab w:val="right" w:pos="10080" w:leader="dot"/>
        </w:tabs>
        <w:spacing w:after="10" w:before="0" w:line="240"/>
        <w:ind w:left="400"/>
      </w:pPr>
      <w:hyperlink w:history="1" w:anchor="sec_9_5">
        <w:r>
          <w:rPr>
            <w:rFonts w:ascii="Arial" w:cs="Arial" w:eastAsia="Arial" w:hAnsi="Arial"/>
            <w:color w:val="5B6573"/>
            <w:sz w:val="17"/>
            <w:szCs w:val="17"/>
          </w:rPr>
          <w:t xml:space="preserve">9.5 How to test whether email actually caused purchases (holdout tests)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sec_9_5</w:instrText>
          <w:fldChar w:fldCharType="end"/>
        </w:r>
      </w:hyperlink>
    </w:p>
    <w:p>
      <w:pPr>
        <w:keepNext/>
        <w:tabs>
          <w:tab w:val="right" w:pos="10080" w:leader="dot"/>
        </w:tabs>
        <w:spacing w:after="30" w:before="150" w:line="240"/>
        <w:ind w:left="0"/>
      </w:pPr>
      <w:hyperlink w:history="1" w:anchor="sec_10">
        <w:r>
          <w:rPr>
            <w:rFonts w:ascii="Arial" w:cs="Arial" w:eastAsia="Arial" w:hAnsi="Arial"/>
            <w:b/>
            <w:bCs/>
            <w:color w:val="1F3A5F"/>
            <w:sz w:val="20"/>
            <w:szCs w:val="20"/>
          </w:rPr>
          <w:t xml:space="preserve">10. Automated Emails vs. One-Off Campaigns</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sec_10</w:instrText>
          <w:fldChar w:fldCharType="end"/>
        </w:r>
      </w:hyperlink>
    </w:p>
    <w:p>
      <w:pPr>
        <w:keepNext w:val="false"/>
        <w:tabs>
          <w:tab w:val="right" w:pos="10080" w:leader="dot"/>
        </w:tabs>
        <w:spacing w:after="10" w:before="0" w:line="240"/>
        <w:ind w:left="400"/>
      </w:pPr>
      <w:hyperlink w:history="1" w:anchor="sec_10_1">
        <w:r>
          <w:rPr>
            <w:rFonts w:ascii="Arial" w:cs="Arial" w:eastAsia="Arial" w:hAnsi="Arial"/>
            <w:color w:val="5B6573"/>
            <w:sz w:val="17"/>
            <w:szCs w:val="17"/>
          </w:rPr>
          <w:t xml:space="preserve">10.1 Automated sequences vs. campaign blasts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sec_10_1</w:instrText>
          <w:fldChar w:fldCharType="end"/>
        </w:r>
      </w:hyperlink>
    </w:p>
    <w:p>
      <w:pPr>
        <w:keepNext w:val="false"/>
        <w:tabs>
          <w:tab w:val="right" w:pos="10080" w:leader="dot"/>
        </w:tabs>
        <w:spacing w:after="10" w:before="0" w:line="240"/>
        <w:ind w:left="400"/>
      </w:pPr>
      <w:hyperlink w:history="1" w:anchor="sec_10_2">
        <w:r>
          <w:rPr>
            <w:rFonts w:ascii="Arial" w:cs="Arial" w:eastAsia="Arial" w:hAnsi="Arial"/>
            <w:color w:val="5B6573"/>
            <w:sz w:val="17"/>
            <w:szCs w:val="17"/>
          </w:rPr>
          <w:t xml:space="preserve">10.2 The customer journey and what emails go where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sec_10_2</w:instrText>
          <w:fldChar w:fldCharType="end"/>
        </w:r>
      </w:hyperlink>
    </w:p>
    <w:p>
      <w:pPr>
        <w:keepNext w:val="false"/>
        <w:tabs>
          <w:tab w:val="right" w:pos="10080" w:leader="dot"/>
        </w:tabs>
        <w:spacing w:after="10" w:before="0" w:line="240"/>
        <w:ind w:left="400"/>
      </w:pPr>
      <w:hyperlink w:history="1" w:anchor="sec_10_3">
        <w:r>
          <w:rPr>
            <w:rFonts w:ascii="Arial" w:cs="Arial" w:eastAsia="Arial" w:hAnsi="Arial"/>
            <w:color w:val="5B6573"/>
            <w:sz w:val="17"/>
            <w:szCs w:val="17"/>
          </w:rPr>
          <w:t xml:space="preserve">10.3 Specifications for each sequence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sec_10_3</w:instrText>
          <w:fldChar w:fldCharType="end"/>
        </w:r>
      </w:hyperlink>
    </w:p>
    <w:p>
      <w:pPr>
        <w:keepNext w:val="false"/>
        <w:tabs>
          <w:tab w:val="right" w:pos="10080" w:leader="dot"/>
        </w:tabs>
        <w:spacing w:after="10" w:before="0" w:line="240"/>
        <w:ind w:left="400"/>
      </w:pPr>
      <w:hyperlink w:history="1" w:anchor="sec_10_4">
        <w:r>
          <w:rPr>
            <w:rFonts w:ascii="Arial" w:cs="Arial" w:eastAsia="Arial" w:hAnsi="Arial"/>
            <w:color w:val="5B6573"/>
            <w:sz w:val="17"/>
            <w:szCs w:val="17"/>
          </w:rPr>
          <w:t xml:space="preserve">10.4 Campaign planning</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sec_10_4</w:instrText>
          <w:fldChar w:fldCharType="end"/>
        </w:r>
      </w:hyperlink>
    </w:p>
    <w:p>
      <w:pPr>
        <w:keepNext w:val="false"/>
        <w:tabs>
          <w:tab w:val="right" w:pos="10080" w:leader="dot"/>
        </w:tabs>
        <w:spacing w:after="10" w:before="0" w:line="240"/>
        <w:ind w:left="400"/>
      </w:pPr>
      <w:hyperlink w:history="1" w:anchor="sec_10_5">
        <w:r>
          <w:rPr>
            <w:rFonts w:ascii="Arial" w:cs="Arial" w:eastAsia="Arial" w:hAnsi="Arial"/>
            <w:color w:val="5B6573"/>
            <w:sz w:val="17"/>
            <w:szCs w:val="17"/>
          </w:rPr>
          <w:t xml:space="preserve">10.5 Example: rebuilding email for a $6M pet brand</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sec_10_5</w:instrText>
          <w:fldChar w:fldCharType="end"/>
        </w:r>
      </w:hyperlink>
    </w:p>
    <w:p>
      <w:pPr>
        <w:keepNext/>
        <w:tabs>
          <w:tab w:val="right" w:pos="10080" w:leader="dot"/>
        </w:tabs>
        <w:spacing w:after="30" w:before="150" w:line="240"/>
        <w:ind w:left="0"/>
      </w:pPr>
      <w:hyperlink w:history="1" w:anchor="sec_11">
        <w:r>
          <w:rPr>
            <w:rFonts w:ascii="Arial" w:cs="Arial" w:eastAsia="Arial" w:hAnsi="Arial"/>
            <w:b/>
            <w:bCs/>
            <w:color w:val="1F3A5F"/>
            <w:sz w:val="20"/>
            <w:szCs w:val="20"/>
          </w:rPr>
          <w:t xml:space="preserve">11. Keeping the Email List Clean</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sec_11</w:instrText>
          <w:fldChar w:fldCharType="end"/>
        </w:r>
      </w:hyperlink>
    </w:p>
    <w:p>
      <w:pPr>
        <w:keepNext w:val="false"/>
        <w:tabs>
          <w:tab w:val="right" w:pos="10080" w:leader="dot"/>
        </w:tabs>
        <w:spacing w:after="10" w:before="0" w:line="240"/>
        <w:ind w:left="400"/>
      </w:pPr>
      <w:hyperlink w:history="1" w:anchor="sec_11_1">
        <w:r>
          <w:rPr>
            <w:rFonts w:ascii="Arial" w:cs="Arial" w:eastAsia="Arial" w:hAnsi="Arial"/>
            <w:color w:val="5B6573"/>
            <w:sz w:val="17"/>
            <w:szCs w:val="17"/>
          </w:rPr>
          <w:t xml:space="preserve">11.1 How Klaviyo charges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sec_11_1</w:instrText>
          <w:fldChar w:fldCharType="end"/>
        </w:r>
      </w:hyperlink>
    </w:p>
    <w:p>
      <w:pPr>
        <w:keepNext w:val="false"/>
        <w:tabs>
          <w:tab w:val="right" w:pos="10080" w:leader="dot"/>
        </w:tabs>
        <w:spacing w:after="10" w:before="0" w:line="240"/>
        <w:ind w:left="400"/>
      </w:pPr>
      <w:hyperlink w:history="1" w:anchor="sec_11_2">
        <w:r>
          <w:rPr>
            <w:rFonts w:ascii="Arial" w:cs="Arial" w:eastAsia="Arial" w:hAnsi="Arial"/>
            <w:color w:val="5B6573"/>
            <w:sz w:val="17"/>
            <w:szCs w:val="17"/>
          </w:rPr>
          <w:t xml:space="preserve">11.2 How to categorize subscribers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sec_11_2</w:instrText>
          <w:fldChar w:fldCharType="end"/>
        </w:r>
      </w:hyperlink>
    </w:p>
    <w:p>
      <w:pPr>
        <w:keepNext w:val="false"/>
        <w:tabs>
          <w:tab w:val="right" w:pos="10080" w:leader="dot"/>
        </w:tabs>
        <w:spacing w:after="10" w:before="0" w:line="240"/>
        <w:ind w:left="400"/>
      </w:pPr>
      <w:hyperlink w:history="1" w:anchor="sec_11_3">
        <w:r>
          <w:rPr>
            <w:rFonts w:ascii="Arial" w:cs="Arial" w:eastAsia="Arial" w:hAnsi="Arial"/>
            <w:color w:val="5B6573"/>
            <w:sz w:val="17"/>
            <w:szCs w:val="17"/>
          </w:rPr>
          <w:t xml:space="preserve">11.3 Sunset sequence process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sec_11_3</w:instrText>
          <w:fldChar w:fldCharType="end"/>
        </w:r>
      </w:hyperlink>
    </w:p>
    <w:p>
      <w:pPr>
        <w:keepNext w:val="false"/>
        <w:tabs>
          <w:tab w:val="right" w:pos="10080" w:leader="dot"/>
        </w:tabs>
        <w:spacing w:after="10" w:before="0" w:line="240"/>
        <w:ind w:left="400"/>
      </w:pPr>
      <w:hyperlink w:history="1" w:anchor="sec_11_4">
        <w:r>
          <w:rPr>
            <w:rFonts w:ascii="Arial" w:cs="Arial" w:eastAsia="Arial" w:hAnsi="Arial"/>
            <w:color w:val="5B6573"/>
            <w:sz w:val="17"/>
            <w:szCs w:val="17"/>
          </w:rPr>
          <w:t xml:space="preserve">11.4 Bots and list bombing</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sec_11_4</w:instrText>
          <w:fldChar w:fldCharType="end"/>
        </w:r>
      </w:hyperlink>
    </w:p>
    <w:p>
      <w:pPr>
        <w:keepNext/>
        <w:tabs>
          <w:tab w:val="right" w:pos="10080" w:leader="dot"/>
        </w:tabs>
        <w:spacing w:after="30" w:before="150" w:line="240"/>
        <w:ind w:left="0"/>
      </w:pPr>
      <w:hyperlink w:history="1" w:anchor="sec_12">
        <w:r>
          <w:rPr>
            <w:rFonts w:ascii="Arial" w:cs="Arial" w:eastAsia="Arial" w:hAnsi="Arial"/>
            <w:b/>
            <w:bCs/>
            <w:color w:val="1F3A5F"/>
            <w:sz w:val="20"/>
            <w:szCs w:val="20"/>
          </w:rPr>
          <w:t xml:space="preserve">12. Email Security Settings Explained Simply</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sec_12</w:instrText>
          <w:fldChar w:fldCharType="end"/>
        </w:r>
      </w:hyperlink>
    </w:p>
    <w:p>
      <w:pPr>
        <w:keepNext w:val="false"/>
        <w:tabs>
          <w:tab w:val="right" w:pos="10080" w:leader="dot"/>
        </w:tabs>
        <w:spacing w:after="10" w:before="0" w:line="240"/>
        <w:ind w:left="400"/>
      </w:pPr>
      <w:hyperlink w:history="1" w:anchor="sec_12_1">
        <w:r>
          <w:rPr>
            <w:rFonts w:ascii="Arial" w:cs="Arial" w:eastAsia="Arial" w:hAnsi="Arial"/>
            <w:color w:val="5B6573"/>
            <w:sz w:val="17"/>
            <w:szCs w:val="17"/>
          </w:rPr>
          <w:t xml:space="preserve">12.1 How the three settings work together</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sec_12_1</w:instrText>
          <w:fldChar w:fldCharType="end"/>
        </w:r>
      </w:hyperlink>
    </w:p>
    <w:p>
      <w:pPr>
        <w:keepNext w:val="false"/>
        <w:tabs>
          <w:tab w:val="right" w:pos="10080" w:leader="dot"/>
        </w:tabs>
        <w:spacing w:after="10" w:before="0" w:line="240"/>
        <w:ind w:left="400"/>
      </w:pPr>
      <w:hyperlink w:history="1" w:anchor="sec_12_2">
        <w:r>
          <w:rPr>
            <w:rFonts w:ascii="Arial" w:cs="Arial" w:eastAsia="Arial" w:hAnsi="Arial"/>
            <w:color w:val="5B6573"/>
            <w:sz w:val="17"/>
            <w:szCs w:val="17"/>
          </w:rPr>
          <w:t xml:space="preserve">12.2 SPF: who is allowed to send email for this domain</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sec_12_2</w:instrText>
          <w:fldChar w:fldCharType="end"/>
        </w:r>
      </w:hyperlink>
    </w:p>
    <w:p>
      <w:pPr>
        <w:keepNext w:val="false"/>
        <w:tabs>
          <w:tab w:val="right" w:pos="10080" w:leader="dot"/>
        </w:tabs>
        <w:spacing w:after="10" w:before="0" w:line="240"/>
        <w:ind w:left="400"/>
      </w:pPr>
      <w:hyperlink w:history="1" w:anchor="sec_12_3">
        <w:r>
          <w:rPr>
            <w:rFonts w:ascii="Arial" w:cs="Arial" w:eastAsia="Arial" w:hAnsi="Arial"/>
            <w:color w:val="5B6573"/>
            <w:sz w:val="17"/>
            <w:szCs w:val="17"/>
          </w:rPr>
          <w:t xml:space="preserve">12.3 DKIM: proving the email is really from you</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sec_12_3</w:instrText>
          <w:fldChar w:fldCharType="end"/>
        </w:r>
      </w:hyperlink>
    </w:p>
    <w:p>
      <w:pPr>
        <w:keepNext w:val="false"/>
        <w:tabs>
          <w:tab w:val="right" w:pos="10080" w:leader="dot"/>
        </w:tabs>
        <w:spacing w:after="10" w:before="0" w:line="240"/>
        <w:ind w:left="400"/>
      </w:pPr>
      <w:hyperlink w:history="1" w:anchor="sec_12_4">
        <w:r>
          <w:rPr>
            <w:rFonts w:ascii="Arial" w:cs="Arial" w:eastAsia="Arial" w:hAnsi="Arial"/>
            <w:color w:val="5B6573"/>
            <w:sz w:val="17"/>
            <w:szCs w:val="17"/>
          </w:rPr>
          <w:t xml:space="preserve">12.4 DMARC: tying it all together and setting a policy</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sec_12_4</w:instrText>
          <w:fldChar w:fldCharType="end"/>
        </w:r>
      </w:hyperlink>
    </w:p>
    <w:p>
      <w:pPr>
        <w:keepNext w:val="false"/>
        <w:tabs>
          <w:tab w:val="right" w:pos="10080" w:leader="dot"/>
        </w:tabs>
        <w:spacing w:after="10" w:before="0" w:line="240"/>
        <w:ind w:left="400"/>
      </w:pPr>
      <w:hyperlink w:history="1" w:anchor="sec_12_5">
        <w:r>
          <w:rPr>
            <w:rFonts w:ascii="Arial" w:cs="Arial" w:eastAsia="Arial" w:hAnsi="Arial"/>
            <w:color w:val="5B6573"/>
            <w:sz w:val="17"/>
            <w:szCs w:val="17"/>
          </w:rPr>
          <w:t xml:space="preserve">12.5 What email providers now require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sec_12_5</w:instrText>
          <w:fldChar w:fldCharType="end"/>
        </w:r>
      </w:hyperlink>
    </w:p>
    <w:p>
      <w:pPr>
        <w:keepNext w:val="false"/>
        <w:tabs>
          <w:tab w:val="right" w:pos="10080" w:leader="dot"/>
        </w:tabs>
        <w:spacing w:after="10" w:before="0" w:line="240"/>
        <w:ind w:left="400"/>
      </w:pPr>
      <w:hyperlink w:history="1" w:anchor="sec_12_6">
        <w:r>
          <w:rPr>
            <w:rFonts w:ascii="Arial" w:cs="Arial" w:eastAsia="Arial" w:hAnsi="Arial"/>
            <w:color w:val="5B6573"/>
            <w:sz w:val="17"/>
            <w:szCs w:val="17"/>
          </w:rPr>
          <w:t xml:space="preserve">12.6 Klaviyo's sending setup</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sec_12_6</w:instrText>
          <w:fldChar w:fldCharType="end"/>
        </w:r>
      </w:hyperlink>
    </w:p>
    <w:p>
      <w:pPr>
        <w:keepNext w:val="false"/>
        <w:tabs>
          <w:tab w:val="right" w:pos="10080" w:leader="dot"/>
        </w:tabs>
        <w:spacing w:after="10" w:before="0" w:line="240"/>
        <w:ind w:left="400"/>
      </w:pPr>
      <w:hyperlink w:history="1" w:anchor="sec_12_7">
        <w:r>
          <w:rPr>
            <w:rFonts w:ascii="Arial" w:cs="Arial" w:eastAsia="Arial" w:hAnsi="Arial"/>
            <w:color w:val="5B6573"/>
            <w:sz w:val="17"/>
            <w:szCs w:val="17"/>
          </w:rPr>
          <w:t xml:space="preserve">12.7 What is NOT a real finding</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sec_12_7</w:instrText>
          <w:fldChar w:fldCharType="end"/>
        </w:r>
      </w:hyperlink>
    </w:p>
    <w:p>
      <w:pPr>
        <w:keepNext w:val="false"/>
        <w:tabs>
          <w:tab w:val="right" w:pos="10080" w:leader="dot"/>
        </w:tabs>
        <w:spacing w:after="10" w:before="0" w:line="240"/>
        <w:ind w:left="400"/>
      </w:pPr>
      <w:hyperlink w:history="1" w:anchor="sec_12_8">
        <w:r>
          <w:rPr>
            <w:rFonts w:ascii="Arial" w:cs="Arial" w:eastAsia="Arial" w:hAnsi="Arial"/>
            <w:color w:val="5B6573"/>
            <w:sz w:val="17"/>
            <w:szCs w:val="17"/>
          </w:rPr>
          <w:t xml:space="preserve">12.8 Ascent repair process: no disruption to sending</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sec_12_8</w:instrText>
          <w:fldChar w:fldCharType="end"/>
        </w:r>
      </w:hyperlink>
    </w:p>
    <w:p>
      <w:pPr>
        <w:keepNext/>
        <w:tabs>
          <w:tab w:val="right" w:pos="10080" w:leader="dot"/>
        </w:tabs>
        <w:spacing w:after="30" w:before="150" w:line="240"/>
        <w:ind w:left="0"/>
      </w:pPr>
      <w:hyperlink w:history="1" w:anchor="sec_13">
        <w:r>
          <w:rPr>
            <w:rFonts w:ascii="Arial" w:cs="Arial" w:eastAsia="Arial" w:hAnsi="Arial"/>
            <w:b/>
            <w:bCs/>
            <w:color w:val="1F3A5F"/>
            <w:sz w:val="20"/>
            <w:szCs w:val="20"/>
          </w:rPr>
          <w:t xml:space="preserve">13. How to Test Whether Emails Actually Reach the Inbox</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sec_13</w:instrText>
          <w:fldChar w:fldCharType="end"/>
        </w:r>
      </w:hyperlink>
    </w:p>
    <w:p>
      <w:pPr>
        <w:keepNext w:val="false"/>
        <w:tabs>
          <w:tab w:val="right" w:pos="10080" w:leader="dot"/>
        </w:tabs>
        <w:spacing w:after="10" w:before="0" w:line="240"/>
        <w:ind w:left="400"/>
      </w:pPr>
      <w:hyperlink w:history="1" w:anchor="sec_13_1">
        <w:r>
          <w:rPr>
            <w:rFonts w:ascii="Arial" w:cs="Arial" w:eastAsia="Arial" w:hAnsi="Arial"/>
            <w:color w:val="5B6573"/>
            <w:sz w:val="17"/>
            <w:szCs w:val="17"/>
          </w:rPr>
          <w:t xml:space="preserve">13.1 Where emails end up (industry data)</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sec_13_1</w:instrText>
          <w:fldChar w:fldCharType="end"/>
        </w:r>
      </w:hyperlink>
    </w:p>
    <w:p>
      <w:pPr>
        <w:keepNext w:val="false"/>
        <w:tabs>
          <w:tab w:val="right" w:pos="10080" w:leader="dot"/>
        </w:tabs>
        <w:spacing w:after="10" w:before="0" w:line="240"/>
        <w:ind w:left="400"/>
      </w:pPr>
      <w:hyperlink w:history="1" w:anchor="sec_13_2">
        <w:r>
          <w:rPr>
            <w:rFonts w:ascii="Arial" w:cs="Arial" w:eastAsia="Arial" w:hAnsi="Arial"/>
            <w:color w:val="5B6573"/>
            <w:sz w:val="17"/>
            <w:szCs w:val="17"/>
          </w:rPr>
          <w:t xml:space="preserve">13.2 The measurement toolkit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sec_13_2</w:instrText>
          <w:fldChar w:fldCharType="end"/>
        </w:r>
      </w:hyperlink>
    </w:p>
    <w:p>
      <w:pPr>
        <w:keepNext w:val="false"/>
        <w:tabs>
          <w:tab w:val="right" w:pos="10080" w:leader="dot"/>
        </w:tabs>
        <w:spacing w:after="10" w:before="0" w:line="240"/>
        <w:ind w:left="400"/>
      </w:pPr>
      <w:hyperlink w:history="1" w:anchor="sec_13_3">
        <w:r>
          <w:rPr>
            <w:rFonts w:ascii="Arial" w:cs="Arial" w:eastAsia="Arial" w:hAnsi="Arial"/>
            <w:color w:val="5B6573"/>
            <w:sz w:val="17"/>
            <w:szCs w:val="17"/>
          </w:rPr>
          <w:t xml:space="preserve">13.3 How to use seed tests correctly</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sec_13_3</w:instrText>
          <w:fldChar w:fldCharType="end"/>
        </w:r>
      </w:hyperlink>
    </w:p>
    <w:p>
      <w:pPr>
        <w:keepNext w:val="false"/>
        <w:tabs>
          <w:tab w:val="right" w:pos="10080" w:leader="dot"/>
        </w:tabs>
        <w:spacing w:after="10" w:before="0" w:line="240"/>
        <w:ind w:left="400"/>
      </w:pPr>
      <w:hyperlink w:history="1" w:anchor="sec_13_4">
        <w:r>
          <w:rPr>
            <w:rFonts w:ascii="Arial" w:cs="Arial" w:eastAsia="Arial" w:hAnsi="Arial"/>
            <w:color w:val="5B6573"/>
            <w:sz w:val="17"/>
            <w:szCs w:val="17"/>
          </w:rPr>
          <w:t xml:space="preserve">13.4 Shared IP vs. dedicated sending IP</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sec_13_4</w:instrText>
          <w:fldChar w:fldCharType="end"/>
        </w:r>
      </w:hyperlink>
    </w:p>
    <w:p>
      <w:pPr>
        <w:keepNext w:val="false"/>
        <w:tabs>
          <w:tab w:val="right" w:pos="10080" w:leader="dot"/>
        </w:tabs>
        <w:spacing w:after="10" w:before="0" w:line="240"/>
        <w:ind w:left="400"/>
      </w:pPr>
      <w:hyperlink w:history="1" w:anchor="sec_13_5">
        <w:r>
          <w:rPr>
            <w:rFonts w:ascii="Arial" w:cs="Arial" w:eastAsia="Arial" w:hAnsi="Arial"/>
            <w:color w:val="5B6573"/>
            <w:sz w:val="17"/>
            <w:szCs w:val="17"/>
          </w:rPr>
          <w:t xml:space="preserve">13.5 Warm-up schedule for a new sending domain</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sec_13_5</w:instrText>
          <w:fldChar w:fldCharType="end"/>
        </w:r>
      </w:hyperlink>
    </w:p>
    <w:p>
      <w:pPr>
        <w:keepNext w:val="false"/>
        <w:tabs>
          <w:tab w:val="right" w:pos="10080" w:leader="dot"/>
        </w:tabs>
        <w:spacing w:after="10" w:before="0" w:line="240"/>
        <w:ind w:left="400"/>
      </w:pPr>
      <w:hyperlink w:history="1" w:anchor="sec_13_6">
        <w:r>
          <w:rPr>
            <w:rFonts w:ascii="Arial" w:cs="Arial" w:eastAsia="Arial" w:hAnsi="Arial"/>
            <w:color w:val="5B6573"/>
            <w:sz w:val="17"/>
            <w:szCs w:val="17"/>
          </w:rPr>
          <w:t xml:space="preserve">13.6 How to handle delivery problems (incident runbook)</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sec_13_6</w:instrText>
          <w:fldChar w:fldCharType="end"/>
        </w:r>
      </w:hyperlink>
    </w:p>
    <w:p>
      <w:pPr>
        <w:keepNext w:val="false"/>
        <w:tabs>
          <w:tab w:val="right" w:pos="10080" w:leader="dot"/>
        </w:tabs>
        <w:spacing w:after="10" w:before="0" w:line="240"/>
        <w:ind w:left="400"/>
      </w:pPr>
      <w:hyperlink w:history="1" w:anchor="sec_13_7">
        <w:r>
          <w:rPr>
            <w:rFonts w:ascii="Arial" w:cs="Arial" w:eastAsia="Arial" w:hAnsi="Arial"/>
            <w:color w:val="5B6573"/>
            <w:sz w:val="17"/>
            <w:szCs w:val="17"/>
          </w:rPr>
          <w:t xml:space="preserve">13.7 Validity's "Heatwave" blocklist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sec_13_7</w:instrText>
          <w:fldChar w:fldCharType="end"/>
        </w:r>
      </w:hyperlink>
    </w:p>
    <w:p>
      <w:pPr>
        <w:keepNext/>
        <w:tabs>
          <w:tab w:val="right" w:pos="10080" w:leader="dot"/>
        </w:tabs>
        <w:spacing w:after="30" w:before="150" w:line="240"/>
        <w:ind w:left="0"/>
      </w:pPr>
      <w:hyperlink w:history="1" w:anchor="sec_14">
        <w:r>
          <w:rPr>
            <w:rFonts w:ascii="Arial" w:cs="Arial" w:eastAsia="Arial" w:hAnsi="Arial"/>
            <w:b/>
            <w:bCs/>
            <w:color w:val="1F3A5F"/>
            <w:sz w:val="20"/>
            <w:szCs w:val="20"/>
          </w:rPr>
          <w:t xml:space="preserve">14. The Shopping Holiday Calendar</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sec_14</w:instrText>
          <w:fldChar w:fldCharType="end"/>
        </w:r>
      </w:hyperlink>
    </w:p>
    <w:p>
      <w:pPr>
        <w:keepNext w:val="false"/>
        <w:tabs>
          <w:tab w:val="right" w:pos="10080" w:leader="dot"/>
        </w:tabs>
        <w:spacing w:after="10" w:before="0" w:line="240"/>
        <w:ind w:left="400"/>
      </w:pPr>
      <w:hyperlink w:history="1" w:anchor="sec_14_1">
        <w:r>
          <w:rPr>
            <w:rFonts w:ascii="Arial" w:cs="Arial" w:eastAsia="Arial" w:hAnsi="Arial"/>
            <w:color w:val="5B6573"/>
            <w:sz w:val="17"/>
            <w:szCs w:val="17"/>
          </w:rPr>
          <w:t xml:space="preserve">14.1 Key dates: October 2026 to November 2027</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sec_14_1</w:instrText>
          <w:fldChar w:fldCharType="end"/>
        </w:r>
      </w:hyperlink>
    </w:p>
    <w:p>
      <w:pPr>
        <w:keepNext w:val="false"/>
        <w:tabs>
          <w:tab w:val="right" w:pos="10080" w:leader="dot"/>
        </w:tabs>
        <w:spacing w:after="10" w:before="0" w:line="240"/>
        <w:ind w:left="400"/>
      </w:pPr>
      <w:hyperlink w:history="1" w:anchor="sec_14_2">
        <w:r>
          <w:rPr>
            <w:rFonts w:ascii="Arial" w:cs="Arial" w:eastAsia="Arial" w:hAnsi="Arial"/>
            <w:color w:val="5B6573"/>
            <w:sz w:val="17"/>
            <w:szCs w:val="17"/>
          </w:rPr>
          <w:t xml:space="preserve">14.2 How big peak season was in 2025</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sec_14_2</w:instrText>
          <w:fldChar w:fldCharType="end"/>
        </w:r>
      </w:hyperlink>
    </w:p>
    <w:p>
      <w:pPr>
        <w:keepNext w:val="false"/>
        <w:tabs>
          <w:tab w:val="right" w:pos="10080" w:leader="dot"/>
        </w:tabs>
        <w:spacing w:after="10" w:before="0" w:line="240"/>
        <w:ind w:left="400"/>
      </w:pPr>
      <w:hyperlink w:history="1" w:anchor="sec_14_3">
        <w:r>
          <w:rPr>
            <w:rFonts w:ascii="Arial" w:cs="Arial" w:eastAsia="Arial" w:hAnsi="Arial"/>
            <w:color w:val="5B6573"/>
            <w:sz w:val="17"/>
            <w:szCs w:val="17"/>
          </w:rPr>
          <w:t xml:space="preserve">14.3 Peak season email preparation checklist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sec_14_3</w:instrText>
          <w:fldChar w:fldCharType="end"/>
        </w:r>
      </w:hyperlink>
    </w:p>
    <w:p>
      <w:pPr>
        <w:keepNext/>
        <w:tabs>
          <w:tab w:val="right" w:pos="10080" w:leader="dot"/>
        </w:tabs>
        <w:spacing w:after="30" w:before="150" w:line="240"/>
        <w:ind w:left="0"/>
      </w:pPr>
      <w:hyperlink w:history="1" w:anchor="sec_15">
        <w:r>
          <w:rPr>
            <w:rFonts w:ascii="Arial" w:cs="Arial" w:eastAsia="Arial" w:hAnsi="Arial"/>
            <w:b/>
            <w:bCs/>
            <w:color w:val="1F3A5F"/>
            <w:sz w:val="20"/>
            <w:szCs w:val="20"/>
          </w:rPr>
          <w:t xml:space="preserve">15. When to Pitch Which Service</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sec_15</w:instrText>
          <w:fldChar w:fldCharType="end"/>
        </w:r>
      </w:hyperlink>
    </w:p>
    <w:p>
      <w:pPr>
        <w:keepNext w:val="false"/>
        <w:tabs>
          <w:tab w:val="right" w:pos="10080" w:leader="dot"/>
        </w:tabs>
        <w:spacing w:after="10" w:before="0" w:line="240"/>
        <w:ind w:left="400"/>
      </w:pPr>
      <w:hyperlink w:history="1" w:anchor="sec_15_1">
        <w:r>
          <w:rPr>
            <w:rFonts w:ascii="Arial" w:cs="Arial" w:eastAsia="Arial" w:hAnsi="Arial"/>
            <w:color w:val="5B6573"/>
            <w:sz w:val="17"/>
            <w:szCs w:val="17"/>
          </w:rPr>
          <w:t xml:space="preserve">15.1 The master selling calendar</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sec_15_1</w:instrText>
          <w:fldChar w:fldCharType="end"/>
        </w:r>
      </w:hyperlink>
    </w:p>
    <w:p>
      <w:pPr>
        <w:keepNext w:val="false"/>
        <w:tabs>
          <w:tab w:val="right" w:pos="10080" w:leader="dot"/>
        </w:tabs>
        <w:spacing w:after="10" w:before="0" w:line="240"/>
        <w:ind w:left="400"/>
      </w:pPr>
      <w:hyperlink w:history="1" w:anchor="sec_15_2">
        <w:r>
          <w:rPr>
            <w:rFonts w:ascii="Arial" w:cs="Arial" w:eastAsia="Arial" w:hAnsi="Arial"/>
            <w:color w:val="5B6573"/>
            <w:sz w:val="17"/>
            <w:szCs w:val="17"/>
          </w:rPr>
          <w:t xml:space="preserve">15.2 Planning backward from Black Friday 2027</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sec_15_2</w:instrText>
          <w:fldChar w:fldCharType="end"/>
        </w:r>
      </w:hyperlink>
    </w:p>
    <w:p>
      <w:pPr>
        <w:keepNext w:val="false"/>
        <w:tabs>
          <w:tab w:val="right" w:pos="10080" w:leader="dot"/>
        </w:tabs>
        <w:spacing w:after="10" w:before="0" w:line="240"/>
        <w:ind w:left="400"/>
      </w:pPr>
      <w:hyperlink w:history="1" w:anchor="sec_15_3">
        <w:r>
          <w:rPr>
            <w:rFonts w:ascii="Arial" w:cs="Arial" w:eastAsia="Arial" w:hAnsi="Arial"/>
            <w:color w:val="5B6573"/>
            <w:sz w:val="17"/>
            <w:szCs w:val="17"/>
          </w:rPr>
          <w:t xml:space="preserve">15.3 How long each deal typically takes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sec_15_3</w:instrText>
          <w:fldChar w:fldCharType="end"/>
        </w:r>
      </w:hyperlink>
    </w:p>
    <w:p>
      <w:pPr>
        <w:keepNext w:val="false"/>
        <w:tabs>
          <w:tab w:val="right" w:pos="10080" w:leader="dot"/>
        </w:tabs>
        <w:spacing w:after="10" w:before="0" w:line="240"/>
        <w:ind w:left="400"/>
      </w:pPr>
      <w:hyperlink w:history="1" w:anchor="sec_15_4">
        <w:r>
          <w:rPr>
            <w:rFonts w:ascii="Arial" w:cs="Arial" w:eastAsia="Arial" w:hAnsi="Arial"/>
            <w:color w:val="5B6573"/>
            <w:sz w:val="17"/>
            <w:szCs w:val="17"/>
          </w:rPr>
          <w:t xml:space="preserve">15.4 Priority by market and time of year</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sec_15_4</w:instrText>
          <w:fldChar w:fldCharType="end"/>
        </w:r>
      </w:hyperlink>
    </w:p>
    <w:p>
      <w:pPr>
        <w:keepNext/>
        <w:tabs>
          <w:tab w:val="right" w:pos="10080" w:leader="dot"/>
        </w:tabs>
        <w:spacing w:after="30" w:before="150" w:line="240"/>
        <w:ind w:left="0"/>
      </w:pPr>
      <w:hyperlink w:history="1" w:anchor="sec_16">
        <w:r>
          <w:rPr>
            <w:rFonts w:ascii="Arial" w:cs="Arial" w:eastAsia="Arial" w:hAnsi="Arial"/>
            <w:b/>
            <w:bCs/>
            <w:color w:val="1F3A5F"/>
            <w:sz w:val="20"/>
            <w:szCs w:val="20"/>
          </w:rPr>
          <w:t xml:space="preserve">16. Email Marketing Laws by Country</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sec_16</w:instrText>
          <w:fldChar w:fldCharType="end"/>
        </w:r>
      </w:hyperlink>
    </w:p>
    <w:p>
      <w:pPr>
        <w:keepNext w:val="false"/>
        <w:tabs>
          <w:tab w:val="right" w:pos="10080" w:leader="dot"/>
        </w:tabs>
        <w:spacing w:after="10" w:before="0" w:line="240"/>
        <w:ind w:left="400"/>
      </w:pPr>
      <w:hyperlink w:history="1" w:anchor="sec_16_1">
        <w:r>
          <w:rPr>
            <w:rFonts w:ascii="Arial" w:cs="Arial" w:eastAsia="Arial" w:hAnsi="Arial"/>
            <w:color w:val="5B6573"/>
            <w:sz w:val="17"/>
            <w:szCs w:val="17"/>
          </w:rPr>
          <w:t xml:space="preserve">16.1 Rules that apply everywhere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sec_16_1</w:instrText>
          <w:fldChar w:fldCharType="end"/>
        </w:r>
      </w:hyperlink>
    </w:p>
    <w:p>
      <w:pPr>
        <w:keepNext w:val="false"/>
        <w:tabs>
          <w:tab w:val="right" w:pos="10080" w:leader="dot"/>
        </w:tabs>
        <w:spacing w:after="10" w:before="0" w:line="240"/>
        <w:ind w:left="400"/>
      </w:pPr>
      <w:hyperlink w:history="1" w:anchor="sec_16_2">
        <w:r>
          <w:rPr>
            <w:rFonts w:ascii="Arial" w:cs="Arial" w:eastAsia="Arial" w:hAnsi="Arial"/>
            <w:color w:val="5B6573"/>
            <w:sz w:val="17"/>
            <w:szCs w:val="17"/>
          </w:rPr>
          <w:t xml:space="preserve">16.2 United States: the basic rules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sec_16_2</w:instrText>
          <w:fldChar w:fldCharType="end"/>
        </w:r>
      </w:hyperlink>
    </w:p>
    <w:p>
      <w:pPr>
        <w:keepNext w:val="false"/>
        <w:tabs>
          <w:tab w:val="right" w:pos="10080" w:leader="dot"/>
        </w:tabs>
        <w:spacing w:after="10" w:before="0" w:line="240"/>
        <w:ind w:left="400"/>
      </w:pPr>
      <w:hyperlink w:history="1" w:anchor="sec_16_3">
        <w:r>
          <w:rPr>
            <w:rFonts w:ascii="Arial" w:cs="Arial" w:eastAsia="Arial" w:hAnsi="Arial"/>
            <w:color w:val="5B6573"/>
            <w:sz w:val="17"/>
            <w:szCs w:val="17"/>
          </w:rPr>
          <w:t xml:space="preserve">16.3 United Kingdom</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sec_16_3</w:instrText>
          <w:fldChar w:fldCharType="end"/>
        </w:r>
      </w:hyperlink>
    </w:p>
    <w:p>
      <w:pPr>
        <w:keepNext w:val="false"/>
        <w:tabs>
          <w:tab w:val="right" w:pos="10080" w:leader="dot"/>
        </w:tabs>
        <w:spacing w:after="10" w:before="0" w:line="240"/>
        <w:ind w:left="400"/>
      </w:pPr>
      <w:hyperlink w:history="1" w:anchor="sec_16_4">
        <w:r>
          <w:rPr>
            <w:rFonts w:ascii="Arial" w:cs="Arial" w:eastAsia="Arial" w:hAnsi="Arial"/>
            <w:color w:val="5B6573"/>
            <w:sz w:val="17"/>
            <w:szCs w:val="17"/>
          </w:rPr>
          <w:t xml:space="preserve">16.4 Canada: strictest rules in our markets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sec_16_4</w:instrText>
          <w:fldChar w:fldCharType="end"/>
        </w:r>
      </w:hyperlink>
    </w:p>
    <w:p>
      <w:pPr>
        <w:keepNext w:val="false"/>
        <w:tabs>
          <w:tab w:val="right" w:pos="10080" w:leader="dot"/>
        </w:tabs>
        <w:spacing w:after="10" w:before="0" w:line="240"/>
        <w:ind w:left="400"/>
      </w:pPr>
      <w:hyperlink w:history="1" w:anchor="sec_16_5">
        <w:r>
          <w:rPr>
            <w:rFonts w:ascii="Arial" w:cs="Arial" w:eastAsia="Arial" w:hAnsi="Arial"/>
            <w:color w:val="5B6573"/>
            <w:sz w:val="17"/>
            <w:szCs w:val="17"/>
          </w:rPr>
          <w:t xml:space="preserve">16.5 Ireland, Australia, and New Zealand</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sec_16_5</w:instrText>
          <w:fldChar w:fldCharType="end"/>
        </w:r>
      </w:hyperlink>
    </w:p>
    <w:p>
      <w:pPr>
        <w:keepNext w:val="false"/>
        <w:tabs>
          <w:tab w:val="right" w:pos="10080" w:leader="dot"/>
        </w:tabs>
        <w:spacing w:after="10" w:before="0" w:line="240"/>
        <w:ind w:left="400"/>
      </w:pPr>
      <w:hyperlink w:history="1" w:anchor="sec_16_6">
        <w:r>
          <w:rPr>
            <w:rFonts w:ascii="Arial" w:cs="Arial" w:eastAsia="Arial" w:hAnsi="Arial"/>
            <w:color w:val="5B6573"/>
            <w:sz w:val="17"/>
            <w:szCs w:val="17"/>
          </w:rPr>
          <w:t xml:space="preserve">16.6 Six-country comparison and pre-send checklist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sec_16_6</w:instrText>
          <w:fldChar w:fldCharType="end"/>
        </w:r>
      </w:hyperlink>
    </w:p>
    <w:p>
      <w:pPr>
        <w:keepNext w:val="false"/>
        <w:tabs>
          <w:tab w:val="right" w:pos="10080" w:leader="dot"/>
        </w:tabs>
        <w:spacing w:after="10" w:before="0" w:line="240"/>
        <w:ind w:left="400"/>
      </w:pPr>
      <w:hyperlink w:history="1" w:anchor="sec_16_7">
        <w:r>
          <w:rPr>
            <w:rFonts w:ascii="Arial" w:cs="Arial" w:eastAsia="Arial" w:hAnsi="Arial"/>
            <w:color w:val="5B6573"/>
            <w:sz w:val="17"/>
            <w:szCs w:val="17"/>
          </w:rPr>
          <w:t xml:space="preserve">16.7 GrowMailers' own outreach setup</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sec_16_7</w:instrText>
          <w:fldChar w:fldCharType="end"/>
        </w:r>
      </w:hyperlink>
    </w:p>
    <w:p>
      <w:pPr>
        <w:keepNext w:val="false"/>
        <w:tabs>
          <w:tab w:val="right" w:pos="10080" w:leader="dot"/>
        </w:tabs>
        <w:spacing w:after="10" w:before="0" w:line="240"/>
        <w:ind w:left="400"/>
      </w:pPr>
      <w:hyperlink w:history="1" w:anchor="sec_16_8">
        <w:r>
          <w:rPr>
            <w:rFonts w:ascii="Arial" w:cs="Arial" w:eastAsia="Arial" w:hAnsi="Arial"/>
            <w:color w:val="5B6573"/>
            <w:sz w:val="17"/>
            <w:szCs w:val="17"/>
          </w:rPr>
          <w:t xml:space="preserve">16.8 Rules our Lhotse clients must follow</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sec_16_8</w:instrText>
          <w:fldChar w:fldCharType="end"/>
        </w:r>
      </w:hyperlink>
    </w:p>
    <w:p>
      <w:pPr>
        <w:keepNext/>
        <w:tabs>
          <w:tab w:val="right" w:pos="10080" w:leader="dot"/>
        </w:tabs>
        <w:spacing w:after="30" w:before="150" w:line="240"/>
        <w:ind w:left="0"/>
      </w:pPr>
      <w:hyperlink w:history="1" w:anchor="sec_17">
        <w:r>
          <w:rPr>
            <w:rFonts w:ascii="Arial" w:cs="Arial" w:eastAsia="Arial" w:hAnsi="Arial"/>
            <w:b/>
            <w:bCs/>
            <w:color w:val="1F3A5F"/>
            <w:sz w:val="20"/>
            <w:szCs w:val="20"/>
          </w:rPr>
          <w:t xml:space="preserve">17. How to Find Clients, Audit Their Setup, and Close the Sale</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sec_17</w:instrText>
          <w:fldChar w:fldCharType="end"/>
        </w:r>
      </w:hyperlink>
    </w:p>
    <w:p>
      <w:pPr>
        <w:keepNext w:val="false"/>
        <w:tabs>
          <w:tab w:val="right" w:pos="10080" w:leader="dot"/>
        </w:tabs>
        <w:spacing w:after="10" w:before="0" w:line="240"/>
        <w:ind w:left="400"/>
      </w:pPr>
      <w:hyperlink w:history="1" w:anchor="sec_17_1">
        <w:r>
          <w:rPr>
            <w:rFonts w:ascii="Arial" w:cs="Arial" w:eastAsia="Arial" w:hAnsi="Arial"/>
            <w:color w:val="5B6573"/>
            <w:sz w:val="17"/>
            <w:szCs w:val="17"/>
          </w:rPr>
          <w:t xml:space="preserve">17.1 The full pipeline</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sec_17_1</w:instrText>
          <w:fldChar w:fldCharType="end"/>
        </w:r>
      </w:hyperlink>
    </w:p>
    <w:p>
      <w:pPr>
        <w:keepNext w:val="false"/>
        <w:tabs>
          <w:tab w:val="right" w:pos="10080" w:leader="dot"/>
        </w:tabs>
        <w:spacing w:after="10" w:before="0" w:line="240"/>
        <w:ind w:left="400"/>
      </w:pPr>
      <w:hyperlink w:history="1" w:anchor="sec_17_2">
        <w:r>
          <w:rPr>
            <w:rFonts w:ascii="Arial" w:cs="Arial" w:eastAsia="Arial" w:hAnsi="Arial"/>
            <w:color w:val="5B6573"/>
            <w:sz w:val="17"/>
            <w:szCs w:val="17"/>
          </w:rPr>
          <w:t xml:space="preserve">17.2 Step 1: Build the prospect list</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sec_17_2</w:instrText>
          <w:fldChar w:fldCharType="end"/>
        </w:r>
      </w:hyperlink>
    </w:p>
    <w:p>
      <w:pPr>
        <w:keepNext w:val="false"/>
        <w:tabs>
          <w:tab w:val="right" w:pos="10080" w:leader="dot"/>
        </w:tabs>
        <w:spacing w:after="10" w:before="0" w:line="240"/>
        <w:ind w:left="400"/>
      </w:pPr>
      <w:hyperlink w:history="1" w:anchor="sec_17_3">
        <w:r>
          <w:rPr>
            <w:rFonts w:ascii="Arial" w:cs="Arial" w:eastAsia="Arial" w:hAnsi="Arial"/>
            <w:color w:val="5B6573"/>
            <w:sz w:val="17"/>
            <w:szCs w:val="17"/>
          </w:rPr>
          <w:t xml:space="preserve">17.3 Step 2: The 15-minute outside audit (no login needed)</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sec_17_3</w:instrText>
          <w:fldChar w:fldCharType="end"/>
        </w:r>
      </w:hyperlink>
    </w:p>
    <w:p>
      <w:pPr>
        <w:keepNext w:val="false"/>
        <w:tabs>
          <w:tab w:val="right" w:pos="10080" w:leader="dot"/>
        </w:tabs>
        <w:spacing w:after="10" w:before="0" w:line="240"/>
        <w:ind w:left="400"/>
      </w:pPr>
      <w:hyperlink w:history="1" w:anchor="sec_17_4">
        <w:r>
          <w:rPr>
            <w:rFonts w:ascii="Arial" w:cs="Arial" w:eastAsia="Arial" w:hAnsi="Arial"/>
            <w:color w:val="5B6573"/>
            <w:sz w:val="17"/>
            <w:szCs w:val="17"/>
          </w:rPr>
          <w:t xml:space="preserve">17.4 Step 3: Record a 90-second audit video</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sec_17_4</w:instrText>
          <w:fldChar w:fldCharType="end"/>
        </w:r>
      </w:hyperlink>
    </w:p>
    <w:p>
      <w:pPr>
        <w:keepNext w:val="false"/>
        <w:tabs>
          <w:tab w:val="right" w:pos="10080" w:leader="dot"/>
        </w:tabs>
        <w:spacing w:after="10" w:before="0" w:line="240"/>
        <w:ind w:left="400"/>
      </w:pPr>
      <w:hyperlink w:history="1" w:anchor="sec_17_5">
        <w:r>
          <w:rPr>
            <w:rFonts w:ascii="Arial" w:cs="Arial" w:eastAsia="Arial" w:hAnsi="Arial"/>
            <w:color w:val="5B6573"/>
            <w:sz w:val="17"/>
            <w:szCs w:val="17"/>
          </w:rPr>
          <w:t xml:space="preserve">17.5 Step 4: Email templates</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sec_17_5</w:instrText>
          <w:fldChar w:fldCharType="end"/>
        </w:r>
      </w:hyperlink>
    </w:p>
    <w:p>
      <w:pPr>
        <w:keepNext w:val="false"/>
        <w:tabs>
          <w:tab w:val="right" w:pos="10080" w:leader="dot"/>
        </w:tabs>
        <w:spacing w:after="10" w:before="0" w:line="240"/>
        <w:ind w:left="400"/>
      </w:pPr>
      <w:hyperlink w:history="1" w:anchor="sec_17_6">
        <w:r>
          <w:rPr>
            <w:rFonts w:ascii="Arial" w:cs="Arial" w:eastAsia="Arial" w:hAnsi="Arial"/>
            <w:color w:val="5B6573"/>
            <w:sz w:val="17"/>
            <w:szCs w:val="17"/>
          </w:rPr>
          <w:t xml:space="preserve">17.6 Step 5: Build a financial model on the discovery call</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sec_17_6</w:instrText>
          <w:fldChar w:fldCharType="end"/>
        </w:r>
      </w:hyperlink>
    </w:p>
    <w:p>
      <w:pPr>
        <w:keepNext w:val="false"/>
        <w:tabs>
          <w:tab w:val="right" w:pos="10080" w:leader="dot"/>
        </w:tabs>
        <w:spacing w:after="10" w:before="0" w:line="240"/>
        <w:ind w:left="400"/>
      </w:pPr>
      <w:hyperlink w:history="1" w:anchor="sec_17_7">
        <w:r>
          <w:rPr>
            <w:rFonts w:ascii="Arial" w:cs="Arial" w:eastAsia="Arial" w:hAnsi="Arial"/>
            <w:color w:val="5B6573"/>
            <w:sz w:val="17"/>
            <w:szCs w:val="17"/>
          </w:rPr>
          <w:t xml:space="preserve">17.7 Step 6: The Ascent proposal</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sec_17_7</w:instrText>
          <w:fldChar w:fldCharType="end"/>
        </w:r>
      </w:hyperlink>
    </w:p>
    <w:p>
      <w:pPr>
        <w:keepNext w:val="false"/>
        <w:tabs>
          <w:tab w:val="right" w:pos="10080" w:leader="dot"/>
        </w:tabs>
        <w:spacing w:after="10" w:before="0" w:line="240"/>
        <w:ind w:left="400"/>
      </w:pPr>
      <w:hyperlink w:history="1" w:anchor="sec_17_8">
        <w:r>
          <w:rPr>
            <w:rFonts w:ascii="Arial" w:cs="Arial" w:eastAsia="Arial" w:hAnsi="Arial"/>
            <w:color w:val="5B6573"/>
            <w:sz w:val="17"/>
            <w:szCs w:val="17"/>
          </w:rPr>
          <w:t xml:space="preserve">17.8 Step 7: Lhotse onboarding</w:t>
        </w:r>
        <w:r>
          <w:rPr>
            <w:rFonts w:ascii="Arial" w:cs="Arial" w:eastAsia="Arial" w:hAnsi="Arial"/>
            <w:b w:val="false"/>
            <w:bCs w:val="false"/>
            <w:color w:val="5B6573"/>
            <w:sz w:val="17"/>
            <w:szCs w:val="17"/>
          </w:rPr>
          <w:t xml:space="preserve">	</w:t>
        </w:r>
        <w:r>
          <w:rPr>
            <w:rFonts w:ascii="Arial" w:cs="Arial" w:eastAsia="Arial" w:hAnsi="Arial"/>
            <w:color w:val="5B6573"/>
            <w:sz w:val="17"/>
            <w:szCs w:val="17"/>
          </w:rPr>
        </w:r>
        <w:r>
          <w:fldChar w:fldCharType="begin" w:dirty="true"/>
          <w:instrText xml:space="preserve">PAGEREF sec_17_8</w:instrText>
          <w:fldChar w:fldCharType="end"/>
        </w:r>
      </w:hyperlink>
    </w:p>
    <w:p>
      <w:pPr>
        <w:keepNext/>
        <w:tabs>
          <w:tab w:val="right" w:pos="10080" w:leader="dot"/>
        </w:tabs>
        <w:spacing w:after="30" w:before="150" w:line="240"/>
        <w:ind w:left="0"/>
      </w:pPr>
      <w:hyperlink w:history="1" w:anchor="app_A">
        <w:r>
          <w:rPr>
            <w:rFonts w:ascii="Arial" w:cs="Arial" w:eastAsia="Arial" w:hAnsi="Arial"/>
            <w:b/>
            <w:bCs/>
            <w:color w:val="1F3A5F"/>
            <w:sz w:val="20"/>
            <w:szCs w:val="20"/>
          </w:rPr>
          <w:t xml:space="preserve">Appendix A. Word List</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app_A</w:instrText>
          <w:fldChar w:fldCharType="end"/>
        </w:r>
      </w:hyperlink>
    </w:p>
    <w:p>
      <w:pPr>
        <w:keepNext/>
        <w:tabs>
          <w:tab w:val="right" w:pos="10080" w:leader="dot"/>
        </w:tabs>
        <w:spacing w:after="30" w:before="150" w:line="240"/>
        <w:ind w:left="0"/>
      </w:pPr>
      <w:hyperlink w:history="1" w:anchor="app_B">
        <w:r>
          <w:rPr>
            <w:rFonts w:ascii="Arial" w:cs="Arial" w:eastAsia="Arial" w:hAnsi="Arial"/>
            <w:b/>
            <w:bCs/>
            <w:color w:val="1F3A5F"/>
            <w:sz w:val="20"/>
            <w:szCs w:val="20"/>
          </w:rPr>
          <w:t xml:space="preserve">Appendix B. Sources</w:t>
        </w:r>
        <w:r>
          <w:rPr>
            <w:rFonts w:ascii="Arial" w:cs="Arial" w:eastAsia="Arial" w:hAnsi="Arial"/>
            <w:b w:val="false"/>
            <w:bCs w:val="false"/>
            <w:color w:val="1F3A5F"/>
            <w:sz w:val="20"/>
            <w:szCs w:val="20"/>
          </w:rPr>
          <w:t xml:space="preserve">	</w:t>
        </w:r>
        <w:r>
          <w:rPr>
            <w:rFonts w:ascii="Arial" w:cs="Arial" w:eastAsia="Arial" w:hAnsi="Arial"/>
            <w:b/>
            <w:bCs/>
            <w:color w:val="1F3A5F"/>
            <w:sz w:val="20"/>
            <w:szCs w:val="20"/>
          </w:rPr>
        </w:r>
        <w:r>
          <w:fldChar w:fldCharType="begin" w:dirty="true"/>
          <w:instrText xml:space="preserve">PAGEREF app_B</w:instrText>
          <w:fldChar w:fldCharType="end"/>
        </w:r>
      </w:hyperlink>
    </w:p>
    <w:p>
      <w:pPr>
        <w:pStyle w:val="Heading1"/>
        <w:keepNext/>
        <w:pageBreakBefore/>
      </w:pPr>
      <w:bookmarkStart w:name="h_about_this_report" w:id="1"/>
      <w:r>
        <w:rPr>
          <w:rFonts w:ascii="Arial" w:cs="Arial" w:eastAsia="Arial" w:hAnsi="Arial"/>
        </w:rPr>
        <w:t xml:space="preserve">About This Report</w:t>
      </w:r>
      <w:bookmarkEnd w:id="1"/>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This report explains how direct-to-consumer (DTC) online brands make money, which of them are the best clients for GrowMailers, how many exist, how email delivery works, and when and how to sell to them. Every section opens with a short summary. The detail underneath is written for daily use by the team.</w:t>
      </w:r>
    </w:p>
    <w:p>
      <w:pPr>
        <w:pStyle w:val="Heading2"/>
        <w:keepNext/>
      </w:pPr>
      <w:bookmarkStart w:name="h_purpose_and_scope" w:id="2"/>
      <w:r>
        <w:rPr>
          <w:rFonts w:ascii="Arial" w:cs="Arial" w:eastAsia="Arial" w:hAnsi="Arial"/>
        </w:rPr>
        <w:t xml:space="preserve">Purpose and scope</w:t>
      </w:r>
      <w:bookmarkEnd w:id="2"/>
    </w:p>
    <w:p>
      <w:r>
        <w:rPr>
          <w:rFonts w:ascii="Arial" w:cs="Arial" w:eastAsia="Arial" w:hAnsi="Arial"/>
          <w:sz w:val="20"/>
          <w:szCs w:val="20"/>
        </w:rPr>
        <w:t xml:space="preserve">The report covers online brands that sell their own products mainly through their own website, with a focus on stores built on Shopify that send email through Klaviyo. It concentrates on four product types where customers buy again and again: beauty and skincare, health supplements, food and drink, and pet supplies.</w:t>
      </w:r>
    </w:p>
    <w:p>
      <w:r>
        <w:rPr>
          <w:rFonts w:ascii="Arial" w:cs="Arial" w:eastAsia="Arial" w:hAnsi="Arial"/>
          <w:sz w:val="20"/>
          <w:szCs w:val="20"/>
        </w:rPr>
        <w:t xml:space="preserve">All figures come from named public sources available in September 2026, such as the US Census Bureau, Store Leads and Klaviyo. Where GrowMailers has made its own calculation, the text says "our estimate".</w:t>
      </w:r>
    </w:p>
    <w:p>
      <w:pPr>
        <w:pStyle w:val="Heading2"/>
        <w:keepNext/>
      </w:pPr>
      <w:bookmarkStart w:name="h_the_two_growmailers_services" w:id="3"/>
      <w:r>
        <w:rPr>
          <w:rFonts w:ascii="Arial" w:cs="Arial" w:eastAsia="Arial" w:hAnsi="Arial"/>
        </w:rPr>
        <w:t xml:space="preserve">The two GrowMailers services</w:t>
      </w:r>
      <w:bookmarkEnd w:id="3"/>
    </w:p>
    <w:p>
      <w:r>
        <w:rPr>
          <w:rFonts w:ascii="Arial" w:cs="Arial" w:eastAsia="Arial" w:hAnsi="Arial"/>
          <w:sz w:val="20"/>
          <w:szCs w:val="20"/>
        </w:rPr>
        <w:t xml:space="preserve">The report refers to GrowMailers' two services by name throughout.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4208"/>
        <w:gridCol w:w="4207"/>
      </w:tblGrid>
      <w:tr>
        <w:trPr>
          <w:cantSplit/>
          <w:tblHeader/>
        </w:trPr>
        <w:tc>
          <w:tcPr>
            <w:tcW w:type="dxa" w:w="16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42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Ascent</w:t>
            </w:r>
          </w:p>
        </w:tc>
        <w:tc>
          <w:tcPr>
            <w:tcW w:type="dxa" w:w="420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w:t>
            </w:r>
          </w:p>
        </w:tc>
      </w:tr>
      <w:tr>
        <w:trPr>
          <w:cantSplit/>
        </w:trPr>
        <w:tc>
          <w:tcPr>
            <w:tcW w:type="dxa" w:w="1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it is</w:t>
            </w:r>
          </w:p>
        </w:tc>
        <w:tc>
          <w:tcPr>
            <w:tcW w:type="dxa" w:w="4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one-time repair of a brand's email delivery</w:t>
            </w:r>
          </w:p>
        </w:tc>
        <w:tc>
          <w:tcPr>
            <w:tcW w:type="dxa" w:w="42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monthly service that runs the brand's email and SMS program</w:t>
            </w:r>
          </w:p>
        </w:tc>
      </w:tr>
      <w:tr>
        <w:trPr>
          <w:cantSplit/>
        </w:trPr>
        <w:tc>
          <w:tcPr>
            <w:tcW w:type="dxa" w:w="16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Price</w:t>
            </w:r>
          </w:p>
        </w:tc>
        <w:tc>
          <w:tcPr>
            <w:tcW w:type="dxa" w:w="4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 one time</w:t>
            </w:r>
          </w:p>
        </w:tc>
        <w:tc>
          <w:tcPr>
            <w:tcW w:type="dxa" w:w="42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$3,000 to $5,500 per month</w:t>
            </w:r>
          </w:p>
        </w:tc>
      </w:tr>
      <w:tr>
        <w:trPr>
          <w:cantSplit/>
        </w:trPr>
        <w:tc>
          <w:tcPr>
            <w:tcW w:type="dxa" w:w="1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Main work</w:t>
            </w:r>
          </w:p>
        </w:tc>
        <w:tc>
          <w:tcPr>
            <w:tcW w:type="dxa" w:w="4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Fix email security settings, move off shared sending domains, clean the list, remove fake sign-ups, repair inbox placement</w:t>
            </w:r>
          </w:p>
        </w:tc>
        <w:tc>
          <w:tcPr>
            <w:tcW w:type="dxa" w:w="42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Plan and send campaigns, build automated email sequences, design, copywriting, testing and reporting</w:t>
            </w:r>
          </w:p>
        </w:tc>
      </w:tr>
      <w:tr>
        <w:trPr>
          <w:cantSplit/>
        </w:trPr>
        <w:tc>
          <w:tcPr>
            <w:tcW w:type="dxa" w:w="16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Length</w:t>
            </w:r>
          </w:p>
        </w:tc>
        <w:tc>
          <w:tcPr>
            <w:tcW w:type="dxa" w:w="4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to 3 weeks of repair, plus up to 10 weeks of gradual ramp-up if a new sending address is needed</w:t>
            </w:r>
          </w:p>
        </w:tc>
        <w:tc>
          <w:tcPr>
            <w:tcW w:type="dxa" w:w="42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Ongoing, after 2 to 3 weeks of setup</w:t>
            </w:r>
          </w:p>
        </w:tc>
      </w:tr>
      <w:tr>
        <w:trPr>
          <w:cantSplit/>
        </w:trPr>
        <w:tc>
          <w:tcPr>
            <w:tcW w:type="dxa" w:w="1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Best-fit brand size</w:t>
            </w:r>
          </w:p>
        </w:tc>
        <w:tc>
          <w:tcPr>
            <w:tcW w:type="dxa" w:w="4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 to $50M+ in yearly revenue</w:t>
            </w:r>
          </w:p>
        </w:tc>
        <w:tc>
          <w:tcPr>
            <w:tcW w:type="dxa" w:w="42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 to $20M in yearly revenue</w:t>
            </w:r>
          </w:p>
        </w:tc>
      </w:tr>
      <w:tr>
        <w:trPr>
          <w:cantSplit/>
        </w:trPr>
        <w:tc>
          <w:tcPr>
            <w:tcW w:type="dxa" w:w="16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 of success</w:t>
            </w:r>
          </w:p>
        </w:tc>
        <w:tc>
          <w:tcPr>
            <w:tcW w:type="dxa" w:w="4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pass security checks, spam complaints stay below 0.1%, fewer bounces, better inbox placement</w:t>
            </w:r>
          </w:p>
        </w:tc>
        <w:tc>
          <w:tcPr>
            <w:tcW w:type="dxa" w:w="42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earns a larger share of website revenue, and holdout tests confirm the extra sales</w:t>
            </w:r>
          </w:p>
        </w:tc>
      </w:tr>
    </w:tbl>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3"/>
        <w:gridCol w:w="1714"/>
        <w:gridCol w:w="1832"/>
        <w:gridCol w:w="5141"/>
      </w:tblGrid>
      <w:tr>
        <w:trPr>
          <w:cantSplit/>
          <w:tblHeader/>
        </w:trPr>
        <w:tc>
          <w:tcPr>
            <w:tcW w:type="dxa" w:w="139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 package</w:t>
            </w:r>
          </w:p>
        </w:tc>
        <w:tc>
          <w:tcPr>
            <w:tcW w:type="dxa" w:w="171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Monthly price</w:t>
            </w:r>
          </w:p>
        </w:tc>
        <w:tc>
          <w:tcPr>
            <w:tcW w:type="dxa" w:w="18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Best-fit brand size</w:t>
            </w:r>
          </w:p>
        </w:tc>
        <w:tc>
          <w:tcPr>
            <w:tcW w:type="dxa" w:w="514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is included</w:t>
            </w:r>
          </w:p>
        </w:tc>
      </w:tr>
      <w:tr>
        <w:trPr>
          <w:cantSplit/>
        </w:trPr>
        <w:tc>
          <w:tcPr>
            <w:tcW w:type="dxa" w:w="13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 Core</w:t>
            </w:r>
          </w:p>
        </w:tc>
        <w:tc>
          <w:tcPr>
            <w:tcW w:type="dxa" w:w="1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$3,000 to $3,500</w:t>
            </w:r>
          </w:p>
        </w:tc>
        <w:tc>
          <w:tcPr>
            <w:tcW w:type="dxa" w:w="18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 to $6M</w:t>
            </w:r>
          </w:p>
        </w:tc>
        <w:tc>
          <w:tcPr>
            <w:tcW w:type="dxa" w:w="51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automated sequences, 2 to 3 targeted campaigns per week, list cleaning, monthly report</w:t>
            </w:r>
          </w:p>
        </w:tc>
      </w:tr>
      <w:tr>
        <w:trPr>
          <w:cantSplit/>
        </w:trPr>
        <w:tc>
          <w:tcPr>
            <w:tcW w:type="dxa" w:w="139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 Growth</w:t>
            </w:r>
          </w:p>
        </w:tc>
        <w:tc>
          <w:tcPr>
            <w:tcW w:type="dxa" w:w="1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$3,500 to $4,500</w:t>
            </w:r>
          </w:p>
        </w:tc>
        <w:tc>
          <w:tcPr>
            <w:tcW w:type="dxa" w:w="18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$6M to $12M</w:t>
            </w:r>
          </w:p>
        </w:tc>
        <w:tc>
          <w:tcPr>
            <w:tcW w:type="dxa" w:w="51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Core, plus a managed SMS program, regular testing, reorder reminders and quarterly lift tests</w:t>
            </w:r>
          </w:p>
        </w:tc>
      </w:tr>
      <w:tr>
        <w:trPr>
          <w:cantSplit/>
        </w:trPr>
        <w:tc>
          <w:tcPr>
            <w:tcW w:type="dxa" w:w="13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 Scale</w:t>
            </w:r>
          </w:p>
        </w:tc>
        <w:tc>
          <w:tcPr>
            <w:tcW w:type="dxa" w:w="1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$4,500 to $5,500</w:t>
            </w:r>
          </w:p>
        </w:tc>
        <w:tc>
          <w:tcPr>
            <w:tcW w:type="dxa" w:w="18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$12M to $20M</w:t>
            </w:r>
          </w:p>
        </w:tc>
        <w:tc>
          <w:tcPr>
            <w:tcW w:type="dxa" w:w="51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plus website conversion work, advanced segmentation, multi-country calendars and a weekly strategy call</w:t>
            </w:r>
          </w:p>
        </w:tc>
      </w:tr>
    </w:tbl>
    <w:p>
      <w:pPr>
        <w:spacing w:after="120" w:before="0"/>
      </w:pPr>
    </w:p>
    <w:p>
      <w:pPr>
        <w:pStyle w:val="Heading2"/>
        <w:keepNext/>
      </w:pPr>
      <w:bookmarkStart w:name="h_how_to_read_this_report" w:id="4"/>
      <w:r>
        <w:rPr>
          <w:rFonts w:ascii="Arial" w:cs="Arial" w:eastAsia="Arial" w:hAnsi="Arial"/>
        </w:rPr>
        <w:t xml:space="preserve">How to read this report</w:t>
      </w:r>
      <w:bookmarkEnd w:id="4"/>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82"/>
        <w:gridCol w:w="5498"/>
      </w:tblGrid>
      <w:tr>
        <w:trPr>
          <w:cantSplit/>
          <w:tblHeader/>
        </w:trPr>
        <w:tc>
          <w:tcPr>
            <w:tcW w:type="dxa" w:w="45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Element</w:t>
            </w:r>
          </w:p>
        </w:tc>
        <w:tc>
          <w:tcPr>
            <w:tcW w:type="dxa" w:w="54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tells you</w:t>
            </w:r>
          </w:p>
        </w:tc>
      </w:tr>
      <w:tr>
        <w:trPr>
          <w:cantSplit/>
        </w:trPr>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Summary</w:t>
            </w:r>
            <w:r>
              <w:rPr>
                <w:rFonts w:ascii="Arial" w:cs="Arial" w:eastAsia="Arial" w:hAnsi="Arial"/>
                <w:sz w:val="16"/>
                <w:szCs w:val="16"/>
              </w:rPr>
              <w:t xml:space="preserve"> box at the start of each section</w:t>
            </w:r>
          </w:p>
        </w:tc>
        <w:tc>
          <w:tcPr>
            <w:tcW w:type="dxa" w:w="54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main point in a few sentences. Reading only these gives a ten-minute overview.</w:t>
            </w:r>
          </w:p>
        </w:tc>
      </w:tr>
      <w:tr>
        <w:trPr>
          <w:cantSplit/>
        </w:trPr>
        <w:tc>
          <w:tcPr>
            <w:tcW w:type="dxa" w:w="4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Numbered subsections</w:t>
            </w:r>
          </w:p>
        </w:tc>
        <w:tc>
          <w:tcPr>
            <w:tcW w:type="dxa" w:w="54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detail, checklists and reference tables the team uses day to day</w:t>
            </w:r>
          </w:p>
        </w:tc>
      </w:tr>
      <w:tr>
        <w:trPr>
          <w:cantSplit/>
        </w:trPr>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Grey note under a table</w:t>
            </w:r>
          </w:p>
        </w:tc>
        <w:tc>
          <w:tcPr>
            <w:tcW w:type="dxa" w:w="54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Where the numbers come from</w:t>
            </w:r>
          </w:p>
        </w:tc>
      </w:tr>
      <w:tr>
        <w:trPr>
          <w:cantSplit/>
        </w:trPr>
        <w:tc>
          <w:tcPr>
            <w:tcW w:type="dxa" w:w="4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"Our estimate"</w:t>
            </w:r>
          </w:p>
        </w:tc>
        <w:tc>
          <w:tcPr>
            <w:tcW w:type="dxa" w:w="54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calculation made by GrowMailers rather than a published figure</w:t>
            </w:r>
          </w:p>
        </w:tc>
      </w:tr>
      <w:tr>
        <w:trPr>
          <w:cantSplit/>
        </w:trPr>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Appendix A</w:t>
            </w:r>
          </w:p>
        </w:tc>
        <w:tc>
          <w:tcPr>
            <w:tcW w:type="dxa" w:w="54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Plain-English meanings of every technical term and abbreviation</w:t>
            </w:r>
          </w:p>
        </w:tc>
      </w:tr>
    </w:tbl>
    <w:p>
      <w:pPr>
        <w:spacing w:after="120" w:before="0"/>
      </w:pPr>
    </w:p>
    <w:p>
      <w:pPr>
        <w:pStyle w:val="Heading1"/>
        <w:keepNext/>
        <w:pageBreakBefore/>
      </w:pPr>
      <w:bookmarkStart w:name="sec_1" w:id="5"/>
      <w:r>
        <w:rPr>
          <w:rFonts w:ascii="Arial" w:cs="Arial" w:eastAsia="Arial" w:hAnsi="Arial"/>
        </w:rPr>
        <w:t xml:space="preserve">1. Types of Online Stores and Which Ones We Target</w:t>
      </w:r>
      <w:bookmarkEnd w:id="5"/>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A direct-to-consumer (DTC) brand makes or owns its products and sells them mainly through its own website, so it owns the contact details of its customers. That ownership matters more than the brand's size: a $30M Amazon seller is a worse prospect than a $4M Shopify brand, because the Amazon seller cannot email most of its buyers. We also exclude dropshippers and print-on-demand stores, even though they technically have an email list, because they lack the profit margin, product quality and staying power to benefit from our work.</w:t>
      </w:r>
    </w:p>
    <w:p>
      <w:pPr>
        <w:pStyle w:val="Heading2"/>
        <w:keepNext/>
      </w:pPr>
      <w:bookmarkStart w:name="sec_1_1" w:id="6"/>
      <w:r>
        <w:rPr>
          <w:rFonts w:ascii="Arial" w:cs="Arial" w:eastAsia="Arial" w:hAnsi="Arial"/>
        </w:rPr>
        <w:t xml:space="preserve">1.1 Types of online business and whether we can help</w:t>
      </w:r>
      <w:bookmarkEnd w:id="6"/>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6"/>
        <w:gridCol w:w="2533"/>
        <w:gridCol w:w="2164"/>
        <w:gridCol w:w="1583"/>
        <w:gridCol w:w="2164"/>
      </w:tblGrid>
      <w:tr>
        <w:trPr>
          <w:cantSplit/>
          <w:tblHeader/>
        </w:trPr>
        <w:tc>
          <w:tcPr>
            <w:tcW w:type="dxa" w:w="16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Business type</w:t>
            </w:r>
          </w:p>
        </w:tc>
        <w:tc>
          <w:tcPr>
            <w:tcW w:type="dxa" w:w="25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21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Can they email their customers?</w:t>
            </w:r>
          </w:p>
        </w:tc>
        <w:tc>
          <w:tcPr>
            <w:tcW w:type="dxa" w:w="15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Ascent fit</w:t>
            </w:r>
          </w:p>
        </w:tc>
        <w:tc>
          <w:tcPr>
            <w:tcW w:type="dxa" w:w="21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 fit</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Direct-to-consumer brand (DTC)</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Makes or owns its products; sells mainly through its own website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Yes, fully</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Online-born brand (DNVB)</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online brand that controls everything from product design to delivery</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Yes</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r>
              <w:rPr>
                <w:rFonts w:ascii="Arial" w:cs="Arial" w:eastAsia="Arial" w:hAnsi="Arial"/>
                <w:sz w:val="16"/>
                <w:szCs w:val="16"/>
              </w:rPr>
              <w:t xml:space="preserve">, if finances are healthy</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Subscription brand</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 revenue is repeat deliveries, often set up through an app called ReCharge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Yes</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r>
              <w:rPr>
                <w:rFonts w:ascii="Arial" w:cs="Arial" w:eastAsia="Arial" w:hAnsi="Arial"/>
                <w:sz w:val="16"/>
                <w:szCs w:val="16"/>
              </w:rPr>
              <w:t xml:space="preserve"> (great for reducing cancellations)</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Multi-channel retailer</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its own stores and website, and also sells through big retailers</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Web buyers yes; in-store buyers partially</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r>
              <w:rPr>
                <w:rFonts w:ascii="Arial" w:cs="Arial" w:eastAsia="Arial" w:hAnsi="Arial"/>
                <w:sz w:val="16"/>
                <w:szCs w:val="16"/>
              </w:rPr>
              <w:t xml:space="preserve"> (for large repair jobs)</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Depends: measure only website revenue</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Half Amazon, half own website</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Sells a lot through both Amazon and its own site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their own-site buyers</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Maybe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Maybe: own site must be big enough alone</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Wholesale brand</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Sells mainly to retailers, not directly to shoppers</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Small own-site list</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if own site makes $1M+</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Marketplace-only seller</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sells through Amazon, Etsy or TikTok Shop</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Amazon hides buyer emails.</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Dropshipper</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no stock; a supplier ships each order directly</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Technically yes</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Print-on-demand / creator merch</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Products printed only when ordered (using apps like Printful)</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Rarely their own list</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r>
    </w:tbl>
    <w:p>
      <w:pPr>
        <w:spacing w:after="120" w:before="0"/>
      </w:pPr>
    </w:p>
    <w:p>
      <w:r>
        <w:rPr>
          <w:rFonts w:ascii="Arial" w:cs="Arial" w:eastAsia="Arial" w:hAnsi="Arial"/>
          <w:sz w:val="20"/>
          <w:szCs w:val="20"/>
        </w:rPr>
        <w:t xml:space="preserve">The word "e-commerce" covers any online sale, from Amazon down to a one-person Shopify store. Only the rows marked Strong or Maybe are our market.</w:t>
      </w:r>
    </w:p>
    <w:p>
      <w:r>
        <w:rPr>
          <w:rFonts w:ascii="Arial" w:cs="Arial" w:eastAsia="Arial" w:hAnsi="Arial"/>
          <w:sz w:val="20"/>
          <w:szCs w:val="20"/>
        </w:rPr>
        <w:t xml:space="preserve">A 2026 ShipBob survey found how brands rank their main sales channel: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35"/>
        <w:gridCol w:w="3445"/>
      </w:tblGrid>
      <w:tr>
        <w:trPr>
          <w:cantSplit/>
          <w:tblHeader/>
        </w:trPr>
        <w:tc>
          <w:tcPr>
            <w:tcW w:type="dxa" w:w="663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Main sales channel</w:t>
            </w:r>
          </w:p>
        </w:tc>
        <w:tc>
          <w:tcPr>
            <w:tcW w:type="dxa" w:w="344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 of brands</w:t>
            </w:r>
          </w:p>
        </w:tc>
      </w:tr>
      <w:tr>
        <w:trPr>
          <w:cantSplit/>
        </w:trPr>
        <w:tc>
          <w:tcPr>
            <w:tcW w:type="dxa" w:w="663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 website</w:t>
            </w:r>
          </w:p>
        </w:tc>
        <w:tc>
          <w:tcPr>
            <w:tcW w:type="dxa" w:w="34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65%</w:t>
            </w:r>
          </w:p>
        </w:tc>
      </w:tr>
      <w:tr>
        <w:trPr>
          <w:cantSplit/>
        </w:trPr>
        <w:tc>
          <w:tcPr>
            <w:tcW w:type="dxa" w:w="663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w:t>
            </w:r>
          </w:p>
        </w:tc>
        <w:tc>
          <w:tcPr>
            <w:tcW w:type="dxa" w:w="34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r>
      <w:tr>
        <w:trPr>
          <w:cantSplit/>
        </w:trPr>
        <w:tc>
          <w:tcPr>
            <w:tcW w:type="dxa" w:w="663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Wholesale or retail stores</w:t>
            </w:r>
          </w:p>
        </w:tc>
        <w:tc>
          <w:tcPr>
            <w:tcW w:type="dxa" w:w="34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r>
    </w:tbl>
    <w:p>
      <w:pPr>
        <w:spacing w:after="120" w:before="0"/>
      </w:pPr>
    </w:p>
    <w:p>
      <w:pPr>
        <w:spacing w:after="160" w:before="0"/>
      </w:pPr>
      <w:r>
        <w:rPr>
          <w:rFonts w:ascii="Arial" w:cs="Arial" w:eastAsia="Arial" w:hAnsi="Arial"/>
          <w:i/>
          <w:iCs/>
          <w:color w:val="5B6573"/>
          <w:sz w:val="16"/>
          <w:szCs w:val="16"/>
        </w:rPr>
        <w:t xml:space="preserve">Source: ShipBob survey, 2026.</w:t>
      </w:r>
    </w:p>
    <w:p>
      <w:r>
        <w:rPr>
          <w:rFonts w:ascii="Arial" w:cs="Arial" w:eastAsia="Arial" w:hAnsi="Arial"/>
          <w:sz w:val="20"/>
          <w:szCs w:val="20"/>
        </w:rPr>
        <w:t xml:space="preserve">The same survey found that 86% of brands sell through more than one channel. For that reason, </w:t>
      </w:r>
      <w:r>
        <w:rPr>
          <w:rFonts w:ascii="Arial" w:cs="Arial" w:eastAsia="Arial" w:hAnsi="Arial"/>
          <w:b/>
          <w:bCs/>
          <w:sz w:val="20"/>
          <w:szCs w:val="20"/>
        </w:rPr>
        <w:t xml:space="preserve">always measure a potential client by their own website revenue only</w:t>
      </w:r>
      <w:r>
        <w:rPr>
          <w:rFonts w:ascii="Arial" w:cs="Arial" w:eastAsia="Arial" w:hAnsi="Arial"/>
          <w:sz w:val="20"/>
          <w:szCs w:val="20"/>
        </w:rPr>
        <w:t xml:space="preserve">. Amazon and wholesale sales never go through Klaviyo, so they do not count.</w:t>
      </w:r>
    </w:p>
    <w:p>
      <w:pPr>
        <w:pStyle w:val="Heading2"/>
        <w:keepNext/>
      </w:pPr>
      <w:bookmarkStart w:name="sec_1_2" w:id="7"/>
      <w:r>
        <w:rPr>
          <w:rFonts w:ascii="Arial" w:cs="Arial" w:eastAsia="Arial" w:hAnsi="Arial"/>
        </w:rPr>
        <w:t xml:space="preserve">1.2 Why we skip dropshippers and print-on-demand</w:t>
      </w:r>
      <w:bookmarkEnd w:id="7"/>
    </w:p>
    <w:p>
      <w:r>
        <w:rPr>
          <w:rFonts w:ascii="Arial" w:cs="Arial" w:eastAsia="Arial" w:hAnsi="Arial"/>
          <w:sz w:val="20"/>
          <w:szCs w:val="20"/>
        </w:rPr>
        <w:t xml:space="preserve">Email works best when customers run out of a product they love and trust the brand. Dropshipped generic products do not build that kind of loyalty. These businesses also fail our test for three further reasons.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5"/>
        <w:gridCol w:w="6815"/>
      </w:tblGrid>
      <w:tr>
        <w:trPr>
          <w:cantSplit/>
          <w:tblHeader/>
        </w:trPr>
        <w:tc>
          <w:tcPr>
            <w:tcW w:type="dxa" w:w="32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Reason</w:t>
            </w:r>
          </w:p>
        </w:tc>
        <w:tc>
          <w:tcPr>
            <w:tcW w:type="dxa" w:w="68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it rules them out</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Thin profit margin</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They do not have enough margin to pay for our services</w:t>
            </w:r>
          </w:p>
        </w:tc>
      </w:tr>
      <w:tr>
        <w:trPr>
          <w:cantSplit/>
        </w:trPr>
        <w:tc>
          <w:tcPr>
            <w:tcW w:type="dxa" w:w="32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Short lifespan</w:t>
            </w:r>
          </w:p>
        </w:tc>
        <w:tc>
          <w:tcPr>
            <w:tcW w:type="dxa" w:w="68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They often close within months, and our work depends on a domain the brand keeps for years</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Low-quality subscribers</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lists hurt both results and the case studies we show future clients</w:t>
            </w:r>
          </w:p>
        </w:tc>
      </w:tr>
    </w:tbl>
    <w:p>
      <w:pPr>
        <w:spacing w:after="120" w:before="0"/>
      </w:pPr>
    </w:p>
    <w:p>
      <w:r>
        <w:rPr>
          <w:rFonts w:ascii="Arial" w:cs="Arial" w:eastAsia="Arial" w:hAnsi="Arial"/>
          <w:sz w:val="20"/>
          <w:szCs w:val="20"/>
        </w:rPr>
        <w:t xml:space="preserve">They are easy to spot and skip. Printful and Printify are two of the top ten apps on US Shopify stores, and an app called Fourthwall is used by 7% of US Shopify stores that also have Klaviyo.</w:t>
      </w:r>
    </w:p>
    <w:p>
      <w:pPr>
        <w:pStyle w:val="Heading2"/>
        <w:keepNext/>
      </w:pPr>
      <w:bookmarkStart w:name="sec_1_3" w:id="8"/>
      <w:r>
        <w:rPr>
          <w:rFonts w:ascii="Arial" w:cs="Arial" w:eastAsia="Arial" w:hAnsi="Arial"/>
        </w:rPr>
        <w:t xml:space="preserve">1.3 Quick decision checklist for qualifying a store</w:t>
      </w:r>
      <w:bookmarkEnd w:id="8"/>
    </w:p>
    <w:p>
      <w:r>
        <w:rPr>
          <w:rFonts w:ascii="Arial" w:cs="Arial" w:eastAsia="Arial" w:hAnsi="Arial"/>
          <w:sz w:val="20"/>
          <w:szCs w:val="20"/>
        </w:rPr>
        <w:t xml:space="preserve">Work through the steps in order. Each answer either ends the check or sends the store to the next step.</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772"/>
        <w:gridCol w:w="3204"/>
        <w:gridCol w:w="3204"/>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277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Question</w:t>
            </w:r>
          </w:p>
        </w:tc>
        <w:tc>
          <w:tcPr>
            <w:tcW w:type="dxa" w:w="32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If no</w:t>
            </w:r>
          </w:p>
        </w:tc>
        <w:tc>
          <w:tcPr>
            <w:tcW w:type="dxa" w:w="32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If yes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27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Is the brand's own website their main way to sell?</w:t>
            </w:r>
          </w:p>
        </w:tc>
        <w:tc>
          <w:tcPr>
            <w:tcW w:type="dxa" w:w="3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 to Step 2</w:t>
            </w:r>
          </w:p>
        </w:tc>
        <w:tc>
          <w:tcPr>
            <w:tcW w:type="dxa" w:w="3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 to Step 3</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27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Does the website alone make $1M+ (for Ascent) or $3M+ (for Lhotse)?</w:t>
            </w:r>
          </w:p>
        </w:tc>
        <w:tc>
          <w:tcPr>
            <w:tcW w:type="dxa" w:w="3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r>
              <w:rPr>
                <w:rFonts w:ascii="Arial" w:cs="Arial" w:eastAsia="Arial" w:hAnsi="Arial"/>
                <w:sz w:val="16"/>
                <w:szCs w:val="16"/>
              </w:rPr>
              <w:t xml:space="preserve"> (they sell mainly through Amazon or wholesalers)</w:t>
            </w:r>
          </w:p>
        </w:tc>
        <w:tc>
          <w:tcPr>
            <w:tcW w:type="dxa" w:w="3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Keep going to Step 3, but use only website revenue numbers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27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 they make or own their products?</w:t>
            </w:r>
          </w:p>
        </w:tc>
        <w:tc>
          <w:tcPr>
            <w:tcW w:type="dxa" w:w="3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r>
              <w:rPr>
                <w:rFonts w:ascii="Arial" w:cs="Arial" w:eastAsia="Arial" w:hAnsi="Arial"/>
                <w:sz w:val="16"/>
                <w:szCs w:val="16"/>
              </w:rPr>
              <w:t xml:space="preserve"> (dropshipper, print-on-demand, reseller)</w:t>
            </w:r>
          </w:p>
        </w:tc>
        <w:tc>
          <w:tcPr>
            <w:tcW w:type="dxa" w:w="3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 to Step 4</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27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 they use Shopify or Shopify Plus?</w:t>
            </w:r>
          </w:p>
        </w:tc>
        <w:tc>
          <w:tcPr>
            <w:tcW w:type="dxa" w:w="3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HOLD</w:t>
            </w:r>
            <w:r>
              <w:rPr>
                <w:rFonts w:ascii="Arial" w:cs="Arial" w:eastAsia="Arial" w:hAnsi="Arial"/>
                <w:sz w:val="16"/>
                <w:szCs w:val="16"/>
              </w:rPr>
              <w:t xml:space="preserve"> (check back later)</w:t>
            </w:r>
          </w:p>
        </w:tc>
        <w:tc>
          <w:tcPr>
            <w:tcW w:type="dxa" w:w="3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 to Step 5</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27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 they use Klaviyo for emails?</w:t>
            </w:r>
          </w:p>
        </w:tc>
        <w:tc>
          <w:tcPr>
            <w:tcW w:type="dxa" w:w="3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Omnisend: </w:t>
            </w:r>
            <w:r>
              <w:rPr>
                <w:rFonts w:ascii="Arial" w:cs="Arial" w:eastAsia="Arial" w:hAnsi="Arial"/>
                <w:b/>
                <w:bCs/>
                <w:sz w:val="16"/>
                <w:szCs w:val="16"/>
              </w:rPr>
              <w:t xml:space="preserve">HOLD</w:t>
            </w:r>
            <w:r>
              <w:rPr>
                <w:rFonts w:ascii="Arial" w:cs="Arial" w:eastAsia="Arial" w:hAnsi="Arial"/>
                <w:sz w:val="16"/>
                <w:szCs w:val="16"/>
              </w:rPr>
              <w:t xml:space="preserve"> (never make them switch). Mailchimp: </w:t>
            </w:r>
            <w:r>
              <w:rPr>
                <w:rFonts w:ascii="Arial" w:cs="Arial" w:eastAsia="Arial" w:hAnsi="Arial"/>
                <w:b/>
                <w:bCs/>
                <w:sz w:val="16"/>
                <w:szCs w:val="16"/>
              </w:rPr>
              <w:t xml:space="preserve">NURTURE</w:t>
            </w:r>
            <w:r>
              <w:rPr>
                <w:rFonts w:ascii="Arial" w:cs="Arial" w:eastAsia="Arial" w:hAnsi="Arial"/>
                <w:sz w:val="16"/>
                <w:szCs w:val="16"/>
              </w:rPr>
              <w:t xml:space="preserve"> (introduce our work).</w:t>
            </w:r>
          </w:p>
        </w:tc>
        <w:tc>
          <w:tcPr>
            <w:tcW w:type="dxa" w:w="3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 to Step 6</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w:t>
            </w:r>
          </w:p>
        </w:tc>
        <w:tc>
          <w:tcPr>
            <w:tcW w:type="dxa" w:w="27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Is it beauty, supplements, food or pets?</w:t>
            </w:r>
          </w:p>
        </w:tc>
        <w:tc>
          <w:tcPr>
            <w:tcW w:type="dxa" w:w="3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SECONDARY</w:t>
            </w:r>
            <w:r>
              <w:rPr>
                <w:rFonts w:ascii="Arial" w:cs="Arial" w:eastAsia="Arial" w:hAnsi="Arial"/>
                <w:sz w:val="16"/>
                <w:szCs w:val="16"/>
              </w:rPr>
              <w:t xml:space="preserve">: pursue only if repeat buying is visible</w:t>
            </w:r>
          </w:p>
        </w:tc>
        <w:tc>
          <w:tcPr>
            <w:tcW w:type="dxa" w:w="3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QUALIFIED</w:t>
            </w:r>
            <w:r>
              <w:rPr>
                <w:rFonts w:ascii="Arial" w:cs="Arial" w:eastAsia="Arial" w:hAnsi="Arial"/>
                <w:sz w:val="16"/>
                <w:szCs w:val="16"/>
              </w:rPr>
              <w:t xml:space="preserve">: score it (Section 3)</w:t>
            </w:r>
          </w:p>
        </w:tc>
      </w:tr>
    </w:tbl>
    <w:p>
      <w:pPr>
        <w:spacing w:after="120" w:before="0"/>
      </w:pPr>
    </w:p>
    <w:p>
      <w:pPr>
        <w:pStyle w:val="Heading2"/>
        <w:keepNext/>
      </w:pPr>
      <w:bookmarkStart w:name="sec_1_4" w:id="9"/>
      <w:r>
        <w:rPr>
          <w:rFonts w:ascii="Arial" w:cs="Arial" w:eastAsia="Arial" w:hAnsi="Arial"/>
        </w:rPr>
        <w:t xml:space="preserve">1.4 Tricky cases</w:t>
      </w:r>
      <w:bookmarkEnd w:id="9"/>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3"/>
        <w:gridCol w:w="5317"/>
      </w:tblGrid>
      <w:tr>
        <w:trPr>
          <w:cantSplit/>
          <w:tblHeader/>
        </w:trPr>
        <w:tc>
          <w:tcPr>
            <w:tcW w:type="dxa" w:w="476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Case</w:t>
            </w:r>
          </w:p>
        </w:tc>
        <w:tc>
          <w:tcPr>
            <w:tcW w:type="dxa" w:w="531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handle</w:t>
            </w:r>
          </w:p>
        </w:tc>
      </w:tr>
      <w:tr>
        <w:trPr>
          <w:cantSplit/>
        </w:trPr>
        <w:tc>
          <w:tcPr>
            <w:tcW w:type="dxa" w:w="47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 $25M brand with 60% of sales on Amazon</w:t>
            </w:r>
          </w:p>
        </w:tc>
        <w:tc>
          <w:tcPr>
            <w:tcW w:type="dxa" w:w="53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website makes $10M, which qualifies for Lhotse. Use only the website number, and expect email to cover a smaller share of revenue because Amazon buyers never joined the email list.</w:t>
            </w:r>
          </w:p>
        </w:tc>
      </w:tr>
      <w:tr>
        <w:trPr>
          <w:cantSplit/>
        </w:trPr>
        <w:tc>
          <w:tcPr>
            <w:tcW w:type="dxa" w:w="476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 brand with physical stores</w:t>
            </w:r>
          </w:p>
        </w:tc>
        <w:tc>
          <w:tcPr>
            <w:tcW w:type="dxa" w:w="531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great Ascent candidate: more sending tools (such as a store POS system) mean more security gaps to fix. For Lhotse, check whether in-store buyers are added to Klaviyo at checkout.</w:t>
            </w:r>
          </w:p>
        </w:tc>
      </w:tr>
      <w:tr>
        <w:trPr>
          <w:cantSplit/>
        </w:trPr>
        <w:tc>
          <w:tcPr>
            <w:tcW w:type="dxa" w:w="47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 company that owns several brands</w:t>
            </w:r>
          </w:p>
        </w:tc>
        <w:tc>
          <w:tcPr>
            <w:tcW w:type="dxa" w:w="53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Each brand has its own email domain and list, so each one is a separate Ascent project. Pitch the whole group, but price each brand separately.</w:t>
            </w:r>
          </w:p>
        </w:tc>
      </w:tr>
      <w:tr>
        <w:trPr>
          <w:cantSplit/>
        </w:trPr>
        <w:tc>
          <w:tcPr>
            <w:tcW w:type="dxa" w:w="476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 brand where most revenue is subscriptions</w:t>
            </w:r>
          </w:p>
        </w:tc>
        <w:tc>
          <w:tcPr>
            <w:tcW w:type="dxa" w:w="531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Subscriptions do not count as "email revenue" in Klaviyo reporting, so email looks weaker than it really is. Judge by cancelled-subscription prevention and cross-selling instead.</w:t>
            </w:r>
          </w:p>
        </w:tc>
      </w:tr>
      <w:tr>
        <w:trPr>
          <w:cantSplit/>
        </w:trPr>
        <w:tc>
          <w:tcPr>
            <w:tcW w:type="dxa" w:w="47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 Shopify Plus store with a custom build</w:t>
            </w:r>
          </w:p>
        </w:tc>
        <w:tc>
          <w:tcPr>
            <w:tcW w:type="dxa" w:w="53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Website scanning tools might not detect their apps. Confirm by signing up for their email list and reading the technical headers in the email you receive (Section 17 explains how).</w:t>
            </w:r>
          </w:p>
        </w:tc>
      </w:tr>
    </w:tbl>
    <w:p>
      <w:pPr>
        <w:spacing w:after="120" w:before="0"/>
      </w:pPr>
    </w:p>
    <w:p>
      <w:pPr>
        <w:pStyle w:val="Heading1"/>
        <w:keepNext/>
        <w:pageBreakBefore/>
      </w:pPr>
      <w:bookmarkStart w:name="sec_2" w:id="10"/>
      <w:r>
        <w:rPr>
          <w:rFonts w:ascii="Arial" w:cs="Arial" w:eastAsia="Arial" w:hAnsi="Arial"/>
        </w:rPr>
        <w:t xml:space="preserve">2. Why Ad Costs Are Killing Profit (and How Email Fixes It)</w:t>
      </w:r>
      <w:bookmarkEnd w:id="10"/>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Online shopping keeps growing, but the cost of getting each new customer is growing faster than the profit that customer brings on their first order. At the current rate of ad price increases, the average clothing brand's first sale will lose money within two years. Email keeps customers coming back at almost no cost, and that is what GrowMailers sells.</w:t>
      </w:r>
    </w:p>
    <w:p>
      <w:pPr>
        <w:pStyle w:val="Heading2"/>
        <w:keepNext/>
      </w:pPr>
      <w:bookmarkStart w:name="sec_2_1" w:id="11"/>
      <w:r>
        <w:rPr>
          <w:rFonts w:ascii="Arial" w:cs="Arial" w:eastAsia="Arial" w:hAnsi="Arial"/>
        </w:rPr>
        <w:t xml:space="preserve">2.1 The size of the US online shopping market</w:t>
      </w:r>
      <w:bookmarkEnd w:id="11"/>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8"/>
        <w:gridCol w:w="2734"/>
        <w:gridCol w:w="3758"/>
      </w:tblGrid>
      <w:tr>
        <w:trPr>
          <w:cantSplit/>
          <w:tblHeader/>
        </w:trPr>
        <w:tc>
          <w:tcPr>
            <w:tcW w:type="dxa" w:w="35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Measure</w:t>
            </w:r>
          </w:p>
        </w:tc>
        <w:tc>
          <w:tcPr>
            <w:tcW w:type="dxa" w:w="27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Figure</w:t>
            </w:r>
          </w:p>
        </w:tc>
        <w:tc>
          <w:tcPr>
            <w:tcW w:type="dxa" w:w="37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Note</w:t>
            </w:r>
          </w:p>
        </w:tc>
      </w:tr>
      <w:tr>
        <w:trPr>
          <w:cantSplit/>
        </w:trPr>
        <w:tc>
          <w:tcPr>
            <w:tcW w:type="dxa" w:w="35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online shopping, Q2 2026</w:t>
            </w:r>
          </w:p>
        </w:tc>
        <w:tc>
          <w:tcPr>
            <w:tcW w:type="dxa" w:w="27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$340.2 billion</w:t>
            </w:r>
          </w:p>
        </w:tc>
        <w:tc>
          <w:tcPr>
            <w:tcW w:type="dxa" w:w="37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Census Bureau</w:t>
            </w:r>
          </w:p>
        </w:tc>
      </w:tr>
      <w:tr>
        <w:trPr>
          <w:cantSplit/>
        </w:trPr>
        <w:tc>
          <w:tcPr>
            <w:tcW w:type="dxa" w:w="35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all US retail, Q2 2026</w:t>
            </w:r>
          </w:p>
        </w:tc>
        <w:tc>
          <w:tcPr>
            <w:tcW w:type="dxa" w:w="27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17.1%</w:t>
            </w:r>
          </w:p>
        </w:tc>
        <w:tc>
          <w:tcPr>
            <w:tcW w:type="dxa" w:w="37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Census Bureau</w:t>
            </w:r>
          </w:p>
        </w:tc>
      </w:tr>
      <w:tr>
        <w:trPr>
          <w:cantSplit/>
        </w:trPr>
        <w:tc>
          <w:tcPr>
            <w:tcW w:type="dxa" w:w="35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vs. the same quarter a year earlier</w:t>
            </w:r>
          </w:p>
        </w:tc>
        <w:tc>
          <w:tcPr>
            <w:tcW w:type="dxa" w:w="27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+12.2%</w:t>
            </w:r>
          </w:p>
        </w:tc>
        <w:tc>
          <w:tcPr>
            <w:tcW w:type="dxa" w:w="37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Census Bureau</w:t>
            </w:r>
          </w:p>
        </w:tc>
      </w:tr>
      <w:tr>
        <w:trPr>
          <w:cantSplit/>
        </w:trPr>
        <w:tc>
          <w:tcPr>
            <w:tcW w:type="dxa" w:w="35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online shopping, full year 2025</w:t>
            </w:r>
          </w:p>
        </w:tc>
        <w:tc>
          <w:tcPr>
            <w:tcW w:type="dxa" w:w="27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$1.23 trillion</w:t>
            </w:r>
          </w:p>
        </w:tc>
        <w:tc>
          <w:tcPr>
            <w:tcW w:type="dxa" w:w="37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35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DTC brands' share of US online shopping</w:t>
            </w:r>
          </w:p>
        </w:tc>
        <w:tc>
          <w:tcPr>
            <w:tcW w:type="dxa" w:w="27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19% (roughly $234 billion)</w:t>
            </w:r>
          </w:p>
        </w:tc>
        <w:tc>
          <w:tcPr>
            <w:tcW w:type="dxa" w:w="37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Expected to stay about the same through 2028</w:t>
            </w:r>
          </w:p>
        </w:tc>
      </w:tr>
    </w:tbl>
    <w:p>
      <w:pPr>
        <w:spacing w:after="120" w:before="0"/>
      </w:pPr>
    </w:p>
    <w:p>
      <w:pPr>
        <w:spacing w:after="160" w:before="0"/>
      </w:pPr>
      <w:r>
        <w:rPr>
          <w:rFonts w:ascii="Arial" w:cs="Arial" w:eastAsia="Arial" w:hAnsi="Arial"/>
          <w:i/>
          <w:iCs/>
          <w:color w:val="5B6573"/>
          <w:sz w:val="16"/>
          <w:szCs w:val="16"/>
        </w:rPr>
        <w:t xml:space="preserve">Source: US Census Bureau, Q2 2026.</w:t>
      </w:r>
    </w:p>
    <w:p>
      <w:r>
        <w:rPr>
          <w:rFonts w:ascii="Arial" w:cs="Arial" w:eastAsia="Arial" w:hAnsi="Arial"/>
          <w:sz w:val="20"/>
          <w:szCs w:val="20"/>
        </w:rPr>
        <w:t xml:space="preserve">DTC brands are those that cut out retailers and sell directly to shoppers. There is a catch in the growth figures: some of it comes from higher prices due to tariffs and inflation, not more units sold. Brands are making more dollars, but not necessarily more profit.</w:t>
      </w:r>
    </w:p>
    <w:p>
      <w:pPr>
        <w:pStyle w:val="Heading2"/>
        <w:keepNext/>
      </w:pPr>
      <w:bookmarkStart w:name="sec_2_2" w:id="12"/>
      <w:r>
        <w:rPr>
          <w:rFonts w:ascii="Arial" w:cs="Arial" w:eastAsia="Arial" w:hAnsi="Arial"/>
        </w:rPr>
        <w:t xml:space="preserve">2.2 Why ads keep getting more expensive</w:t>
      </w:r>
      <w:bookmarkEnd w:id="12"/>
    </w:p>
    <w:p>
      <w:r>
        <w:rPr>
          <w:rFonts w:ascii="Arial" w:cs="Arial" w:eastAsia="Arial" w:hAnsi="Arial"/>
          <w:sz w:val="20"/>
          <w:szCs w:val="20"/>
        </w:rPr>
        <w:t xml:space="preserve">Meta (Facebook and Instagram) reported a 12% rise in its average ad price in mid-2026, while the number of times an ad was shown went up 14%. If conversion rates stay the same, brands spend about 12% more to get each purchase. Google advertising works the same way: it is an auction, and prices keep going up.</w:t>
      </w:r>
    </w:p>
    <w:p>
      <w:r>
        <w:rPr>
          <w:rFonts w:ascii="Arial" w:cs="Arial" w:eastAsia="Arial" w:hAnsi="Arial"/>
          <w:sz w:val="20"/>
          <w:szCs w:val="20"/>
        </w:rPr>
        <w:t xml:space="preserve">The table shows what happens to a clothing brand's profit per first order if ad costs keep rising at 12% a year.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5"/>
        <w:gridCol w:w="3544"/>
        <w:gridCol w:w="4961"/>
      </w:tblGrid>
      <w:tr>
        <w:trPr>
          <w:cantSplit/>
          <w:tblHeader/>
        </w:trPr>
        <w:tc>
          <w:tcPr>
            <w:tcW w:type="dxa" w:w="157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Year</w:t>
            </w:r>
          </w:p>
        </w:tc>
        <w:tc>
          <w:tcPr>
            <w:tcW w:type="dxa" w:w="35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Ad cost per purchase</w:t>
            </w:r>
          </w:p>
        </w:tc>
        <w:tc>
          <w:tcPr>
            <w:tcW w:type="dxa" w:w="49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left from first order</w:t>
            </w:r>
          </w:p>
        </w:tc>
      </w:tr>
      <w:tr>
        <w:trPr>
          <w:cantSplit/>
        </w:trPr>
        <w:tc>
          <w:tcPr>
            <w:tcW w:type="dxa" w:w="15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Today</w:t>
            </w:r>
          </w:p>
        </w:tc>
        <w:tc>
          <w:tcPr>
            <w:tcW w:type="dxa" w:w="35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$39.24</w:t>
            </w:r>
          </w:p>
        </w:tc>
        <w:tc>
          <w:tcPr>
            <w:tcW w:type="dxa" w:w="49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$5.62</w:t>
            </w:r>
          </w:p>
        </w:tc>
      </w:tr>
      <w:tr>
        <w:trPr>
          <w:cantSplit/>
        </w:trPr>
        <w:tc>
          <w:tcPr>
            <w:tcW w:type="dxa" w:w="15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 year</w:t>
            </w:r>
          </w:p>
        </w:tc>
        <w:tc>
          <w:tcPr>
            <w:tcW w:type="dxa" w:w="35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$43.95</w:t>
            </w:r>
          </w:p>
        </w:tc>
        <w:tc>
          <w:tcPr>
            <w:tcW w:type="dxa" w:w="49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$0.91</w:t>
            </w:r>
          </w:p>
        </w:tc>
      </w:tr>
      <w:tr>
        <w:trPr>
          <w:cantSplit/>
        </w:trPr>
        <w:tc>
          <w:tcPr>
            <w:tcW w:type="dxa" w:w="15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years</w:t>
            </w:r>
          </w:p>
        </w:tc>
        <w:tc>
          <w:tcPr>
            <w:tcW w:type="dxa" w:w="35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$49.22</w:t>
            </w:r>
          </w:p>
        </w:tc>
        <w:tc>
          <w:tcPr>
            <w:tcW w:type="dxa" w:w="49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−$4.36 (a loss)</w:t>
            </w:r>
          </w:p>
        </w:tc>
      </w:tr>
      <w:tr>
        <w:trPr>
          <w:cantSplit/>
        </w:trPr>
        <w:tc>
          <w:tcPr>
            <w:tcW w:type="dxa" w:w="15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years</w:t>
            </w:r>
          </w:p>
        </w:tc>
        <w:tc>
          <w:tcPr>
            <w:tcW w:type="dxa" w:w="35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$55.13</w:t>
            </w:r>
          </w:p>
        </w:tc>
        <w:tc>
          <w:tcPr>
            <w:tcW w:type="dxa" w:w="49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−$10.27 (a bigger loss)</w:t>
            </w:r>
          </w:p>
        </w:tc>
      </w:tr>
    </w:tbl>
    <w:p>
      <w:pPr>
        <w:spacing w:after="120" w:before="0"/>
      </w:pPr>
    </w:p>
    <w:p>
      <w:pPr>
        <w:spacing w:after="160" w:before="0"/>
      </w:pPr>
      <w:r>
        <w:rPr>
          <w:rFonts w:ascii="Arial" w:cs="Arial" w:eastAsia="Arial" w:hAnsi="Arial"/>
          <w:i/>
          <w:iCs/>
          <w:color w:val="5B6573"/>
          <w:sz w:val="16"/>
          <w:szCs w:val="16"/>
        </w:rPr>
        <w:t xml:space="preserve">Our estimate, assuming prices and conversion rates stay the same.</w:t>
      </w:r>
    </w:p>
    <w:p>
      <w:r>
        <w:rPr>
          <w:rFonts w:ascii="Arial" w:cs="Arial" w:eastAsia="Arial" w:hAnsi="Arial"/>
          <w:sz w:val="20"/>
          <w:szCs w:val="20"/>
        </w:rPr>
        <w:t xml:space="preserve">This does not cause an immediate crisis. The first order simply earns a little less money each month until it quietly starts losing money. Brands that already earn profit from repeat customers can handle this, while brands that do not will find their growth plan stops working.</w:t>
      </w:r>
    </w:p>
    <w:p>
      <w:pPr>
        <w:pStyle w:val="Heading2"/>
        <w:keepNext/>
      </w:pPr>
      <w:bookmarkStart w:name="sec_2_3" w:id="13"/>
      <w:r>
        <w:rPr>
          <w:rFonts w:ascii="Arial" w:cs="Arial" w:eastAsia="Arial" w:hAnsi="Arial"/>
        </w:rPr>
        <w:t xml:space="preserve">2.3 Import taxes (tariffs) and higher costs</w:t>
      </w:r>
      <w:bookmarkEnd w:id="13"/>
    </w:p>
    <w:p>
      <w:r>
        <w:rPr>
          <w:rFonts w:ascii="Arial" w:cs="Arial" w:eastAsia="Arial" w:hAnsi="Arial"/>
          <w:sz w:val="20"/>
          <w:szCs w:val="20"/>
        </w:rPr>
        <w:t xml:space="preserve">Import rules changed several times in 2026. The US paused duty-free entry (where small packages below $800 came in without taxes) and is ending it permanently on 1 July 2027.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1"/>
        <w:gridCol w:w="4519"/>
      </w:tblGrid>
      <w:tr>
        <w:trPr>
          <w:cantSplit/>
          <w:tblHeader/>
        </w:trPr>
        <w:tc>
          <w:tcPr>
            <w:tcW w:type="dxa" w:w="55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is affected</w:t>
            </w:r>
          </w:p>
        </w:tc>
        <w:tc>
          <w:tcPr>
            <w:tcW w:type="dxa" w:w="451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Impact</w:t>
            </w:r>
          </w:p>
        </w:tc>
      </w:tr>
      <w:tr>
        <w:trPr>
          <w:cantSplit/>
        </w:trPr>
        <w:tc>
          <w:tcPr>
            <w:tcW w:type="dxa" w:w="55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Brands that make products overseas</w:t>
            </w:r>
          </w:p>
        </w:tc>
        <w:tc>
          <w:tcPr>
            <w:tcW w:type="dxa" w:w="45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Now pay higher import taxes</w:t>
            </w:r>
          </w:p>
        </w:tc>
      </w:tr>
      <w:tr>
        <w:trPr>
          <w:cantSplit/>
        </w:trPr>
        <w:tc>
          <w:tcPr>
            <w:tcW w:type="dxa" w:w="55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Brands in Canada, the UK and Australia shipping to US customers</w:t>
            </w:r>
          </w:p>
        </w:tc>
        <w:tc>
          <w:tcPr>
            <w:tcW w:type="dxa" w:w="45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Now face duties they did not pay before</w:t>
            </w:r>
          </w:p>
        </w:tc>
      </w:tr>
    </w:tbl>
    <w:p>
      <w:pPr>
        <w:spacing w:after="120" w:before="0"/>
      </w:pPr>
    </w:p>
    <w:p>
      <w:r>
        <w:rPr>
          <w:rFonts w:ascii="Arial" w:cs="Arial" w:eastAsia="Arial" w:hAnsi="Arial"/>
          <w:sz w:val="20"/>
          <w:szCs w:val="20"/>
        </w:rPr>
        <w:t xml:space="preserve">Several DTC businesses closed in 2025 because of this combination of tariffs, inflation, higher ad costs and less investment money available.</w:t>
      </w:r>
    </w:p>
    <w:p>
      <w:pPr>
        <w:pStyle w:val="Heading2"/>
        <w:keepNext/>
      </w:pPr>
      <w:bookmarkStart w:name="sec_2_4" w:id="14"/>
      <w:r>
        <w:rPr>
          <w:rFonts w:ascii="Arial" w:cs="Arial" w:eastAsia="Arial" w:hAnsi="Arial"/>
        </w:rPr>
        <w:t xml:space="preserve">2.4 The cost of getting a new customer vs. keeping one</w:t>
      </w:r>
      <w:bookmarkEnd w:id="14"/>
    </w:p>
    <w:p>
      <w:r>
        <w:rPr>
          <w:rFonts w:ascii="Arial" w:cs="Arial" w:eastAsia="Arial" w:hAnsi="Arial"/>
          <w:sz w:val="20"/>
          <w:szCs w:val="20"/>
        </w:rPr>
        <w:t xml:space="preserve">There are two ways to measure ad spend per customer, and they give different answers.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9"/>
        <w:gridCol w:w="4136"/>
        <w:gridCol w:w="4135"/>
      </w:tblGrid>
      <w:tr>
        <w:trPr>
          <w:cantSplit/>
          <w:tblHeader/>
        </w:trPr>
        <w:tc>
          <w:tcPr>
            <w:tcW w:type="dxa" w:w="180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Measure</w:t>
            </w:r>
          </w:p>
        </w:tc>
        <w:tc>
          <w:tcPr>
            <w:tcW w:type="dxa" w:w="41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it is calculated</w:t>
            </w:r>
          </w:p>
        </w:tc>
        <w:tc>
          <w:tcPr>
            <w:tcW w:type="dxa" w:w="413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Notes</w:t>
            </w:r>
          </w:p>
        </w:tc>
      </w:tr>
      <w:tr>
        <w:trPr>
          <w:cantSplit/>
        </w:trPr>
        <w:tc>
          <w:tcPr>
            <w:tcW w:type="dxa" w:w="180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Cost per purchase</w:t>
            </w:r>
          </w:p>
        </w:tc>
        <w:tc>
          <w:tcPr>
            <w:tcW w:type="dxa" w:w="41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 spend divided by all purchases, new and returning together</w:t>
            </w:r>
          </w:p>
        </w:tc>
        <w:tc>
          <w:tcPr>
            <w:tcW w:type="dxa" w:w="413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This is what Triple Whale (an analytics tool) reports</w:t>
            </w:r>
          </w:p>
        </w:tc>
      </w:tr>
      <w:tr>
        <w:trPr>
          <w:cantSplit/>
        </w:trPr>
        <w:tc>
          <w:tcPr>
            <w:tcW w:type="dxa" w:w="180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Cost per new customer</w:t>
            </w:r>
          </w:p>
        </w:tc>
        <w:tc>
          <w:tcPr>
            <w:tcW w:type="dxa" w:w="41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 spend divided by </w:t>
            </w:r>
            <w:r>
              <w:rPr>
                <w:rFonts w:ascii="Arial" w:cs="Arial" w:eastAsia="Arial" w:hAnsi="Arial"/>
                <w:i/>
                <w:iCs/>
                <w:sz w:val="16"/>
                <w:szCs w:val="16"/>
              </w:rPr>
              <w:t xml:space="preserve">new</w:t>
            </w:r>
            <w:r>
              <w:rPr>
                <w:rFonts w:ascii="Arial" w:cs="Arial" w:eastAsia="Arial" w:hAnsi="Arial"/>
                <w:sz w:val="16"/>
                <w:szCs w:val="16"/>
              </w:rPr>
              <w:t xml:space="preserve"> customers only</w:t>
            </w:r>
          </w:p>
        </w:tc>
        <w:tc>
          <w:tcPr>
            <w:tcW w:type="dxa" w:w="413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Always higher than cost per purchase</w:t>
            </w:r>
          </w:p>
        </w:tc>
      </w:tr>
    </w:tbl>
    <w:p>
      <w:pPr>
        <w:spacing w:after="120" w:before="0"/>
      </w:pPr>
    </w:p>
    <w:p>
      <w:r>
        <w:rPr>
          <w:rFonts w:ascii="Arial" w:cs="Arial" w:eastAsia="Arial" w:hAnsi="Arial"/>
          <w:sz w:val="20"/>
          <w:szCs w:val="20"/>
        </w:rPr>
        <w:t xml:space="preserve">The worked example below shows how many sales a beauty brand needs to recover the cost of getting one new customer.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4849"/>
        <w:gridCol w:w="1914"/>
      </w:tblGrid>
      <w:tr>
        <w:trPr>
          <w:cantSplit/>
          <w:tblHeader/>
        </w:trPr>
        <w:tc>
          <w:tcPr>
            <w:tcW w:type="dxa" w:w="331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484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Calculation</w:t>
            </w:r>
          </w:p>
        </w:tc>
        <w:tc>
          <w:tcPr>
            <w:tcW w:type="dxa" w:w="191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Result</w:t>
            </w:r>
          </w:p>
        </w:tc>
      </w:tr>
      <w:tr>
        <w:trPr>
          <w:cantSplit/>
        </w:trPr>
        <w:tc>
          <w:tcPr>
            <w:tcW w:type="dxa" w:w="33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Cost per new customer</w:t>
            </w:r>
          </w:p>
        </w:tc>
        <w:tc>
          <w:tcPr>
            <w:tcW w:type="dxa" w:w="48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 × the $33.44 cost per purchase</w:t>
            </w:r>
          </w:p>
        </w:tc>
        <w:tc>
          <w:tcPr>
            <w:tcW w:type="dxa" w:w="19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$50</w:t>
            </w:r>
          </w:p>
        </w:tc>
      </w:tr>
      <w:tr>
        <w:trPr>
          <w:cantSplit/>
        </w:trPr>
        <w:tc>
          <w:tcPr>
            <w:tcW w:type="dxa" w:w="331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Profit per sale</w:t>
            </w:r>
          </w:p>
        </w:tc>
        <w:tc>
          <w:tcPr>
            <w:tcW w:type="dxa" w:w="48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After product and shipping, before ads</w:t>
            </w:r>
          </w:p>
        </w:tc>
        <w:tc>
          <w:tcPr>
            <w:tcW w:type="dxa" w:w="19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$38.93</w:t>
            </w:r>
          </w:p>
        </w:tc>
      </w:tr>
      <w:tr>
        <w:trPr>
          <w:cantSplit/>
        </w:trPr>
        <w:tc>
          <w:tcPr>
            <w:tcW w:type="dxa" w:w="33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Sales needed to break even</w:t>
            </w:r>
          </w:p>
        </w:tc>
        <w:tc>
          <w:tcPr>
            <w:tcW w:type="dxa" w:w="48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 ÷ $38.93</w:t>
            </w:r>
          </w:p>
        </w:tc>
        <w:tc>
          <w:tcPr>
            <w:tcW w:type="dxa" w:w="19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1.3 sales</w:t>
            </w:r>
          </w:p>
        </w:tc>
      </w:tr>
    </w:tbl>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0"/>
        <w:gridCol w:w="6130"/>
      </w:tblGrid>
      <w:tr>
        <w:trPr>
          <w:cantSplit/>
          <w:tblHeader/>
        </w:trPr>
        <w:tc>
          <w:tcPr>
            <w:tcW w:type="dxa" w:w="395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613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Sales needed to recover the cost of a new customer</w:t>
            </w:r>
          </w:p>
        </w:tc>
      </w:tr>
      <w:tr>
        <w:trPr>
          <w:cantSplit/>
        </w:trPr>
        <w:tc>
          <w:tcPr>
            <w:tcW w:type="dxa" w:w="39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supplements, clothing</w:t>
            </w:r>
          </w:p>
        </w:tc>
        <w:tc>
          <w:tcPr>
            <w:tcW w:type="dxa" w:w="61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1.3 to 1.6</w:t>
            </w:r>
          </w:p>
        </w:tc>
      </w:tr>
      <w:tr>
        <w:trPr>
          <w:cantSplit/>
        </w:trPr>
        <w:tc>
          <w:tcPr>
            <w:tcW w:type="dxa" w:w="39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pet</w:t>
            </w:r>
          </w:p>
        </w:tc>
        <w:tc>
          <w:tcPr>
            <w:tcW w:type="dxa" w:w="61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 to 2.5</w:t>
            </w:r>
          </w:p>
        </w:tc>
      </w:tr>
    </w:tbl>
    <w:p>
      <w:pPr>
        <w:spacing w:after="120" w:before="0"/>
      </w:pPr>
    </w:p>
    <w:p>
      <w:r>
        <w:rPr>
          <w:rFonts w:ascii="Arial" w:cs="Arial" w:eastAsia="Arial" w:hAnsi="Arial"/>
          <w:b/>
          <w:bCs/>
          <w:sz w:val="20"/>
          <w:szCs w:val="20"/>
        </w:rPr>
        <w:t xml:space="preserve">In every product type we target, the brand needs customers to come back.</w:t>
      </w:r>
    </w:p>
    <w:p>
      <w:pPr>
        <w:pStyle w:val="Heading2"/>
        <w:keepNext/>
      </w:pPr>
      <w:bookmarkStart w:name="sec_2_5" w:id="15"/>
      <w:r>
        <w:rPr>
          <w:rFonts w:ascii="Arial" w:cs="Arial" w:eastAsia="Arial" w:hAnsi="Arial"/>
        </w:rPr>
        <w:t xml:space="preserve">2.5 Why getting customers back is so profitable</w:t>
      </w:r>
      <w:bookmarkEnd w:id="15"/>
    </w:p>
    <w:p>
      <w:r>
        <w:rPr>
          <w:rFonts w:ascii="Arial" w:cs="Arial" w:eastAsia="Arial" w:hAnsi="Arial"/>
          <w:sz w:val="20"/>
          <w:szCs w:val="20"/>
        </w:rPr>
        <w:t xml:space="preserve">Getting customers back (called "retention") earns more money through three levers.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5"/>
        <w:gridCol w:w="6815"/>
      </w:tblGrid>
      <w:tr>
        <w:trPr>
          <w:cantSplit/>
          <w:tblHeader/>
        </w:trPr>
        <w:tc>
          <w:tcPr>
            <w:tcW w:type="dxa" w:w="32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Lever</w:t>
            </w:r>
          </w:p>
        </w:tc>
        <w:tc>
          <w:tcPr>
            <w:tcW w:type="dxa" w:w="68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Repeat rate</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percentage of buyers come back at all</w:t>
            </w:r>
          </w:p>
        </w:tc>
      </w:tr>
      <w:tr>
        <w:trPr>
          <w:cantSplit/>
        </w:trPr>
        <w:tc>
          <w:tcPr>
            <w:tcW w:type="dxa" w:w="32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Frequency</w:t>
            </w:r>
          </w:p>
        </w:tc>
        <w:tc>
          <w:tcPr>
            <w:tcW w:type="dxa" w:w="68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often they buy</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Profit per repeat order</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Bundles, upsells, and not giving away unnecessary discounts</w:t>
            </w:r>
          </w:p>
        </w:tc>
      </w:tr>
    </w:tbl>
    <w:p>
      <w:pPr>
        <w:spacing w:after="120" w:before="0"/>
      </w:pPr>
    </w:p>
    <w:p>
      <w:r>
        <w:rPr>
          <w:rFonts w:ascii="Arial" w:cs="Arial" w:eastAsia="Arial" w:hAnsi="Arial"/>
          <w:sz w:val="20"/>
          <w:szCs w:val="20"/>
        </w:rPr>
        <w:t xml:space="preserve">The worked example below uses an $8M beauty brand that gets 50,000 new customers a year.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4150"/>
        <w:gridCol w:w="2965"/>
      </w:tblGrid>
      <w:tr>
        <w:trPr>
          <w:cantSplit/>
          <w:tblHeader/>
        </w:trPr>
        <w:tc>
          <w:tcPr>
            <w:tcW w:type="dxa" w:w="29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415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Calculation</w:t>
            </w:r>
          </w:p>
        </w:tc>
        <w:tc>
          <w:tcPr>
            <w:tcW w:type="dxa" w:w="29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Result</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Raise the 12-month repeat rate</w:t>
            </w:r>
          </w:p>
        </w:tc>
        <w:tc>
          <w:tcPr>
            <w:tcW w:type="dxa" w:w="41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 to 30% of 50,000 new customers</w:t>
            </w:r>
          </w:p>
        </w:tc>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2,500 more returning customers</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Extra repeat orders</w:t>
            </w:r>
          </w:p>
        </w:tc>
        <w:tc>
          <w:tcPr>
            <w:tcW w:type="dxa" w:w="41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2,500 customers × 1.4 orders each</w:t>
            </w:r>
          </w:p>
        </w:tc>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3,500 orders</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Extra profit</w:t>
            </w:r>
          </w:p>
        </w:tc>
        <w:tc>
          <w:tcPr>
            <w:tcW w:type="dxa" w:w="41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3,500 orders × about $39 profit per order</w:t>
            </w:r>
          </w:p>
        </w:tc>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Roughly </w:t>
            </w:r>
            <w:r>
              <w:rPr>
                <w:rFonts w:ascii="Arial" w:cs="Arial" w:eastAsia="Arial" w:hAnsi="Arial"/>
                <w:b/>
                <w:bCs/>
                <w:sz w:val="16"/>
                <w:szCs w:val="16"/>
              </w:rPr>
              <w:t xml:space="preserve">$136,000 per year</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Compare with Lhotse</w:t>
            </w:r>
          </w:p>
        </w:tc>
        <w:tc>
          <w:tcPr>
            <w:tcW w:type="dxa" w:w="41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Extra profit vs. the annual cost of Lhotse</w:t>
            </w:r>
          </w:p>
        </w:tc>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to 4 times the cost</w:t>
            </w:r>
          </w:p>
        </w:tc>
      </w:tr>
    </w:tbl>
    <w:p>
      <w:pPr>
        <w:spacing w:after="120" w:before="0"/>
      </w:pPr>
    </w:p>
    <w:p>
      <w:r>
        <w:rPr>
          <w:rFonts w:ascii="Arial" w:cs="Arial" w:eastAsia="Arial" w:hAnsi="Arial"/>
          <w:sz w:val="20"/>
          <w:szCs w:val="20"/>
        </w:rPr>
        <w:t xml:space="preserve">That is a large return from a single improvement.</w:t>
      </w:r>
    </w:p>
    <w:p>
      <w:pPr>
        <w:pStyle w:val="Heading2"/>
        <w:keepNext/>
      </w:pPr>
      <w:bookmarkStart w:name="sec_2_6" w:id="16"/>
      <w:r>
        <w:rPr>
          <w:rFonts w:ascii="Arial" w:cs="Arial" w:eastAsia="Arial" w:hAnsi="Arial"/>
        </w:rPr>
        <w:t xml:space="preserve">2.6 How to talk about this with clients</w:t>
      </w:r>
      <w:bookmarkEnd w:id="16"/>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Talking point</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use it</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Talk about profit, not email open rates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"Orders you don't pay Facebook for" is what founders and finance people care about.</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Compare Lhotse to buying the same orders through ads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At a $40 average ad cost per purchase, 150 extra repeat orders a month would cost $6,000 in ad spend. Lhotse is the same price.</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Do not use made-up statistics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popular claim that "customer acquisition costs rose 60% in five years" comes from a 2022 vendor blog post with no real data behind it. Smart buyers know this.</w:t>
            </w:r>
          </w:p>
        </w:tc>
      </w:tr>
    </w:tbl>
    <w:p>
      <w:pPr>
        <w:spacing w:after="120" w:before="0"/>
      </w:pPr>
    </w:p>
    <w:p>
      <w:pPr>
        <w:pStyle w:val="Heading1"/>
        <w:keepNext/>
        <w:pageBreakBefore/>
      </w:pPr>
      <w:bookmarkStart w:name="sec_3" w:id="17"/>
      <w:r>
        <w:rPr>
          <w:rFonts w:ascii="Arial" w:cs="Arial" w:eastAsia="Arial" w:hAnsi="Arial"/>
        </w:rPr>
        <w:t xml:space="preserve">3. How to Read a Store's Tech Setup to Judge Fit</w:t>
      </w:r>
      <w:bookmarkEnd w:id="17"/>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The apps a brand uses on its website tell us its size, budget and likely problems before we ever talk to it. Shopify plus Klaviyo is the minimum requirement, and paid growth tools like Attentive or Northbeam signal a larger brand with a real retention budget. We use these signals to give each prospect two scores: a </w:t>
      </w:r>
      <w:r>
        <w:rPr>
          <w:rFonts w:ascii="Arial" w:cs="Arial" w:eastAsia="Arial" w:hAnsi="Arial"/>
          <w:b/>
          <w:bCs/>
          <w:sz w:val="20"/>
          <w:szCs w:val="20"/>
        </w:rPr>
        <w:t xml:space="preserve">Lhotse Fit Score</w:t>
      </w:r>
      <w:r>
        <w:rPr>
          <w:rFonts w:ascii="Arial" w:cs="Arial" w:eastAsia="Arial" w:hAnsi="Arial"/>
          <w:sz w:val="20"/>
          <w:szCs w:val="20"/>
        </w:rPr>
        <w:t xml:space="preserve"> (how good a Lhotse client they would be) and an </w:t>
      </w:r>
      <w:r>
        <w:rPr>
          <w:rFonts w:ascii="Arial" w:cs="Arial" w:eastAsia="Arial" w:hAnsi="Arial"/>
          <w:b/>
          <w:bCs/>
          <w:sz w:val="20"/>
          <w:szCs w:val="20"/>
        </w:rPr>
        <w:t xml:space="preserve">Ascent Urgency Score</w:t>
      </w:r>
      <w:r>
        <w:rPr>
          <w:rFonts w:ascii="Arial" w:cs="Arial" w:eastAsia="Arial" w:hAnsi="Arial"/>
          <w:sz w:val="20"/>
          <w:szCs w:val="20"/>
        </w:rPr>
        <w:t xml:space="preserve"> (how badly their email delivery needs fixing).</w:t>
      </w:r>
    </w:p>
    <w:p>
      <w:pPr>
        <w:pStyle w:val="Heading2"/>
        <w:keepNext/>
      </w:pPr>
      <w:bookmarkStart w:name="sec_3_1" w:id="18"/>
      <w:r>
        <w:rPr>
          <w:rFonts w:ascii="Arial" w:cs="Arial" w:eastAsia="Arial" w:hAnsi="Arial"/>
        </w:rPr>
        <w:t xml:space="preserve">3.1 What tools DTC brands use</w:t>
      </w:r>
      <w:bookmarkEnd w:id="18"/>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0"/>
        <w:gridCol w:w="7560"/>
      </w:tblGrid>
      <w:tr>
        <w:trPr>
          <w:cantSplit/>
          <w:tblHeader/>
        </w:trPr>
        <w:tc>
          <w:tcPr>
            <w:tcW w:type="dxa" w:w="25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Category</w:t>
            </w:r>
          </w:p>
        </w:tc>
        <w:tc>
          <w:tcPr>
            <w:tcW w:type="dxa" w:w="75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Tools</w:t>
            </w:r>
          </w:p>
        </w:tc>
      </w:tr>
      <w:tr>
        <w:trPr>
          <w:cantSplit/>
        </w:trPr>
        <w:tc>
          <w:tcPr>
            <w:tcW w:type="dxa" w:w="25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Storefront</w:t>
            </w:r>
          </w:p>
        </w:tc>
        <w:tc>
          <w:tcPr>
            <w:tcW w:type="dxa" w:w="75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Shopify Plus ($2,300–2,500/month)</w:t>
            </w:r>
          </w:p>
        </w:tc>
      </w:tr>
      <w:tr>
        <w:trPr>
          <w:cantSplit/>
        </w:trPr>
        <w:tc>
          <w:tcPr>
            <w:tcW w:type="dxa" w:w="25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Email and SMS</w:t>
            </w:r>
          </w:p>
        </w:tc>
        <w:tc>
          <w:tcPr>
            <w:tcW w:type="dxa" w:w="75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Postscript; Attentive; Omnisend</w:t>
            </w:r>
          </w:p>
        </w:tc>
      </w:tr>
      <w:tr>
        <w:trPr>
          <w:cantSplit/>
        </w:trPr>
        <w:tc>
          <w:tcPr>
            <w:tcW w:type="dxa" w:w="25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Subscriptions</w:t>
            </w:r>
          </w:p>
        </w:tc>
        <w:tc>
          <w:tcPr>
            <w:tcW w:type="dxa" w:w="75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ReCharge (handles repeat delivery orders)</w:t>
            </w:r>
          </w:p>
        </w:tc>
      </w:tr>
      <w:tr>
        <w:trPr>
          <w:cantSplit/>
        </w:trPr>
        <w:tc>
          <w:tcPr>
            <w:tcW w:type="dxa" w:w="25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Analytics</w:t>
            </w:r>
          </w:p>
        </w:tc>
        <w:tc>
          <w:tcPr>
            <w:tcW w:type="dxa" w:w="75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Triple Whale; Northbeam (ad tracking tools)</w:t>
            </w:r>
          </w:p>
        </w:tc>
      </w:tr>
      <w:tr>
        <w:trPr>
          <w:cantSplit/>
        </w:trPr>
        <w:tc>
          <w:tcPr>
            <w:tcW w:type="dxa" w:w="25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Customer service</w:t>
            </w:r>
          </w:p>
        </w:tc>
        <w:tc>
          <w:tcPr>
            <w:tcW w:type="dxa" w:w="75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Gorgias (support chat and tickets); Okendo or Yotpo (reviews)</w:t>
            </w:r>
          </w:p>
        </w:tc>
      </w:tr>
      <w:tr>
        <w:trPr>
          <w:cantSplit/>
        </w:trPr>
        <w:tc>
          <w:tcPr>
            <w:tcW w:type="dxa" w:w="25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Fulfillment</w:t>
            </w:r>
          </w:p>
        </w:tc>
        <w:tc>
          <w:tcPr>
            <w:tcW w:type="dxa" w:w="75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3PL warehouse partner (84% of brands use one)</w:t>
            </w:r>
          </w:p>
        </w:tc>
      </w:tr>
    </w:tbl>
    <w:p>
      <w:pPr>
        <w:spacing w:after="120" w:before="0"/>
      </w:pPr>
    </w:p>
    <w:p>
      <w:r>
        <w:rPr>
          <w:rFonts w:ascii="Arial" w:cs="Arial" w:eastAsia="Arial" w:hAnsi="Arial"/>
          <w:sz w:val="20"/>
          <w:szCs w:val="20"/>
        </w:rPr>
        <w:t xml:space="preserve">Every tool that sends emails on the brand's behalf (support, reviews, subscriptions) is another one we need to check in an Ascent audit.</w:t>
      </w:r>
    </w:p>
    <w:p>
      <w:pPr>
        <w:pStyle w:val="Heading2"/>
        <w:keepNext/>
      </w:pPr>
      <w:bookmarkStart w:name="sec_3_2" w:id="19"/>
      <w:r>
        <w:rPr>
          <w:rFonts w:ascii="Arial" w:cs="Arial" w:eastAsia="Arial" w:hAnsi="Arial"/>
        </w:rPr>
        <w:t xml:space="preserve">3.2 What each tool tells us</w:t>
      </w:r>
      <w:bookmarkEnd w:id="19"/>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2"/>
        <w:gridCol w:w="1991"/>
        <w:gridCol w:w="3034"/>
        <w:gridCol w:w="3033"/>
      </w:tblGrid>
      <w:tr>
        <w:trPr>
          <w:cantSplit/>
          <w:tblHeader/>
        </w:trPr>
        <w:tc>
          <w:tcPr>
            <w:tcW w:type="dxa" w:w="20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Tool</w:t>
            </w:r>
          </w:p>
        </w:tc>
        <w:tc>
          <w:tcPr>
            <w:tcW w:type="dxa" w:w="19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 of US Shopify stores using it</w:t>
            </w:r>
          </w:p>
        </w:tc>
        <w:tc>
          <w:tcPr>
            <w:tcW w:type="dxa" w:w="30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signals</w:t>
            </w:r>
          </w:p>
        </w:tc>
        <w:tc>
          <w:tcPr>
            <w:tcW w:type="dxa" w:w="30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say in our pitch</w:t>
            </w:r>
          </w:p>
        </w:tc>
      </w:tr>
      <w:tr>
        <w:trPr>
          <w:cantSplit/>
        </w:trPr>
        <w:tc>
          <w:tcPr>
            <w:tcW w:type="dxa" w:w="2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Shopify Plus</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w:t>
            </w:r>
          </w:p>
        </w:tc>
        <w:tc>
          <w:tcPr>
            <w:tcW w:type="dxa" w:w="3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Strong signal of a bigger brand (fees alone cost $27,600+/yr, so almost always a $1M+ brand)</w:t>
            </w:r>
          </w:p>
        </w:tc>
        <w:tc>
          <w:tcPr>
            <w:tcW w:type="dxa" w:w="3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Good fit for both services</w:t>
            </w:r>
          </w:p>
        </w:tc>
      </w:tr>
      <w:tr>
        <w:trPr>
          <w:cantSplit/>
        </w:trPr>
        <w:tc>
          <w:tcPr>
            <w:tcW w:type="dxa" w:w="2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Klaviyo</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14.5%</w:t>
            </w:r>
          </w:p>
        </w:tc>
        <w:tc>
          <w:tcPr>
            <w:tcW w:type="dxa" w:w="3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this is the gate</w:t>
            </w:r>
          </w:p>
        </w:tc>
        <w:tc>
          <w:tcPr>
            <w:tcW w:type="dxa" w:w="3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w:t>
            </w:r>
          </w:p>
        </w:tc>
      </w:tr>
      <w:tr>
        <w:trPr>
          <w:cantSplit/>
        </w:trPr>
        <w:tc>
          <w:tcPr>
            <w:tcW w:type="dxa" w:w="2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Attentive</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0.58%</w:t>
            </w:r>
          </w:p>
        </w:tc>
        <w:tc>
          <w:tcPr>
            <w:tcW w:type="dxa" w:w="3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Large, enterprise-level brand with a big SMS budget</w:t>
            </w:r>
          </w:p>
        </w:tc>
        <w:tc>
          <w:tcPr>
            <w:tcW w:type="dxa" w:w="3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Lhotse Scale</w:t>
            </w:r>
          </w:p>
        </w:tc>
      </w:tr>
      <w:tr>
        <w:trPr>
          <w:cantSplit/>
        </w:trPr>
        <w:tc>
          <w:tcPr>
            <w:tcW w:type="dxa" w:w="2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Northbeam</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0.11%</w:t>
            </w:r>
          </w:p>
        </w:tc>
        <w:tc>
          <w:tcPr>
            <w:tcW w:type="dxa" w:w="3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Large ad budget and a team that cares about measurement</w:t>
            </w:r>
          </w:p>
        </w:tc>
        <w:tc>
          <w:tcPr>
            <w:tcW w:type="dxa" w:w="3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Lead with real lift results</w:t>
            </w:r>
          </w:p>
        </w:tc>
      </w:tr>
      <w:tr>
        <w:trPr>
          <w:cantSplit/>
        </w:trPr>
        <w:tc>
          <w:tcPr>
            <w:tcW w:type="dxa" w:w="2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Postscript</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w:t>
            </w:r>
          </w:p>
        </w:tc>
        <w:tc>
          <w:tcPr>
            <w:tcW w:type="dxa" w:w="3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Running SMS; has a retention budget</w:t>
            </w:r>
          </w:p>
        </w:tc>
        <w:tc>
          <w:tcPr>
            <w:tcW w:type="dxa" w:w="3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Growth</w:t>
            </w:r>
          </w:p>
        </w:tc>
      </w:tr>
      <w:tr>
        <w:trPr>
          <w:cantSplit/>
        </w:trPr>
        <w:tc>
          <w:tcPr>
            <w:tcW w:type="dxa" w:w="2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ReCharge</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w:t>
            </w:r>
          </w:p>
        </w:tc>
        <w:tc>
          <w:tcPr>
            <w:tcW w:type="dxa" w:w="3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Repeat-purchase model is already running</w:t>
            </w:r>
          </w:p>
        </w:tc>
        <w:tc>
          <w:tcPr>
            <w:tcW w:type="dxa" w:w="3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Focus on reducing cancellations and cross-selling</w:t>
            </w:r>
          </w:p>
        </w:tc>
      </w:tr>
      <w:tr>
        <w:trPr>
          <w:cantSplit/>
        </w:trPr>
        <w:tc>
          <w:tcPr>
            <w:tcW w:type="dxa" w:w="2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Triple Whale</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w:t>
            </w:r>
          </w:p>
        </w:tc>
        <w:tc>
          <w:tcPr>
            <w:tcW w:type="dxa" w:w="3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Tracks all marketing spend carefully</w:t>
            </w:r>
          </w:p>
        </w:tc>
        <w:tc>
          <w:tcPr>
            <w:tcW w:type="dxa" w:w="3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Frame results as "lower blended marketing cost"</w:t>
            </w:r>
          </w:p>
        </w:tc>
      </w:tr>
      <w:tr>
        <w:trPr>
          <w:cantSplit/>
        </w:trPr>
        <w:tc>
          <w:tcPr>
            <w:tcW w:type="dxa" w:w="2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Gorgias</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w:t>
            </w:r>
          </w:p>
        </w:tc>
        <w:tc>
          <w:tcPr>
            <w:tcW w:type="dxa" w:w="3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a customer service team sending from the brand domain</w:t>
            </w:r>
          </w:p>
        </w:tc>
        <w:tc>
          <w:tcPr>
            <w:tcW w:type="dxa" w:w="3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email security settings on support emails</w:t>
            </w:r>
          </w:p>
        </w:tc>
      </w:tr>
      <w:tr>
        <w:trPr>
          <w:cantSplit/>
        </w:trPr>
        <w:tc>
          <w:tcPr>
            <w:tcW w:type="dxa" w:w="2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Mailchimp</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5.8%</w:t>
            </w:r>
          </w:p>
        </w:tc>
        <w:tc>
          <w:tcPr>
            <w:tcW w:type="dxa" w:w="3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Rarely a serious email program</w:t>
            </w:r>
          </w:p>
        </w:tc>
        <w:tc>
          <w:tcPr>
            <w:tcW w:type="dxa" w:w="3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 gently</w:t>
            </w:r>
          </w:p>
        </w:tc>
      </w:tr>
      <w:tr>
        <w:trPr>
          <w:cantSplit/>
        </w:trPr>
        <w:tc>
          <w:tcPr>
            <w:tcW w:type="dxa" w:w="2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Omnisend alone</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w:t>
            </w:r>
          </w:p>
        </w:tc>
        <w:tc>
          <w:tcPr>
            <w:tcW w:type="dxa" w:w="3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Often a deliberate choice</w:t>
            </w:r>
          </w:p>
        </w:tc>
        <w:tc>
          <w:tcPr>
            <w:tcW w:type="dxa" w:w="3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 never push them to switch platforms</w:t>
            </w:r>
          </w:p>
        </w:tc>
      </w:tr>
      <w:tr>
        <w:trPr>
          <w:cantSplit/>
        </w:trPr>
        <w:tc>
          <w:tcPr>
            <w:tcW w:type="dxa" w:w="2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Printful / Printify / Fourthwall</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Top-10 apps</w:t>
            </w:r>
          </w:p>
        </w:tc>
        <w:tc>
          <w:tcPr>
            <w:tcW w:type="dxa" w:w="3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Print-on-demand</w:t>
            </w:r>
          </w:p>
        </w:tc>
        <w:tc>
          <w:tcPr>
            <w:tcW w:type="dxa" w:w="3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bl>
    <w:p>
      <w:pPr>
        <w:spacing w:after="120" w:before="0"/>
      </w:pPr>
    </w:p>
    <w:p>
      <w:pPr>
        <w:spacing w:after="160" w:before="0"/>
      </w:pPr>
      <w:r>
        <w:rPr>
          <w:rFonts w:ascii="Arial" w:cs="Arial" w:eastAsia="Arial" w:hAnsi="Arial"/>
          <w:i/>
          <w:iCs/>
          <w:color w:val="5B6573"/>
          <w:sz w:val="16"/>
          <w:szCs w:val="16"/>
        </w:rPr>
        <w:t xml:space="preserve">Source: Store Leads, 1,179,951 live US Shopify stores, September 2026.</w:t>
      </w:r>
    </w:p>
    <w:p>
      <w:r>
        <w:rPr>
          <w:rFonts w:ascii="Arial" w:cs="Arial" w:eastAsia="Arial" w:hAnsi="Arial"/>
          <w:sz w:val="20"/>
          <w:szCs w:val="20"/>
        </w:rPr>
        <w:t xml:space="preserve">Three platform facts shape how we pitch:</w:t>
      </w:r>
    </w:p>
    <w:p>
      <w:pPr>
        <w:pStyle w:val="ListParagraph"/>
        <w:numPr>
          <w:ilvl w:val="0"/>
          <w:numId w:val="2"/>
        </w:numPr>
        <w:spacing w:after="60"/>
      </w:pPr>
      <w:r>
        <w:rPr>
          <w:rFonts w:ascii="Arial" w:cs="Arial" w:eastAsia="Arial" w:hAnsi="Arial"/>
          <w:b/>
          <w:bCs/>
          <w:sz w:val="20"/>
          <w:szCs w:val="20"/>
        </w:rPr>
        <w:t xml:space="preserve">Klaviyo is growing fast.</w:t>
      </w:r>
      <w:r>
        <w:rPr>
          <w:rFonts w:ascii="Arial" w:cs="Arial" w:eastAsia="Arial" w:hAnsi="Arial"/>
          <w:sz w:val="20"/>
          <w:szCs w:val="20"/>
        </w:rPr>
        <w:t xml:space="preserve"> Revenue grew 26% in mid-2026, and brands paying Klaviyo more than $50,000/year grew 36%. Bigger brands are investing heavily in email.</w:t>
      </w:r>
    </w:p>
    <w:p>
      <w:pPr>
        <w:pStyle w:val="ListParagraph"/>
        <w:numPr>
          <w:ilvl w:val="0"/>
          <w:numId w:val="2"/>
        </w:numPr>
        <w:spacing w:after="60"/>
      </w:pPr>
      <w:r>
        <w:rPr>
          <w:rFonts w:ascii="Arial" w:cs="Arial" w:eastAsia="Arial" w:hAnsi="Arial"/>
          <w:b/>
          <w:bCs/>
          <w:sz w:val="20"/>
          <w:szCs w:val="20"/>
        </w:rPr>
        <w:t xml:space="preserve">Shopify rewrites the email sender</w:t>
      </w:r>
      <w:r>
        <w:rPr>
          <w:rFonts w:ascii="Arial" w:cs="Arial" w:eastAsia="Arial" w:hAnsi="Arial"/>
          <w:sz w:val="20"/>
          <w:szCs w:val="20"/>
        </w:rPr>
        <w:t xml:space="preserve"> when a brand has no security record (DMARC) set up. The email shows up to customers as being from "shopifyemail.com" instead of the brand's domain. This is a clear sign the brand needs Ascent.</w:t>
      </w:r>
    </w:p>
    <w:p>
      <w:pPr>
        <w:pStyle w:val="ListParagraph"/>
        <w:numPr>
          <w:ilvl w:val="0"/>
          <w:numId w:val="2"/>
        </w:numPr>
        <w:spacing w:after="60"/>
      </w:pPr>
      <w:r>
        <w:rPr>
          <w:rFonts w:ascii="Arial" w:cs="Arial" w:eastAsia="Arial" w:hAnsi="Arial"/>
          <w:b/>
          <w:bCs/>
          <w:sz w:val="20"/>
          <w:szCs w:val="20"/>
        </w:rPr>
        <w:t xml:space="preserve">Owners love Klaviyo's power but hate the bill.</w:t>
      </w:r>
      <w:r>
        <w:rPr>
          <w:rFonts w:ascii="Arial" w:cs="Arial" w:eastAsia="Arial" w:hAnsi="Arial"/>
          <w:sz w:val="20"/>
          <w:szCs w:val="20"/>
        </w:rPr>
        <w:t xml:space="preserve"> GrowMailers sells the expertise to make Klaviyo worth paying for. We never push them to switch.</w:t>
      </w:r>
    </w:p>
    <w:p>
      <w:pPr>
        <w:spacing w:after="60" w:before="0"/>
      </w:pPr>
    </w:p>
    <w:p>
      <w:pPr>
        <w:pStyle w:val="Heading2"/>
        <w:keepNext/>
      </w:pPr>
      <w:bookmarkStart w:name="sec_3_3" w:id="20"/>
      <w:r>
        <w:rPr>
          <w:rFonts w:ascii="Arial" w:cs="Arial" w:eastAsia="Arial" w:hAnsi="Arial"/>
        </w:rPr>
        <w:t xml:space="preserve">3.3 How to score a prospect</w:t>
      </w:r>
      <w:bookmarkEnd w:id="20"/>
    </w:p>
    <w:p>
      <w:pPr>
        <w:pStyle w:val="Heading3"/>
        <w:keepNext/>
      </w:pPr>
      <w:r>
        <w:rPr>
          <w:rFonts w:ascii="Arial" w:cs="Arial" w:eastAsia="Arial" w:hAnsi="Arial"/>
        </w:rPr>
        <w:t xml:space="preserve">Lhotse Fit Score (out of 100)</w:t>
      </w:r>
    </w:p>
    <w:p>
      <w:r>
        <w:rPr>
          <w:rFonts w:ascii="Arial" w:cs="Arial" w:eastAsia="Arial" w:hAnsi="Arial"/>
          <w:sz w:val="20"/>
          <w:szCs w:val="20"/>
        </w:rPr>
        <w:t xml:space="preserve">This score measures how good a Lhotse client the prospect would be. It adds five components and subtracts penalties.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20"/>
        <w:gridCol w:w="5860"/>
      </w:tblGrid>
      <w:tr>
        <w:trPr>
          <w:cantSplit/>
          <w:tblHeader/>
        </w:trPr>
        <w:tc>
          <w:tcPr>
            <w:tcW w:type="dxa" w:w="42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Component</w:t>
            </w:r>
          </w:p>
        </w:tc>
        <w:tc>
          <w:tcPr>
            <w:tcW w:type="dxa" w:w="58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Points available</w:t>
            </w:r>
          </w:p>
        </w:tc>
      </w:tr>
      <w:tr>
        <w:trPr>
          <w:cantSplit/>
        </w:trPr>
        <w:tc>
          <w:tcPr>
            <w:tcW w:type="dxa" w:w="42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Platform</w:t>
            </w:r>
          </w:p>
        </w:tc>
        <w:tc>
          <w:tcPr>
            <w:tcW w:type="dxa" w:w="58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 to 20</w:t>
            </w:r>
          </w:p>
        </w:tc>
      </w:tr>
      <w:tr>
        <w:trPr>
          <w:cantSplit/>
        </w:trPr>
        <w:tc>
          <w:tcPr>
            <w:tcW w:type="dxa" w:w="42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Size</w:t>
            </w:r>
          </w:p>
        </w:tc>
        <w:tc>
          <w:tcPr>
            <w:tcW w:type="dxa" w:w="58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 to 30</w:t>
            </w:r>
          </w:p>
        </w:tc>
      </w:tr>
      <w:tr>
        <w:trPr>
          <w:cantSplit/>
        </w:trPr>
        <w:tc>
          <w:tcPr>
            <w:tcW w:type="dxa" w:w="42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Tools they use</w:t>
            </w:r>
          </w:p>
        </w:tc>
        <w:tc>
          <w:tcPr>
            <w:tcW w:type="dxa" w:w="58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 to 20</w:t>
            </w:r>
          </w:p>
        </w:tc>
      </w:tr>
      <w:tr>
        <w:trPr>
          <w:cantSplit/>
        </w:trPr>
        <w:tc>
          <w:tcPr>
            <w:tcW w:type="dxa" w:w="42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 type</w:t>
            </w:r>
          </w:p>
        </w:tc>
        <w:tc>
          <w:tcPr>
            <w:tcW w:type="dxa" w:w="58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 to 15</w:t>
            </w:r>
          </w:p>
        </w:tc>
      </w:tr>
      <w:tr>
        <w:trPr>
          <w:cantSplit/>
        </w:trPr>
        <w:tc>
          <w:tcPr>
            <w:tcW w:type="dxa" w:w="42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program gaps</w:t>
            </w:r>
          </w:p>
        </w:tc>
        <w:tc>
          <w:tcPr>
            <w:tcW w:type="dxa" w:w="58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 to 15</w:t>
            </w:r>
          </w:p>
        </w:tc>
      </w:tr>
      <w:tr>
        <w:trPr>
          <w:cantSplit/>
        </w:trPr>
        <w:tc>
          <w:tcPr>
            <w:tcW w:type="dxa" w:w="42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Penalties</w:t>
            </w:r>
          </w:p>
        </w:tc>
        <w:tc>
          <w:tcPr>
            <w:tcW w:type="dxa" w:w="58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Subtracted from the total</w:t>
            </w:r>
          </w:p>
        </w:tc>
      </w:tr>
    </w:tbl>
    <w:p>
      <w:pPr>
        <w:spacing w:after="120" w:before="0"/>
      </w:pPr>
    </w:p>
    <w:p>
      <w:r>
        <w:rPr>
          <w:rFonts w:ascii="Arial" w:cs="Arial" w:eastAsia="Arial" w:hAnsi="Arial"/>
          <w:b/>
          <w:bCs/>
          <w:sz w:val="20"/>
          <w:szCs w:val="20"/>
        </w:rPr>
        <w:t xml:space="preserve">Gate:</w:t>
      </w:r>
      <w:r>
        <w:rPr>
          <w:rFonts w:ascii="Arial" w:cs="Arial" w:eastAsia="Arial" w:hAnsi="Arial"/>
          <w:sz w:val="20"/>
          <w:szCs w:val="20"/>
        </w:rPr>
        <w:t xml:space="preserve"> if they do not use Klaviyo, the score is 0 (hold or nurture).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1"/>
        <w:gridCol w:w="5436"/>
        <w:gridCol w:w="1133"/>
      </w:tblGrid>
      <w:tr>
        <w:trPr>
          <w:cantSplit/>
          <w:tblHeader/>
        </w:trPr>
        <w:tc>
          <w:tcPr>
            <w:tcW w:type="dxa" w:w="351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measure</w:t>
            </w:r>
          </w:p>
        </w:tc>
        <w:tc>
          <w:tcPr>
            <w:tcW w:type="dxa" w:w="54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Criteria</w:t>
            </w:r>
          </w:p>
        </w:tc>
        <w:tc>
          <w:tcPr>
            <w:tcW w:type="dxa" w:w="11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Points</w:t>
            </w:r>
          </w:p>
        </w:tc>
      </w:tr>
      <w:tr>
        <w:trPr>
          <w:cantSplit/>
        </w:trPr>
        <w:tc>
          <w:tcPr>
            <w:tcW w:type="dxa" w:w="35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Platform</w:t>
            </w:r>
          </w:p>
        </w:tc>
        <w:tc>
          <w:tcPr>
            <w:tcW w:type="dxa" w:w="54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Plus</w:t>
            </w:r>
          </w:p>
        </w:tc>
        <w:tc>
          <w:tcPr>
            <w:tcW w:type="dxa" w:w="11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r>
      <w:tr>
        <w:trPr>
          <w:cantSplit/>
        </w:trPr>
        <w:tc>
          <w:tcPr>
            <w:tcW w:type="dxa" w:w="35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Platform</w:t>
            </w:r>
          </w:p>
        </w:tc>
        <w:tc>
          <w:tcPr>
            <w:tcW w:type="dxa" w:w="54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Regular Shopify above $250k/month in sales</w:t>
            </w:r>
          </w:p>
        </w:tc>
        <w:tc>
          <w:tcPr>
            <w:tcW w:type="dxa" w:w="11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r>
      <w:tr>
        <w:trPr>
          <w:cantSplit/>
        </w:trPr>
        <w:tc>
          <w:tcPr>
            <w:tcW w:type="dxa" w:w="35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Platform</w:t>
            </w:r>
          </w:p>
        </w:tc>
        <w:tc>
          <w:tcPr>
            <w:tcW w:type="dxa" w:w="54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Regular Shopify below $250k/month</w:t>
            </w:r>
          </w:p>
        </w:tc>
        <w:tc>
          <w:tcPr>
            <w:tcW w:type="dxa" w:w="11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w:t>
            </w:r>
          </w:p>
        </w:tc>
      </w:tr>
      <w:tr>
        <w:trPr>
          <w:cantSplit/>
        </w:trPr>
        <w:tc>
          <w:tcPr>
            <w:tcW w:type="dxa" w:w="35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Size</w:t>
            </w:r>
            <w:r>
              <w:rPr>
                <w:rFonts w:ascii="Arial" w:cs="Arial" w:eastAsia="Arial" w:hAnsi="Arial"/>
                <w:sz w:val="16"/>
                <w:szCs w:val="16"/>
              </w:rPr>
              <w:t xml:space="preserve"> (estimated monthly sales)</w:t>
            </w:r>
          </w:p>
        </w:tc>
        <w:tc>
          <w:tcPr>
            <w:tcW w:type="dxa" w:w="54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$420k–$1.0M/month ($5M–$12M/year)</w:t>
            </w:r>
          </w:p>
        </w:tc>
        <w:tc>
          <w:tcPr>
            <w:tcW w:type="dxa" w:w="11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w:t>
            </w:r>
          </w:p>
        </w:tc>
      </w:tr>
      <w:tr>
        <w:trPr>
          <w:cantSplit/>
        </w:trPr>
        <w:tc>
          <w:tcPr>
            <w:tcW w:type="dxa" w:w="35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Size</w:t>
            </w:r>
          </w:p>
        </w:tc>
        <w:tc>
          <w:tcPr>
            <w:tcW w:type="dxa" w:w="54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$1.0M–$1.67M/month ($12M–$20M/year)</w:t>
            </w:r>
          </w:p>
        </w:tc>
        <w:tc>
          <w:tcPr>
            <w:tcW w:type="dxa" w:w="11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w:t>
            </w:r>
          </w:p>
        </w:tc>
      </w:tr>
      <w:tr>
        <w:trPr>
          <w:cantSplit/>
        </w:trPr>
        <w:tc>
          <w:tcPr>
            <w:tcW w:type="dxa" w:w="35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Size</w:t>
            </w:r>
          </w:p>
        </w:tc>
        <w:tc>
          <w:tcPr>
            <w:tcW w:type="dxa" w:w="54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$250k–$420k/month ($3M–$5M/year)</w:t>
            </w:r>
          </w:p>
        </w:tc>
        <w:tc>
          <w:tcPr>
            <w:tcW w:type="dxa" w:w="11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r>
      <w:tr>
        <w:trPr>
          <w:cantSplit/>
        </w:trPr>
        <w:tc>
          <w:tcPr>
            <w:tcW w:type="dxa" w:w="35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Size</w:t>
            </w:r>
          </w:p>
        </w:tc>
        <w:tc>
          <w:tcPr>
            <w:tcW w:type="dxa" w:w="54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$1.67M/month</w:t>
            </w:r>
          </w:p>
        </w:tc>
        <w:tc>
          <w:tcPr>
            <w:tcW w:type="dxa" w:w="11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w:t>
            </w:r>
          </w:p>
        </w:tc>
      </w:tr>
      <w:tr>
        <w:trPr>
          <w:cantSplit/>
        </w:trPr>
        <w:tc>
          <w:tcPr>
            <w:tcW w:type="dxa" w:w="35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Size</w:t>
            </w:r>
          </w:p>
        </w:tc>
        <w:tc>
          <w:tcPr>
            <w:tcW w:type="dxa" w:w="54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$250k/month</w:t>
            </w:r>
          </w:p>
        </w:tc>
        <w:tc>
          <w:tcPr>
            <w:tcW w:type="dxa" w:w="11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r>
      <w:tr>
        <w:trPr>
          <w:cantSplit/>
        </w:trPr>
        <w:tc>
          <w:tcPr>
            <w:tcW w:type="dxa" w:w="35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Tools used</w:t>
            </w:r>
            <w:r>
              <w:rPr>
                <w:rFonts w:ascii="Arial" w:cs="Arial" w:eastAsia="Arial" w:hAnsi="Arial"/>
                <w:sz w:val="16"/>
                <w:szCs w:val="16"/>
              </w:rPr>
              <w:t xml:space="preserve"> (max 20)</w:t>
            </w:r>
          </w:p>
        </w:tc>
        <w:tc>
          <w:tcPr>
            <w:tcW w:type="dxa" w:w="54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Postscript or Attentive +6; ReCharge +6; Triple Whale or Northbeam +5; Gorgias +3; reviews or loyalty app +3</w:t>
            </w:r>
          </w:p>
        </w:tc>
        <w:tc>
          <w:tcPr>
            <w:tcW w:type="dxa" w:w="11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20</w:t>
            </w:r>
          </w:p>
        </w:tc>
      </w:tr>
      <w:tr>
        <w:trPr>
          <w:cantSplit/>
        </w:trPr>
        <w:tc>
          <w:tcPr>
            <w:tcW w:type="dxa" w:w="35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Product type</w:t>
            </w:r>
          </w:p>
        </w:tc>
        <w:tc>
          <w:tcPr>
            <w:tcW w:type="dxa" w:w="54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supplements, food or pets / clothing with repeat buying / other</w:t>
            </w:r>
          </w:p>
        </w:tc>
        <w:tc>
          <w:tcPr>
            <w:tcW w:type="dxa" w:w="11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 / 8 / 3</w:t>
            </w:r>
          </w:p>
        </w:tc>
      </w:tr>
      <w:tr>
        <w:trPr>
          <w:cantSplit/>
        </w:trPr>
        <w:tc>
          <w:tcPr>
            <w:tcW w:type="dxa" w:w="35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Email gaps</w:t>
            </w:r>
            <w:r>
              <w:rPr>
                <w:rFonts w:ascii="Arial" w:cs="Arial" w:eastAsia="Arial" w:hAnsi="Arial"/>
                <w:sz w:val="16"/>
                <w:szCs w:val="16"/>
              </w:rPr>
              <w:t xml:space="preserve"> (max 15, from audit)</w:t>
            </w:r>
          </w:p>
        </w:tc>
        <w:tc>
          <w:tcPr>
            <w:tcW w:type="dxa" w:w="54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one welcome email or none +5; blasting full list more than 4x/week +4; no browse-abandonment email +3; no post-purchase or reorder reminder +3</w:t>
            </w:r>
          </w:p>
        </w:tc>
        <w:tc>
          <w:tcPr>
            <w:tcW w:type="dxa" w:w="11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15</w:t>
            </w:r>
          </w:p>
        </w:tc>
      </w:tr>
      <w:tr>
        <w:trPr>
          <w:cantSplit/>
        </w:trPr>
        <w:tc>
          <w:tcPr>
            <w:tcW w:type="dxa" w:w="35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Deductions</w:t>
            </w:r>
          </w:p>
        </w:tc>
        <w:tc>
          <w:tcPr>
            <w:tcW w:type="dxa" w:w="54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 business agent address −20; hired an email agency in the last 6 months −10; dropshipper or print-on-demand: skip</w:t>
            </w:r>
          </w:p>
        </w:tc>
        <w:tc>
          <w:tcPr>
            <w:tcW w:type="dxa" w:w="11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Varies</w:t>
            </w:r>
          </w:p>
        </w:tc>
      </w:tr>
    </w:tbl>
    <w:p>
      <w:pPr>
        <w:spacing w:after="120" w:before="0"/>
      </w:pPr>
    </w:p>
    <w:p>
      <w:pPr>
        <w:pStyle w:val="Heading3"/>
        <w:keepNext/>
      </w:pPr>
      <w:r>
        <w:rPr>
          <w:rFonts w:ascii="Arial" w:cs="Arial" w:eastAsia="Arial" w:hAnsi="Arial"/>
        </w:rPr>
        <w:t xml:space="preserve">Ascent Urgency Score (out of 100)</w:t>
      </w:r>
    </w:p>
    <w:p>
      <w:r>
        <w:rPr>
          <w:rFonts w:ascii="Arial" w:cs="Arial" w:eastAsia="Arial" w:hAnsi="Arial"/>
          <w:sz w:val="20"/>
          <w:szCs w:val="20"/>
        </w:rPr>
        <w:t xml:space="preserve">This score measures how badly the prospect's email delivery needs fixing.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8"/>
        <w:gridCol w:w="5372"/>
        <w:gridCol w:w="900"/>
      </w:tblGrid>
      <w:tr>
        <w:trPr>
          <w:cantSplit/>
          <w:tblHeader/>
        </w:trPr>
        <w:tc>
          <w:tcPr>
            <w:tcW w:type="dxa" w:w="38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measure</w:t>
            </w:r>
          </w:p>
        </w:tc>
        <w:tc>
          <w:tcPr>
            <w:tcW w:type="dxa" w:w="537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Criteria</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Points</w:t>
            </w:r>
          </w:p>
        </w:tc>
      </w:tr>
      <w:tr>
        <w:trPr>
          <w:cantSplit/>
        </w:trPr>
        <w:tc>
          <w:tcPr>
            <w:tcW w:type="dxa" w:w="38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Security setting gaps</w:t>
            </w:r>
            <w:r>
              <w:rPr>
                <w:rFonts w:ascii="Arial" w:cs="Arial" w:eastAsia="Arial" w:hAnsi="Arial"/>
                <w:sz w:val="16"/>
                <w:szCs w:val="16"/>
              </w:rPr>
              <w:t xml:space="preserve"> (max 40)</w:t>
            </w:r>
          </w:p>
        </w:tc>
        <w:tc>
          <w:tcPr>
            <w:tcW w:type="dxa" w:w="53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DMARC record 20; two or broken DMARC records 20; emails show "via klaviyomail.com" above 5,000 subscribers 20; Shopify is rewriting their email sender 15; SPF record is broken 10</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40</w:t>
            </w:r>
          </w:p>
        </w:tc>
      </w:tr>
      <w:tr>
        <w:trPr>
          <w:cantSplit/>
        </w:trPr>
        <w:tc>
          <w:tcPr>
            <w:tcW w:type="dxa" w:w="38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How exposed they are</w:t>
            </w:r>
            <w:r>
              <w:rPr>
                <w:rFonts w:ascii="Arial" w:cs="Arial" w:eastAsia="Arial" w:hAnsi="Arial"/>
                <w:sz w:val="16"/>
                <w:szCs w:val="16"/>
              </w:rPr>
              <w:t xml:space="preserve"> (max 30)</w:t>
            </w:r>
          </w:p>
        </w:tc>
        <w:tc>
          <w:tcPr>
            <w:tcW w:type="dxa" w:w="53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above 50,000 10; using SMS heavily with frequent sends 10; in UK, Canada or Australia where Microsoft is big 5; Black Friday within 12 weeks 5</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30</w:t>
            </w:r>
          </w:p>
        </w:tc>
      </w:tr>
      <w:tr>
        <w:trPr>
          <w:cantSplit/>
        </w:trPr>
        <w:tc>
          <w:tcPr>
            <w:tcW w:type="dxa" w:w="38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Visible signs of problems</w:t>
            </w:r>
            <w:r>
              <w:rPr>
                <w:rFonts w:ascii="Arial" w:cs="Arial" w:eastAsia="Arial" w:hAnsi="Arial"/>
                <w:sz w:val="16"/>
                <w:szCs w:val="16"/>
              </w:rPr>
              <w:t xml:space="preserve"> (max 30)</w:t>
            </w:r>
          </w:p>
        </w:tc>
        <w:tc>
          <w:tcPr>
            <w:tcW w:type="dxa" w:w="53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Test emails land in spam at 2+ email providers 15; order confirmation emails land in spam 10; no one-click unsubscribe button 10; welcome email arrives more than 1 hour late 5</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30</w:t>
            </w:r>
          </w:p>
        </w:tc>
      </w:tr>
    </w:tbl>
    <w:p>
      <w:pPr>
        <w:spacing w:after="120" w:before="0"/>
      </w:pPr>
    </w:p>
    <w:p>
      <w:pPr>
        <w:pStyle w:val="Heading3"/>
        <w:keepNext/>
      </w:pPr>
      <w:r>
        <w:rPr>
          <w:rFonts w:ascii="Arial" w:cs="Arial" w:eastAsia="Arial" w:hAnsi="Arial"/>
        </w:rPr>
        <w:t xml:space="preserve">Priority guide</w:t>
      </w:r>
    </w:p>
    <w:p>
      <w:r>
        <w:rPr>
          <w:rFonts w:ascii="Arial" w:cs="Arial" w:eastAsia="Arial" w:hAnsi="Arial"/>
          <w:sz w:val="20"/>
          <w:szCs w:val="20"/>
        </w:rPr>
        <w:t xml:space="preserve">Combine the two scores to decide what to pitch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7"/>
        <w:gridCol w:w="4331"/>
        <w:gridCol w:w="4422"/>
      </w:tblGrid>
      <w:tr>
        <w:trPr>
          <w:cantSplit/>
          <w:tblHeader/>
        </w:trPr>
        <w:tc>
          <w:tcPr>
            <w:tcW w:type="dxa" w:w="132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 Fit Score</w:t>
            </w:r>
          </w:p>
        </w:tc>
        <w:tc>
          <w:tcPr>
            <w:tcW w:type="dxa" w:w="43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Ascent Urgency: Low (under 40)</w:t>
            </w:r>
          </w:p>
        </w:tc>
        <w:tc>
          <w:tcPr>
            <w:tcW w:type="dxa" w:w="44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Ascent Urgency: High (40+)</w:t>
            </w:r>
          </w:p>
        </w:tc>
      </w:tr>
      <w:tr>
        <w:trPr>
          <w:cantSplit/>
        </w:trPr>
        <w:tc>
          <w:tcPr>
            <w:tcW w:type="dxa" w:w="132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High (60+)</w:t>
            </w:r>
          </w:p>
        </w:tc>
        <w:tc>
          <w:tcPr>
            <w:tcW w:type="dxa" w:w="4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 first:</w:t>
            </w:r>
            <w:r>
              <w:rPr>
                <w:rFonts w:ascii="Arial" w:cs="Arial" w:eastAsia="Arial" w:hAnsi="Arial"/>
                <w:sz w:val="16"/>
                <w:szCs w:val="16"/>
              </w:rPr>
              <w:t xml:space="preserve"> lead with program gaps and upside</w:t>
            </w:r>
          </w:p>
        </w:tc>
        <w:tc>
          <w:tcPr>
            <w:tcW w:type="dxa" w:w="44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 first, then Lhotse:</w:t>
            </w:r>
            <w:r>
              <w:rPr>
                <w:rFonts w:ascii="Arial" w:cs="Arial" w:eastAsia="Arial" w:hAnsi="Arial"/>
                <w:sz w:val="16"/>
                <w:szCs w:val="16"/>
              </w:rPr>
              <w:t xml:space="preserve"> fix delivery, then pitch the retainer</w:t>
            </w:r>
          </w:p>
        </w:tc>
      </w:tr>
      <w:tr>
        <w:trPr>
          <w:cantSplit/>
        </w:trPr>
        <w:tc>
          <w:tcPr>
            <w:tcW w:type="dxa" w:w="132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Low (under 60)</w:t>
            </w:r>
          </w:p>
        </w:tc>
        <w:tc>
          <w:tcPr>
            <w:tcW w:type="dxa" w:w="4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Nurture or skip:</w:t>
            </w:r>
            <w:r>
              <w:rPr>
                <w:rFonts w:ascii="Arial" w:cs="Arial" w:eastAsia="Arial" w:hAnsi="Arial"/>
                <w:sz w:val="16"/>
                <w:szCs w:val="16"/>
              </w:rPr>
              <w:t xml:space="preserve"> check back in 3 months</w:t>
            </w:r>
          </w:p>
        </w:tc>
        <w:tc>
          <w:tcPr>
            <w:tcW w:type="dxa" w:w="44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 only:</w:t>
            </w:r>
            <w:r>
              <w:rPr>
                <w:rFonts w:ascii="Arial" w:cs="Arial" w:eastAsia="Arial" w:hAnsi="Arial"/>
                <w:sz w:val="16"/>
                <w:szCs w:val="16"/>
              </w:rPr>
              <w:t xml:space="preserve"> for $1M to $3M or $20M+ brands</w:t>
            </w:r>
          </w:p>
        </w:tc>
      </w:tr>
    </w:tbl>
    <w:p>
      <w:pPr>
        <w:spacing w:after="120" w:before="0"/>
      </w:pPr>
    </w:p>
    <w:p>
      <w:pPr>
        <w:pStyle w:val="Heading2"/>
        <w:keepNext/>
      </w:pPr>
      <w:bookmarkStart w:name="sec_3_4" w:id="21"/>
      <w:r>
        <w:rPr>
          <w:rFonts w:ascii="Arial" w:cs="Arial" w:eastAsia="Arial" w:hAnsi="Arial"/>
        </w:rPr>
        <w:t xml:space="preserve">3.4 Always verify before reaching out</w:t>
      </w:r>
      <w:bookmarkEnd w:id="21"/>
    </w:p>
    <w:p>
      <w:r>
        <w:rPr>
          <w:rFonts w:ascii="Arial" w:cs="Arial" w:eastAsia="Arial" w:hAnsi="Arial"/>
          <w:sz w:val="20"/>
          <w:szCs w:val="20"/>
        </w:rPr>
        <w:t xml:space="preserve">Tech databases can be wrong and can miss some setups. A wrong signal leads to a wrong pitch, so confirm these points by hand before reaching out to any prospect.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0"/>
        <w:gridCol w:w="5760"/>
      </w:tblGrid>
      <w:tr>
        <w:trPr>
          <w:cantSplit/>
          <w:tblHeader/>
        </w:trPr>
        <w:tc>
          <w:tcPr>
            <w:tcW w:type="dxa" w:w="43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Check</w:t>
            </w:r>
          </w:p>
        </w:tc>
        <w:tc>
          <w:tcPr>
            <w:tcW w:type="dxa" w:w="57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confirm</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is live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 up for their list and check the email you receive</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actually arrive</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Confirm the signup email reaches your inbox</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tools are visible on the site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Look for a ReCharge membership portal or a Gorgias chat widget</w:t>
            </w:r>
          </w:p>
        </w:tc>
      </w:tr>
    </w:tbl>
    <w:p>
      <w:pPr>
        <w:spacing w:after="120" w:before="0"/>
      </w:pPr>
    </w:p>
    <w:p>
      <w:r>
        <w:rPr>
          <w:rFonts w:ascii="Arial" w:cs="Arial" w:eastAsia="Arial" w:hAnsi="Arial"/>
          <w:b/>
          <w:bCs/>
          <w:sz w:val="20"/>
          <w:szCs w:val="20"/>
        </w:rPr>
        <w:t xml:space="preserve">Australia has the highest rate of Klaviyo use</w:t>
      </w:r>
      <w:r>
        <w:rPr>
          <w:rFonts w:ascii="Arial" w:cs="Arial" w:eastAsia="Arial" w:hAnsi="Arial"/>
          <w:sz w:val="20"/>
          <w:szCs w:val="20"/>
        </w:rPr>
        <w:t xml:space="preserve"> among the six countries we target: 23.6% of its Shopify stores use Klaviyo, compared to 14.5% in the US. Australian and UK brands tend to be more experienced, so lead with delivery depth and measurement rather than basics.</w:t>
      </w:r>
    </w:p>
    <w:p>
      <w:pPr>
        <w:pStyle w:val="Heading1"/>
        <w:keepNext/>
        <w:pageBreakBefore/>
      </w:pPr>
      <w:bookmarkStart w:name="sec_4" w:id="22"/>
      <w:r>
        <w:rPr>
          <w:rFonts w:ascii="Arial" w:cs="Arial" w:eastAsia="Arial" w:hAnsi="Arial"/>
        </w:rPr>
        <w:t xml:space="preserve">4. Who Our Perfect Clients Are</w:t>
      </w:r>
      <w:bookmarkEnd w:id="22"/>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Our ideal client is a Shopify or Shopify Plus brand that uses Klaviyo, owns its products, and sells mainly through its own website in beauty, supplements, food, or pets. </w:t>
      </w:r>
      <w:r>
        <w:rPr>
          <w:rFonts w:ascii="Arial" w:cs="Arial" w:eastAsia="Arial" w:hAnsi="Arial"/>
          <w:b/>
          <w:bCs/>
          <w:sz w:val="20"/>
          <w:szCs w:val="20"/>
        </w:rPr>
        <w:t xml:space="preserve">Lhotse</w:t>
      </w:r>
      <w:r>
        <w:rPr>
          <w:rFonts w:ascii="Arial" w:cs="Arial" w:eastAsia="Arial" w:hAnsi="Arial"/>
          <w:sz w:val="20"/>
          <w:szCs w:val="20"/>
        </w:rPr>
        <w:t xml:space="preserve"> targets brands making $3M to $20M per year, where email earns $600k to $6M per year and a $36k to $66k annual retainer makes more sense than hiring a $70k to $100k+ employee. </w:t>
      </w:r>
      <w:r>
        <w:rPr>
          <w:rFonts w:ascii="Arial" w:cs="Arial" w:eastAsia="Arial" w:hAnsi="Arial"/>
          <w:b/>
          <w:bCs/>
          <w:sz w:val="20"/>
          <w:szCs w:val="20"/>
        </w:rPr>
        <w:t xml:space="preserve">Ascent</w:t>
      </w:r>
      <w:r>
        <w:rPr>
          <w:rFonts w:ascii="Arial" w:cs="Arial" w:eastAsia="Arial" w:hAnsi="Arial"/>
          <w:sz w:val="20"/>
          <w:szCs w:val="20"/>
        </w:rPr>
        <w:t xml:space="preserve"> targets brands making $1M to $50M+, including large brands with in-house teams who need a specialist repair job.</w:t>
      </w:r>
    </w:p>
    <w:p>
      <w:pPr>
        <w:pStyle w:val="Heading2"/>
        <w:keepNext/>
      </w:pPr>
      <w:bookmarkStart w:name="sec_4_1" w:id="23"/>
      <w:r>
        <w:rPr>
          <w:rFonts w:ascii="Arial" w:cs="Arial" w:eastAsia="Arial" w:hAnsi="Arial"/>
        </w:rPr>
        <w:t xml:space="preserve">4.1 The entry requirements (must have all of these)</w:t>
      </w:r>
      <w:bookmarkEnd w:id="23"/>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6"/>
        <w:gridCol w:w="3902"/>
        <w:gridCol w:w="3902"/>
      </w:tblGrid>
      <w:tr>
        <w:trPr>
          <w:cantSplit/>
          <w:tblHeader/>
        </w:trPr>
        <w:tc>
          <w:tcPr>
            <w:tcW w:type="dxa" w:w="22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c>
          <w:tcPr>
            <w:tcW w:type="dxa" w:w="39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39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we check</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Uses Shopify or Shopify Plus</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online store runs on Shopify</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Store Leads database; look at the website source code</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Uses Klaviyo for emails</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email platform is Klaviyo</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 up for their email list; check the email headers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Owns their email list</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own website is their main sales channel</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Look at the site; Amazon is not the primary "buy" button</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Owns their products</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Makes or sells branded products (not drop-shipped generics)</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dropshipping apps on their store; branded product pages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Minimum revenue</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$1M+/year for Ascent, or the product-type minimum for Lhotse (Section 4.3)</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Store Leads estimated monthly sales</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Location</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UK, Canada, Australia, Ireland, or New Zealand, confirmed as their real base</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their address, phone, founder's LinkedIn, and shipping origin</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Legal contact</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 have a legal way to reach a decision-maker</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Record where we found the contact</w:t>
            </w:r>
          </w:p>
        </w:tc>
      </w:tr>
    </w:tbl>
    <w:p>
      <w:pPr>
        <w:spacing w:after="120" w:before="0"/>
      </w:pPr>
    </w:p>
    <w:p>
      <w:pPr>
        <w:pStyle w:val="Heading2"/>
        <w:keepNext/>
      </w:pPr>
      <w:bookmarkStart w:name="sec_4_2" w:id="24"/>
      <w:r>
        <w:rPr>
          <w:rFonts w:ascii="Arial" w:cs="Arial" w:eastAsia="Arial" w:hAnsi="Arial"/>
        </w:rPr>
        <w:t xml:space="preserve">4.2 Ascent client tiers (all technical repair jobs)</w:t>
      </w:r>
      <w:bookmarkEnd w:id="24"/>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2846"/>
        <w:gridCol w:w="2846"/>
        <w:gridCol w:w="2846"/>
      </w:tblGrid>
      <w:tr>
        <w:trPr>
          <w:cantSplit/>
          <w:tblHeader/>
        </w:trPr>
        <w:tc>
          <w:tcPr>
            <w:tcW w:type="dxa" w:w="15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284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A1: Small brand</w:t>
            </w:r>
          </w:p>
        </w:tc>
        <w:tc>
          <w:tcPr>
            <w:tcW w:type="dxa" w:w="284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A2: Growing brand</w:t>
            </w:r>
          </w:p>
        </w:tc>
        <w:tc>
          <w:tcPr>
            <w:tcW w:type="dxa" w:w="284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A3: Large brand</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Annual revenue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$1M–$3M</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$3M–$20M</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$20M–$50M+</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Estimated monthly sales</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$83k–$250k</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$250k–$1.67M</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$1.67M–$4.2M+</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Typical team size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3–10 people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8–40 people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40–80+ people</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Active Klaviyo subscribers</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10k–40k</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40k–250k</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250k–1M+</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sent per month</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50k–250k</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250k–1.5M</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1.5M–8M+</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 signs the contract</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(under $5M); Head of Marketing above</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or VP; finance reviews</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Common reason for calling</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is rewriting their sender; shared Klaviyo domain; fake subscribers; rising bill</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landing in Microsoft spam; sudden bounce spike; worried about Black Friday</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Moving to a new sending domain; enforcing security settings; recovering from an incident</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we pitch it</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"Fix the foundation once, for under 0.5% of revenue"</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"Protect the channel that earns you $1M+ a year"</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specialist repair your team can hand off, no disruption to sending"</w:t>
            </w:r>
          </w:p>
        </w:tc>
      </w:tr>
    </w:tbl>
    <w:p>
      <w:pPr>
        <w:spacing w:after="120" w:before="0"/>
      </w:pPr>
    </w:p>
    <w:p>
      <w:pPr>
        <w:pStyle w:val="Heading2"/>
        <w:keepNext/>
      </w:pPr>
      <w:bookmarkStart w:name="sec_4_3" w:id="25"/>
      <w:r>
        <w:rPr>
          <w:rFonts w:ascii="Arial" w:cs="Arial" w:eastAsia="Arial" w:hAnsi="Arial"/>
        </w:rPr>
        <w:t xml:space="preserve">4.3 Lhotse client tiers (monthly retainer)</w:t>
      </w:r>
      <w:bookmarkEnd w:id="25"/>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1"/>
        <w:gridCol w:w="2797"/>
        <w:gridCol w:w="2505"/>
        <w:gridCol w:w="2797"/>
      </w:tblGrid>
      <w:tr>
        <w:trPr>
          <w:cantSplit/>
          <w:tblHeader/>
        </w:trPr>
        <w:tc>
          <w:tcPr>
            <w:tcW w:type="dxa" w:w="19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27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L1: Entry</w:t>
            </w:r>
          </w:p>
        </w:tc>
        <w:tc>
          <w:tcPr>
            <w:tcW w:type="dxa" w:w="250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L2: Core (sweet spot)</w:t>
            </w:r>
          </w:p>
        </w:tc>
        <w:tc>
          <w:tcPr>
            <w:tcW w:type="dxa" w:w="27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L3: Scale</w:t>
            </w:r>
          </w:p>
        </w:tc>
      </w:tr>
      <w:tr>
        <w:trPr>
          <w:cantSplit/>
        </w:trPr>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Annual revenue</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$3M–$5M</w:t>
            </w:r>
          </w:p>
        </w:tc>
        <w:tc>
          <w:tcPr>
            <w:tcW w:type="dxa" w:w="25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$5M–$12M</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$12M–$20M</w:t>
            </w:r>
          </w:p>
        </w:tc>
      </w:tr>
      <w:tr>
        <w:trPr>
          <w:cantSplit/>
        </w:trPr>
        <w:tc>
          <w:tcPr>
            <w:tcW w:type="dxa" w:w="19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revenue (at 20–30%)</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$600k–$1.5M</w:t>
            </w:r>
          </w:p>
        </w:tc>
        <w:tc>
          <w:tcPr>
            <w:tcW w:type="dxa" w:w="25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$1.0M–$3.6M</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$2.4M–$6.0M</w:t>
            </w:r>
          </w:p>
        </w:tc>
      </w:tr>
      <w:tr>
        <w:trPr>
          <w:cantSplit/>
        </w:trPr>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Suggested price</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Core ($3,000–$3,500)</w:t>
            </w:r>
          </w:p>
        </w:tc>
        <w:tc>
          <w:tcPr>
            <w:tcW w:type="dxa" w:w="25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($3,500–$4,500)</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Scale ($4,500–$5,500)</w:t>
            </w:r>
          </w:p>
        </w:tc>
      </w:tr>
      <w:tr>
        <w:trPr>
          <w:cantSplit/>
        </w:trPr>
        <w:tc>
          <w:tcPr>
            <w:tcW w:type="dxa" w:w="19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Retainer as share of email revenue</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2.4–7%</w:t>
            </w:r>
          </w:p>
        </w:tc>
        <w:tc>
          <w:tcPr>
            <w:tcW w:type="dxa" w:w="25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1.2–5.4%</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0.9–2.8%</w:t>
            </w:r>
          </w:p>
        </w:tc>
      </w:tr>
      <w:tr>
        <w:trPr>
          <w:cantSplit/>
        </w:trPr>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 makes the decision</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c>
          <w:tcPr>
            <w:tcW w:type="dxa" w:w="25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Head of Marketing or Head of Growth</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or VP of Marketing; a retention person influences the decision</w:t>
            </w:r>
          </w:p>
        </w:tc>
      </w:tr>
      <w:tr>
        <w:trPr>
          <w:cantSplit/>
        </w:trPr>
        <w:tc>
          <w:tcPr>
            <w:tcW w:type="dxa" w:w="19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they do instead today</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freelancer, or the founder doing it themselves</w:t>
            </w:r>
          </w:p>
        </w:tc>
        <w:tc>
          <w:tcPr>
            <w:tcW w:type="dxa" w:w="25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to hire their first email specialist</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an in-house team but also uses an agency</w:t>
            </w:r>
          </w:p>
        </w:tc>
      </w:tr>
      <w:tr>
        <w:trPr>
          <w:cantSplit/>
        </w:trPr>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we pitch it</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full retention team for less than one hire"</w:t>
            </w:r>
          </w:p>
        </w:tc>
        <w:tc>
          <w:tcPr>
            <w:tcW w:type="dxa" w:w="25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"Stop hiring for skills you need part-time"</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"Strategy, delivery, and testing your team doesn't have time for"</w:t>
            </w:r>
          </w:p>
        </w:tc>
      </w:tr>
    </w:tbl>
    <w:p>
      <w:pPr>
        <w:spacing w:after="120" w:before="0"/>
      </w:pPr>
    </w:p>
    <w:p>
      <w:pPr>
        <w:pStyle w:val="Heading3"/>
        <w:keepNext/>
      </w:pPr>
      <w:r>
        <w:rPr>
          <w:rFonts w:ascii="Arial" w:cs="Arial" w:eastAsia="Arial" w:hAnsi="Arial"/>
        </w:rPr>
        <w:t xml:space="preserve">Brands outside the Lhotse range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3"/>
        <w:gridCol w:w="5436"/>
        <w:gridCol w:w="3511"/>
      </w:tblGrid>
      <w:tr>
        <w:trPr>
          <w:cantSplit/>
          <w:tblHeader/>
        </w:trPr>
        <w:tc>
          <w:tcPr>
            <w:tcW w:type="dxa" w:w="11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Brand size</w:t>
            </w:r>
          </w:p>
        </w:tc>
        <w:tc>
          <w:tcPr>
            <w:tcW w:type="dxa" w:w="54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Lhotse does not fit</w:t>
            </w:r>
          </w:p>
        </w:tc>
        <w:tc>
          <w:tcPr>
            <w:tcW w:type="dxa" w:w="351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sell</w:t>
            </w:r>
          </w:p>
        </w:tc>
      </w:tr>
      <w:tr>
        <w:trPr>
          <w:cantSplit/>
        </w:trPr>
        <w:tc>
          <w:tcPr>
            <w:tcW w:type="dxa" w:w="11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$3M</w:t>
            </w:r>
          </w:p>
        </w:tc>
        <w:tc>
          <w:tcPr>
            <w:tcW w:type="dxa" w:w="54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would take 12–22% of a $1.5M brand's email revenue, which is too much</w:t>
            </w:r>
          </w:p>
        </w:tc>
        <w:tc>
          <w:tcPr>
            <w:tcW w:type="dxa" w:w="35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Sell Ascent and revisit later</w:t>
            </w:r>
          </w:p>
        </w:tc>
      </w:tr>
      <w:tr>
        <w:trPr>
          <w:cantSplit/>
        </w:trPr>
        <w:tc>
          <w:tcPr>
            <w:tcW w:type="dxa" w:w="11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$20M</w:t>
            </w:r>
          </w:p>
        </w:tc>
        <w:tc>
          <w:tcPr>
            <w:tcW w:type="dxa" w:w="54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These brands usually have in-house retention teams</w:t>
            </w:r>
          </w:p>
        </w:tc>
        <w:tc>
          <w:tcPr>
            <w:tcW w:type="dxa" w:w="35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is the right entry point</w:t>
            </w:r>
          </w:p>
        </w:tc>
      </w:tr>
    </w:tbl>
    <w:p>
      <w:pPr>
        <w:spacing w:after="120" w:before="0"/>
      </w:pPr>
    </w:p>
    <w:p>
      <w:pPr>
        <w:pStyle w:val="Heading3"/>
        <w:keepNext/>
      </w:pPr>
      <w:r>
        <w:rPr>
          <w:rFonts w:ascii="Arial" w:cs="Arial" w:eastAsia="Arial" w:hAnsi="Arial"/>
        </w:rPr>
        <w:t xml:space="preserve">Revenue floors by product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3"/>
        <w:gridCol w:w="2898"/>
        <w:gridCol w:w="4829"/>
      </w:tblGrid>
      <w:tr>
        <w:trPr>
          <w:cantSplit/>
          <w:tblHeader/>
        </w:trPr>
        <w:tc>
          <w:tcPr>
            <w:tcW w:type="dxa" w:w="23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28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Minimum revenue for Lhotse</w:t>
            </w:r>
          </w:p>
        </w:tc>
        <w:tc>
          <w:tcPr>
            <w:tcW w:type="dxa" w:w="48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Reason</w:t>
            </w:r>
          </w:p>
        </w:tc>
      </w:tr>
      <w:tr>
        <w:trPr>
          <w:cantSplit/>
        </w:trPr>
        <w:tc>
          <w:tcPr>
            <w:tcW w:type="dxa" w:w="23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skincare</w:t>
            </w:r>
          </w:p>
        </w:tc>
        <w:tc>
          <w:tcPr>
            <w:tcW w:type="dxa" w:w="28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w:t>
            </w:r>
          </w:p>
        </w:tc>
        <w:tc>
          <w:tcPr>
            <w:tcW w:type="dxa" w:w="4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$39 profit per repeat order</w:t>
            </w:r>
          </w:p>
        </w:tc>
      </w:tr>
      <w:tr>
        <w:trPr>
          <w:cantSplit/>
        </w:trPr>
        <w:tc>
          <w:tcPr>
            <w:tcW w:type="dxa" w:w="23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 supplements</w:t>
            </w:r>
          </w:p>
        </w:tc>
        <w:tc>
          <w:tcPr>
            <w:tcW w:type="dxa" w:w="28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w:t>
            </w:r>
          </w:p>
        </w:tc>
        <w:tc>
          <w:tcPr>
            <w:tcW w:type="dxa" w:w="4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 margins and a 30-day reorder cycle</w:t>
            </w:r>
          </w:p>
        </w:tc>
      </w:tr>
      <w:tr>
        <w:trPr>
          <w:cantSplit/>
        </w:trPr>
        <w:tc>
          <w:tcPr>
            <w:tcW w:type="dxa" w:w="23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 supplies</w:t>
            </w:r>
          </w:p>
        </w:tc>
        <w:tc>
          <w:tcPr>
            <w:tcW w:type="dxa" w:w="28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$4M</w:t>
            </w:r>
          </w:p>
        </w:tc>
        <w:tc>
          <w:tcPr>
            <w:tcW w:type="dxa" w:w="4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about $22 profit per repeat order</w:t>
            </w:r>
          </w:p>
        </w:tc>
      </w:tr>
      <w:tr>
        <w:trPr>
          <w:cantSplit/>
        </w:trPr>
        <w:tc>
          <w:tcPr>
            <w:tcW w:type="dxa" w:w="23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28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w:t>
            </w:r>
          </w:p>
        </w:tc>
        <w:tc>
          <w:tcPr>
            <w:tcW w:type="dxa" w:w="4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about $17 profit per repeat order</w:t>
            </w:r>
          </w:p>
        </w:tc>
      </w:tr>
    </w:tbl>
    <w:p>
      <w:pPr>
        <w:spacing w:after="120" w:before="0"/>
      </w:pPr>
    </w:p>
    <w:p>
      <w:pPr>
        <w:spacing w:after="160" w:before="0"/>
      </w:pPr>
      <w:r>
        <w:rPr>
          <w:rFonts w:ascii="Arial" w:cs="Arial" w:eastAsia="Arial" w:hAnsi="Arial"/>
          <w:i/>
          <w:iCs/>
          <w:color w:val="5B6573"/>
          <w:sz w:val="16"/>
          <w:szCs w:val="16"/>
        </w:rPr>
        <w:t xml:space="preserve">Source: profit data in Section 7.</w:t>
      </w:r>
    </w:p>
    <w:p>
      <w:r>
        <w:rPr>
          <w:rFonts w:ascii="Arial" w:cs="Arial" w:eastAsia="Arial" w:hAnsi="Arial"/>
          <w:sz w:val="20"/>
          <w:szCs w:val="20"/>
        </w:rPr>
        <w:t xml:space="preserve">A food or pet brand with unusually large orders (above about $90 average) or a strong subscription base can qualify at $3M.</w:t>
      </w:r>
    </w:p>
    <w:p>
      <w:pPr>
        <w:pStyle w:val="Heading2"/>
        <w:keepNext/>
      </w:pPr>
      <w:bookmarkStart w:name="sec_4_4" w:id="26"/>
      <w:r>
        <w:rPr>
          <w:rFonts w:ascii="Arial" w:cs="Arial" w:eastAsia="Arial" w:hAnsi="Arial"/>
        </w:rPr>
        <w:t xml:space="preserve">4.4 Why these four product types</w:t>
      </w:r>
      <w:bookmarkEnd w:id="26"/>
    </w:p>
    <w:p>
      <w:r>
        <w:rPr>
          <w:rFonts w:ascii="Arial" w:cs="Arial" w:eastAsia="Arial" w:hAnsi="Arial"/>
          <w:sz w:val="20"/>
          <w:szCs w:val="20"/>
        </w:rPr>
        <w:t xml:space="preserve">US Klaviyo users are more concentrated in these categories than the average Shopify store.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53"/>
        <w:gridCol w:w="3448"/>
        <w:gridCol w:w="3979"/>
      </w:tblGrid>
      <w:tr>
        <w:trPr>
          <w:cantSplit/>
          <w:tblHeader/>
        </w:trPr>
        <w:tc>
          <w:tcPr>
            <w:tcW w:type="dxa" w:w="26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Category</w:t>
            </w:r>
          </w:p>
        </w:tc>
        <w:tc>
          <w:tcPr>
            <w:tcW w:type="dxa" w:w="34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 of US Klaviyo stores</w:t>
            </w:r>
          </w:p>
        </w:tc>
        <w:tc>
          <w:tcPr>
            <w:tcW w:type="dxa" w:w="397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 of all US Shopify stores</w:t>
            </w:r>
          </w:p>
        </w:tc>
      </w:tr>
      <w:tr>
        <w:trPr>
          <w:cantSplit/>
        </w:trPr>
        <w:tc>
          <w:tcPr>
            <w:tcW w:type="dxa" w:w="26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fitness</w:t>
            </w:r>
          </w:p>
        </w:tc>
        <w:tc>
          <w:tcPr>
            <w:tcW w:type="dxa" w:w="34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12.8%</w:t>
            </w:r>
          </w:p>
        </w:tc>
        <w:tc>
          <w:tcPr>
            <w:tcW w:type="dxa" w:w="397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10.9%</w:t>
            </w:r>
          </w:p>
        </w:tc>
      </w:tr>
      <w:tr>
        <w:trPr>
          <w:cantSplit/>
        </w:trPr>
        <w:tc>
          <w:tcPr>
            <w:tcW w:type="dxa" w:w="26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34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8.8%</w:t>
            </w:r>
          </w:p>
        </w:tc>
        <w:tc>
          <w:tcPr>
            <w:tcW w:type="dxa" w:w="397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7.1%</w:t>
            </w:r>
          </w:p>
        </w:tc>
      </w:tr>
      <w:tr>
        <w:trPr>
          <w:cantSplit/>
        </w:trPr>
        <w:tc>
          <w:tcPr>
            <w:tcW w:type="dxa" w:w="26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w:t>
            </w:r>
          </w:p>
        </w:tc>
        <w:tc>
          <w:tcPr>
            <w:tcW w:type="dxa" w:w="34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7.3%</w:t>
            </w:r>
          </w:p>
        </w:tc>
        <w:tc>
          <w:tcPr>
            <w:tcW w:type="dxa" w:w="397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w:t>
            </w:r>
          </w:p>
        </w:tc>
      </w:tr>
    </w:tbl>
    <w:p>
      <w:pPr>
        <w:spacing w:after="120" w:before="0"/>
      </w:pPr>
    </w:p>
    <w:p>
      <w:r>
        <w:rPr>
          <w:rFonts w:ascii="Arial" w:cs="Arial" w:eastAsia="Arial" w:hAnsi="Arial"/>
          <w:sz w:val="20"/>
          <w:szCs w:val="20"/>
        </w:rPr>
        <w:t xml:space="preserve">The key is that customers </w:t>
      </w:r>
      <w:r>
        <w:rPr>
          <w:rFonts w:ascii="Arial" w:cs="Arial" w:eastAsia="Arial" w:hAnsi="Arial"/>
          <w:b/>
          <w:bCs/>
          <w:sz w:val="20"/>
          <w:szCs w:val="20"/>
        </w:rPr>
        <w:t xml:space="preserve">run out of the product and buy again</w:t>
      </w:r>
      <w:r>
        <w:rPr>
          <w:rFonts w:ascii="Arial" w:cs="Arial" w:eastAsia="Arial" w:hAnsi="Arial"/>
          <w:sz w:val="20"/>
          <w:szCs w:val="20"/>
        </w:rPr>
        <w:t xml:space="preserve">. This repeat buying is what makes email so valuable.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7"/>
        <w:gridCol w:w="1865"/>
        <w:gridCol w:w="3429"/>
        <w:gridCol w:w="3429"/>
      </w:tblGrid>
      <w:tr>
        <w:trPr>
          <w:cantSplit/>
          <w:tblHeader/>
        </w:trPr>
        <w:tc>
          <w:tcPr>
            <w:tcW w:type="dxa" w:w="135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18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Typical time between reorders</w:t>
            </w:r>
          </w:p>
        </w:tc>
        <w:tc>
          <w:tcPr>
            <w:tcW w:type="dxa" w:w="34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Best automated email sequences</w:t>
            </w:r>
          </w:p>
        </w:tc>
        <w:tc>
          <w:tcPr>
            <w:tcW w:type="dxa" w:w="34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Watch out for</w:t>
            </w:r>
          </w:p>
        </w:tc>
      </w:tr>
      <w:tr>
        <w:trPr>
          <w:cantSplit/>
        </w:trPr>
        <w:tc>
          <w:tcPr>
            <w:tcW w:type="dxa" w:w="13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Beauty and skincare</w:t>
            </w:r>
          </w:p>
        </w:tc>
        <w:tc>
          <w:tcPr>
            <w:tcW w:type="dxa" w:w="18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30–75 days</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Quiz-based welcome, reorder reminder, reviews, VIP program</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Returns because of shade match; heavy discounting culture</w:t>
            </w:r>
          </w:p>
        </w:tc>
      </w:tr>
      <w:tr>
        <w:trPr>
          <w:cantSplit/>
        </w:trPr>
        <w:tc>
          <w:tcPr>
            <w:tcW w:type="dxa" w:w="13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Health supplements</w:t>
            </w:r>
          </w:p>
        </w:tc>
        <w:tc>
          <w:tcPr>
            <w:tcW w:type="dxa" w:w="18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 days</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Reorder reminder, subscription cancellation save, education series</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 claim regulations (FTC in US, ASA in UK, TGA in Australia)</w:t>
            </w:r>
          </w:p>
        </w:tc>
      </w:tr>
      <w:tr>
        <w:trPr>
          <w:cantSplit/>
        </w:trPr>
        <w:tc>
          <w:tcPr>
            <w:tcW w:type="dxa" w:w="13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Food and drink</w:t>
            </w:r>
          </w:p>
        </w:tc>
        <w:tc>
          <w:tcPr>
            <w:tcW w:type="dxa" w:w="18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14–45 days</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Back-in-stock, reorder, seasonal</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 profit margins; products expire; expensive to ship</w:t>
            </w:r>
          </w:p>
        </w:tc>
      </w:tr>
      <w:tr>
        <w:trPr>
          <w:cantSplit/>
        </w:trPr>
        <w:tc>
          <w:tcPr>
            <w:tcW w:type="dxa" w:w="13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Pet supplies</w:t>
            </w:r>
          </w:p>
        </w:tc>
        <w:tc>
          <w:tcPr>
            <w:tcW w:type="dxa" w:w="18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30–45 days</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Reorder, pet birthday, win-back</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Competing with Chewy and Amazon Subscribe &amp; Save</w:t>
            </w:r>
          </w:p>
        </w:tc>
      </w:tr>
    </w:tbl>
    <w:p>
      <w:pPr>
        <w:spacing w:after="120" w:before="0"/>
      </w:pPr>
    </w:p>
    <w:p>
      <w:pPr>
        <w:spacing w:after="160" w:before="0"/>
      </w:pPr>
      <w:r>
        <w:rPr>
          <w:rFonts w:ascii="Arial" w:cs="Arial" w:eastAsia="Arial" w:hAnsi="Arial"/>
          <w:i/>
          <w:iCs/>
          <w:color w:val="5B6573"/>
          <w:sz w:val="16"/>
          <w:szCs w:val="16"/>
        </w:rPr>
        <w:t xml:space="preserve">Reorder timing is a planning estimate. Always replace it with the brand's own average days between orders.</w:t>
      </w:r>
    </w:p>
    <w:p>
      <w:r>
        <w:rPr>
          <w:rFonts w:ascii="Arial" w:cs="Arial" w:eastAsia="Arial" w:hAnsi="Arial"/>
          <w:sz w:val="20"/>
          <w:szCs w:val="20"/>
        </w:rPr>
        <w:t xml:space="preserve">Clothing is the largest category on Shopify (29.1% of US stores) and is a secondary target. It qualifies when repeat buying is visible, for example in basics, uniforms, or restockable essentials.</w:t>
      </w:r>
    </w:p>
    <w:p>
      <w:pPr>
        <w:pStyle w:val="Heading2"/>
        <w:keepNext/>
      </w:pPr>
      <w:bookmarkStart w:name="sec_4_5" w:id="27"/>
      <w:r>
        <w:rPr>
          <w:rFonts w:ascii="Arial" w:cs="Arial" w:eastAsia="Arial" w:hAnsi="Arial"/>
        </w:rPr>
        <w:t xml:space="preserve">4.5 Who to skip</w:t>
      </w:r>
      <w:bookmarkEnd w:id="27"/>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0"/>
        <w:gridCol w:w="3810"/>
        <w:gridCol w:w="2460"/>
      </w:tblGrid>
      <w:tr>
        <w:trPr>
          <w:cantSplit/>
          <w:tblHeader/>
        </w:trPr>
        <w:tc>
          <w:tcPr>
            <w:tcW w:type="dxa" w:w="38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we skip them</w:t>
            </w:r>
          </w:p>
        </w:tc>
        <w:tc>
          <w:tcPr>
            <w:tcW w:type="dxa" w:w="38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spot them</w:t>
            </w:r>
          </w:p>
        </w:tc>
        <w:tc>
          <w:tcPr>
            <w:tcW w:type="dxa" w:w="24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do</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Marketplace-only or mainly Amazon</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real checkout on their own site; "Buy on Amazon" is the main button</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Dropshipper</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DSers, Zendrop, AutoDS, or CJdropshipping apps; 2–4 week shipping; generic products</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Print-on-demand or creator merch</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Printful, Printify, Fourthwall, or Spring</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Does not own the customer relationship</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Resellers, affiliates, or white-label stores</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email tool, or basic Mailchimp with no automation</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welcome email after signup</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Registered-agent address</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Address matches a known business agent; founder is actually based abroad</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Verify, then re-tag or skip</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 small</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Estimated sales under $83k/month, or under the product-type floor</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 rescore in 3 months</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$50M+ with their own in-house team</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CRM job postings; large marketing team</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repair only</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 or UK brand with only a personal Gmail address</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Contact data shows a Gmail</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 not cold email</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Hired an email agency in the last 6 months</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Agency credited in emails or posts</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 revisit in 9–12 months</w:t>
            </w:r>
          </w:p>
        </w:tc>
      </w:tr>
    </w:tbl>
    <w:p>
      <w:pPr>
        <w:spacing w:after="120" w:before="0"/>
      </w:pPr>
    </w:p>
    <w:p>
      <w:pPr>
        <w:pStyle w:val="Heading2"/>
        <w:keepNext/>
      </w:pPr>
      <w:bookmarkStart w:name="sec_4_6" w:id="28"/>
      <w:r>
        <w:rPr>
          <w:rFonts w:ascii="Arial" w:cs="Arial" w:eastAsia="Arial" w:hAnsi="Arial"/>
        </w:rPr>
        <w:t xml:space="preserve">4.6 What our perfect Lhotse client looks like</w:t>
      </w:r>
      <w:bookmarkEnd w:id="28"/>
    </w:p>
    <w:p>
      <w:pPr>
        <w:spacing w:after="160" w:before="0"/>
      </w:pPr>
      <w:r>
        <w:rPr>
          <w:rFonts w:ascii="Arial" w:cs="Arial" w:eastAsia="Arial" w:hAnsi="Arial"/>
          <w:i/>
          <w:iCs/>
          <w:color w:val="5B6573"/>
          <w:sz w:val="16"/>
          <w:szCs w:val="16"/>
        </w:rPr>
        <w:t xml:space="preserve">This is an example, not a real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7"/>
        <w:gridCol w:w="6203"/>
      </w:tblGrid>
      <w:tr>
        <w:trPr>
          <w:cantSplit/>
          <w:tblHeader/>
        </w:trPr>
        <w:tc>
          <w:tcPr>
            <w:tcW w:type="dxa" w:w="38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Attribute</w:t>
            </w:r>
          </w:p>
        </w:tc>
        <w:tc>
          <w:tcPr>
            <w:tcW w:type="dxa" w:w="620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Example brand</w:t>
            </w:r>
          </w:p>
        </w:tc>
      </w:tr>
      <w:tr>
        <w:trPr>
          <w:cantSplit/>
        </w:trPr>
        <w:tc>
          <w:tcPr>
            <w:tcW w:type="dxa" w:w="3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Business</w:t>
            </w:r>
          </w:p>
        </w:tc>
        <w:tc>
          <w:tcPr>
            <w:tcW w:type="dxa" w:w="6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$7M health supplement brand, Austin, Texas</w:t>
            </w:r>
          </w:p>
        </w:tc>
      </w:tr>
      <w:tr>
        <w:trPr>
          <w:cantSplit/>
        </w:trPr>
        <w:tc>
          <w:tcPr>
            <w:tcW w:type="dxa" w:w="3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Platform</w:t>
            </w:r>
          </w:p>
        </w:tc>
        <w:tc>
          <w:tcPr>
            <w:tcW w:type="dxa" w:w="6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Plus</w:t>
            </w:r>
          </w:p>
        </w:tc>
      </w:tr>
      <w:tr>
        <w:trPr>
          <w:cantSplit/>
        </w:trPr>
        <w:tc>
          <w:tcPr>
            <w:tcW w:type="dxa" w:w="3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Own-website share of revenue</w:t>
            </w:r>
          </w:p>
        </w:tc>
        <w:tc>
          <w:tcPr>
            <w:tcW w:type="dxa" w:w="6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85%</w:t>
            </w:r>
          </w:p>
        </w:tc>
      </w:tr>
      <w:tr>
        <w:trPr>
          <w:cantSplit/>
        </w:trPr>
        <w:tc>
          <w:tcPr>
            <w:tcW w:type="dxa" w:w="3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Team</w:t>
            </w:r>
          </w:p>
        </w:tc>
        <w:tc>
          <w:tcPr>
            <w:tcW w:type="dxa" w:w="6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 staff; three-person marketing team led by a Head of Growth</w:t>
            </w:r>
          </w:p>
        </w:tc>
      </w:tr>
      <w:tr>
        <w:trPr>
          <w:cantSplit/>
        </w:trPr>
        <w:tc>
          <w:tcPr>
            <w:tcW w:type="dxa" w:w="3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Tools</w:t>
            </w:r>
          </w:p>
        </w:tc>
        <w:tc>
          <w:tcPr>
            <w:tcW w:type="dxa" w:w="6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Postscript, ReCharge, Triple Whale, Gorgias</w:t>
            </w:r>
          </w:p>
        </w:tc>
      </w:tr>
      <w:tr>
        <w:trPr>
          <w:cantSplit/>
        </w:trPr>
        <w:tc>
          <w:tcPr>
            <w:tcW w:type="dxa" w:w="3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list</w:t>
            </w:r>
          </w:p>
        </w:tc>
        <w:tc>
          <w:tcPr>
            <w:tcW w:type="dxa" w:w="6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95,000 people; only about 35,000 clicked or bought in the last six months</w:t>
            </w:r>
          </w:p>
        </w:tc>
      </w:tr>
      <w:tr>
        <w:trPr>
          <w:cantSplit/>
        </w:trPr>
        <w:tc>
          <w:tcPr>
            <w:tcW w:type="dxa" w:w="3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 sequence</w:t>
            </w:r>
          </w:p>
        </w:tc>
        <w:tc>
          <w:tcPr>
            <w:tcW w:type="dxa" w:w="6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two emails long</w:t>
            </w:r>
          </w:p>
        </w:tc>
      </w:tr>
      <w:tr>
        <w:trPr>
          <w:cantSplit/>
        </w:trPr>
        <w:tc>
          <w:tcPr>
            <w:tcW w:type="dxa" w:w="3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Reorder reminder</w:t>
            </w:r>
          </w:p>
        </w:tc>
        <w:tc>
          <w:tcPr>
            <w:tcW w:type="dxa" w:w="6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 even though 60% of revenue comes from 30-day products</w:t>
            </w:r>
          </w:p>
        </w:tc>
      </w:tr>
      <w:tr>
        <w:trPr>
          <w:cantSplit/>
        </w:trPr>
        <w:tc>
          <w:tcPr>
            <w:tcW w:type="dxa" w:w="3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share of website revenue</w:t>
            </w:r>
          </w:p>
        </w:tc>
        <w:tc>
          <w:tcPr>
            <w:tcW w:type="dxa" w:w="6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r>
    </w:tbl>
    <w:p>
      <w:pPr>
        <w:spacing w:after="120" w:before="0"/>
      </w:pPr>
    </w:p>
    <w:p>
      <w:r>
        <w:rPr>
          <w:rFonts w:ascii="Arial" w:cs="Arial" w:eastAsia="Arial" w:hAnsi="Arial"/>
          <w:b/>
          <w:bCs/>
          <w:sz w:val="20"/>
          <w:szCs w:val="20"/>
        </w:rPr>
        <w:t xml:space="preserve">This brand scores about 85 on the Lhotse Fit Score and 35 on the Ascent Urgency Score, so we lead with Lhotse.</w:t>
      </w:r>
      <w:r>
        <w:rPr>
          <w:rFonts w:ascii="Arial" w:cs="Arial" w:eastAsia="Arial" w:hAnsi="Arial"/>
          <w:sz w:val="20"/>
          <w:szCs w:val="20"/>
        </w:rPr>
        <w:t xml:space="preserve"> In the first three months, we would:</w:t>
      </w:r>
    </w:p>
    <w:p>
      <w:pPr>
        <w:pStyle w:val="ListParagraph"/>
        <w:numPr>
          <w:ilvl w:val="0"/>
          <w:numId w:val="3"/>
        </w:numPr>
        <w:spacing w:after="60"/>
      </w:pPr>
      <w:r>
        <w:rPr>
          <w:rFonts w:ascii="Arial" w:cs="Arial" w:eastAsia="Arial" w:hAnsi="Arial"/>
          <w:sz w:val="20"/>
          <w:szCs w:val="20"/>
        </w:rPr>
        <w:t xml:space="preserve">Build reorder and post-purchase email sequences.</w:t>
      </w:r>
    </w:p>
    <w:p>
      <w:pPr>
        <w:pStyle w:val="ListParagraph"/>
        <w:numPr>
          <w:ilvl w:val="0"/>
          <w:numId w:val="3"/>
        </w:numPr>
        <w:spacing w:after="60"/>
      </w:pPr>
      <w:r>
        <w:rPr>
          <w:rFonts w:ascii="Arial" w:cs="Arial" w:eastAsia="Arial" w:hAnsi="Arial"/>
          <w:sz w:val="20"/>
          <w:szCs w:val="20"/>
        </w:rPr>
        <w:t xml:space="preserve">Move campaigns to engaged-only segments.</w:t>
      </w:r>
    </w:p>
    <w:p>
      <w:pPr>
        <w:pStyle w:val="ListParagraph"/>
        <w:numPr>
          <w:ilvl w:val="0"/>
          <w:numId w:val="3"/>
        </w:numPr>
        <w:spacing w:after="60"/>
      </w:pPr>
      <w:r>
        <w:rPr>
          <w:rFonts w:ascii="Arial" w:cs="Arial" w:eastAsia="Arial" w:hAnsi="Arial"/>
          <w:sz w:val="20"/>
          <w:szCs w:val="20"/>
        </w:rPr>
        <w:t xml:space="preserve">Remove about 40,000 inactive people from the list, cutting their Klaviyo bill.</w:t>
      </w:r>
    </w:p>
    <w:p>
      <w:pPr>
        <w:pStyle w:val="ListParagraph"/>
        <w:numPr>
          <w:ilvl w:val="0"/>
          <w:numId w:val="3"/>
        </w:numPr>
        <w:spacing w:after="60"/>
      </w:pPr>
      <w:r>
        <w:rPr>
          <w:rFonts w:ascii="Arial" w:cs="Arial" w:eastAsia="Arial" w:hAnsi="Arial"/>
          <w:sz w:val="20"/>
          <w:szCs w:val="20"/>
        </w:rPr>
        <w:t xml:space="preserve">Set up a holdout test so the Head of Growth can show the founder real, proven numbers, not just platform estimates.</w:t>
      </w:r>
    </w:p>
    <w:p>
      <w:pPr>
        <w:spacing w:after="60" w:before="0"/>
      </w:pPr>
    </w:p>
    <w:p>
      <w:pPr>
        <w:pStyle w:val="Heading1"/>
        <w:keepNext/>
        <w:pageBreakBefore/>
      </w:pPr>
      <w:bookmarkStart w:name="sec_5" w:id="29"/>
      <w:r>
        <w:rPr>
          <w:rFonts w:ascii="Arial" w:cs="Arial" w:eastAsia="Arial" w:hAnsi="Arial"/>
        </w:rPr>
        <w:t xml:space="preserve">5. How Many Potential Clients Exist and Where They Are</w:t>
      </w:r>
      <w:bookmarkEnd w:id="29"/>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The usable pool of potential clients, anchored on Shopify Plus brands, is roughly </w:t>
      </w:r>
      <w:r>
        <w:rPr>
          <w:rFonts w:ascii="Arial" w:cs="Arial" w:eastAsia="Arial" w:hAnsi="Arial"/>
          <w:b/>
          <w:bCs/>
          <w:sz w:val="20"/>
          <w:szCs w:val="20"/>
        </w:rPr>
        <w:t xml:space="preserve">4,500 brands across six countries</w:t>
      </w:r>
      <w:r>
        <w:rPr>
          <w:rFonts w:ascii="Arial" w:cs="Arial" w:eastAsia="Arial" w:hAnsi="Arial"/>
          <w:sz w:val="20"/>
          <w:szCs w:val="20"/>
        </w:rPr>
        <w:t xml:space="preserve">, about two-thirds of them in the US. At our midpoint monthly fee, that pool is worth about $230M per year in possible revenue, and GrowMailers only needs to win well under 1% of it. The limit is our own delivery capacity, not the size of the market. Some cities also show thousands of Shopify stores because overseas founders register their businesses there; these are not real local brands and must be filtered out.</w:t>
      </w:r>
    </w:p>
    <w:p>
      <w:pPr>
        <w:pStyle w:val="Heading2"/>
        <w:keepNext/>
      </w:pPr>
      <w:bookmarkStart w:name="sec_5_1" w:id="30"/>
      <w:r>
        <w:rPr>
          <w:rFonts w:ascii="Arial" w:cs="Arial" w:eastAsia="Arial" w:hAnsi="Arial"/>
        </w:rPr>
        <w:t xml:space="preserve">5.1 The number of Shopify stores</w:t>
      </w:r>
      <w:bookmarkEnd w:id="30"/>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841"/>
        <w:gridCol w:w="1943"/>
        <w:gridCol w:w="2046"/>
        <w:gridCol w:w="2659"/>
      </w:tblGrid>
      <w:tr>
        <w:trPr>
          <w:cantSplit/>
          <w:tblHeader/>
        </w:trPr>
        <w:tc>
          <w:tcPr>
            <w:tcW w:type="dxa" w:w="15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184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All Shopify stores</w:t>
            </w:r>
          </w:p>
        </w:tc>
        <w:tc>
          <w:tcPr>
            <w:tcW w:type="dxa" w:w="194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Shopify Plus stores</w:t>
            </w:r>
          </w:p>
        </w:tc>
        <w:tc>
          <w:tcPr>
            <w:tcW w:type="dxa" w:w="204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Stores using Klaviyo</w:t>
            </w:r>
          </w:p>
        </w:tc>
        <w:tc>
          <w:tcPr>
            <w:tcW w:type="dxa" w:w="26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Online share of all retail</w:t>
            </w:r>
          </w:p>
        </w:tc>
      </w:tr>
      <w:tr>
        <w:trPr>
          <w:cantSplit/>
        </w:trPr>
        <w:tc>
          <w:tcPr>
            <w:tcW w:type="dxa" w:w="15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18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1,179,951</w:t>
            </w:r>
          </w:p>
        </w:tc>
        <w:tc>
          <w:tcPr>
            <w:tcW w:type="dxa" w:w="194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28,965</w:t>
            </w:r>
          </w:p>
        </w:tc>
        <w:tc>
          <w:tcPr>
            <w:tcW w:type="dxa" w:w="20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203,080</w:t>
            </w:r>
          </w:p>
        </w:tc>
        <w:tc>
          <w:tcPr>
            <w:tcW w:type="dxa" w:w="26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16.4%</w:t>
            </w:r>
          </w:p>
        </w:tc>
      </w:tr>
      <w:tr>
        <w:trPr>
          <w:cantSplit/>
        </w:trPr>
        <w:tc>
          <w:tcPr>
            <w:tcW w:type="dxa" w:w="15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18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231,312</w:t>
            </w:r>
          </w:p>
        </w:tc>
        <w:tc>
          <w:tcPr>
            <w:tcW w:type="dxa" w:w="194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6,311</w:t>
            </w:r>
          </w:p>
        </w:tc>
        <w:tc>
          <w:tcPr>
            <w:tcW w:type="dxa" w:w="20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43,546</w:t>
            </w:r>
          </w:p>
        </w:tc>
        <w:tc>
          <w:tcPr>
            <w:tcW w:type="dxa" w:w="26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27.5%</w:t>
            </w:r>
          </w:p>
        </w:tc>
      </w:tr>
      <w:tr>
        <w:trPr>
          <w:cantSplit/>
        </w:trPr>
        <w:tc>
          <w:tcPr>
            <w:tcW w:type="dxa" w:w="15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18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147,721</w:t>
            </w:r>
          </w:p>
        </w:tc>
        <w:tc>
          <w:tcPr>
            <w:tcW w:type="dxa" w:w="194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3,812</w:t>
            </w:r>
          </w:p>
        </w:tc>
        <w:tc>
          <w:tcPr>
            <w:tcW w:type="dxa" w:w="20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22,584</w:t>
            </w:r>
          </w:p>
        </w:tc>
        <w:tc>
          <w:tcPr>
            <w:tcW w:type="dxa" w:w="26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7.5%</w:t>
            </w:r>
          </w:p>
        </w:tc>
      </w:tr>
      <w:tr>
        <w:trPr>
          <w:cantSplit/>
        </w:trPr>
        <w:tc>
          <w:tcPr>
            <w:tcW w:type="dxa" w:w="15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18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138,276</w:t>
            </w:r>
          </w:p>
        </w:tc>
        <w:tc>
          <w:tcPr>
            <w:tcW w:type="dxa" w:w="194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3,725</w:t>
            </w:r>
          </w:p>
        </w:tc>
        <w:tc>
          <w:tcPr>
            <w:tcW w:type="dxa" w:w="20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35,621</w:t>
            </w:r>
          </w:p>
        </w:tc>
        <w:tc>
          <w:tcPr>
            <w:tcW w:type="dxa" w:w="26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w:t>
            </w:r>
          </w:p>
        </w:tc>
      </w:tr>
      <w:tr>
        <w:trPr>
          <w:cantSplit/>
        </w:trPr>
        <w:tc>
          <w:tcPr>
            <w:tcW w:type="dxa" w:w="15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18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26,522</w:t>
            </w:r>
          </w:p>
        </w:tc>
        <w:tc>
          <w:tcPr>
            <w:tcW w:type="dxa" w:w="194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581</w:t>
            </w:r>
          </w:p>
        </w:tc>
        <w:tc>
          <w:tcPr>
            <w:tcW w:type="dxa" w:w="20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5,322</w:t>
            </w:r>
          </w:p>
        </w:tc>
        <w:tc>
          <w:tcPr>
            <w:tcW w:type="dxa" w:w="26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available</w:t>
            </w:r>
          </w:p>
        </w:tc>
      </w:tr>
      <w:tr>
        <w:trPr>
          <w:cantSplit/>
        </w:trPr>
        <w:tc>
          <w:tcPr>
            <w:tcW w:type="dxa" w:w="15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18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12,873</w:t>
            </w:r>
          </w:p>
        </w:tc>
        <w:tc>
          <w:tcPr>
            <w:tcW w:type="dxa" w:w="194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502</w:t>
            </w:r>
          </w:p>
        </w:tc>
        <w:tc>
          <w:tcPr>
            <w:tcW w:type="dxa" w:w="20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2,786</w:t>
            </w:r>
          </w:p>
        </w:tc>
        <w:tc>
          <w:tcPr>
            <w:tcW w:type="dxa" w:w="26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5.7%</w:t>
            </w:r>
          </w:p>
        </w:tc>
      </w:tr>
      <w:tr>
        <w:trPr>
          <w:cantSplit/>
        </w:trPr>
        <w:tc>
          <w:tcPr>
            <w:tcW w:type="dxa" w:w="15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Total</w:t>
            </w:r>
          </w:p>
        </w:tc>
        <w:tc>
          <w:tcPr>
            <w:tcW w:type="dxa" w:w="18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1,736,655</w:t>
            </w:r>
          </w:p>
        </w:tc>
        <w:tc>
          <w:tcPr>
            <w:tcW w:type="dxa" w:w="194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43,896</w:t>
            </w:r>
          </w:p>
        </w:tc>
        <w:tc>
          <w:tcPr>
            <w:tcW w:type="dxa" w:w="20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312,939</w:t>
            </w:r>
          </w:p>
        </w:tc>
        <w:tc>
          <w:tcPr>
            <w:tcW w:type="dxa" w:w="26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bl>
    <w:p>
      <w:pPr>
        <w:spacing w:after="120" w:before="0"/>
      </w:pPr>
    </w:p>
    <w:p>
      <w:pPr>
        <w:spacing w:after="160" w:before="0"/>
      </w:pPr>
      <w:r>
        <w:rPr>
          <w:rFonts w:ascii="Arial" w:cs="Arial" w:eastAsia="Arial" w:hAnsi="Arial"/>
          <w:i/>
          <w:iCs/>
          <w:color w:val="5B6573"/>
          <w:sz w:val="16"/>
          <w:szCs w:val="16"/>
        </w:rPr>
        <w:t xml:space="preserve">Source: Store Leads data, 18 September 2026.</w:t>
      </w:r>
    </w:p>
    <w:p>
      <w:pPr>
        <w:pStyle w:val="Heading2"/>
        <w:keepNext/>
      </w:pPr>
      <w:bookmarkStart w:name="sec_5_2" w:id="31"/>
      <w:r>
        <w:rPr>
          <w:rFonts w:ascii="Arial" w:cs="Arial" w:eastAsia="Arial" w:hAnsi="Arial"/>
        </w:rPr>
        <w:t xml:space="preserve">5.2 Narrowing down to real prospects</w:t>
      </w:r>
      <w:bookmarkEnd w:id="31"/>
    </w:p>
    <w:p>
      <w:pPr>
        <w:pStyle w:val="Heading3"/>
        <w:keepNext/>
      </w:pPr>
      <w:r>
        <w:rPr>
          <w:rFonts w:ascii="Arial" w:cs="Arial" w:eastAsia="Arial" w:hAnsi="Arial"/>
        </w:rPr>
        <w:t xml:space="preserve">How we get from all Plus stores to real prospects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3"/>
        <w:gridCol w:w="4582"/>
        <w:gridCol w:w="1425"/>
      </w:tblGrid>
      <w:tr>
        <w:trPr>
          <w:cantSplit/>
          <w:tblHeader/>
        </w:trPr>
        <w:tc>
          <w:tcPr>
            <w:tcW w:type="dxa" w:w="40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45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Calculation</w:t>
            </w:r>
          </w:p>
        </w:tc>
        <w:tc>
          <w:tcPr>
            <w:tcW w:type="dxa" w:w="142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Result</w:t>
            </w:r>
          </w:p>
        </w:tc>
      </w:tr>
      <w:tr>
        <w:trPr>
          <w:cantSplit/>
        </w:trPr>
        <w:tc>
          <w:tcPr>
            <w:tcW w:type="dxa" w:w="4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Plus stores across six countries</w:t>
            </w:r>
          </w:p>
        </w:tc>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Starting count</w:t>
            </w:r>
          </w:p>
        </w:tc>
        <w:tc>
          <w:tcPr>
            <w:tcW w:type="dxa" w:w="142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43,896</w:t>
            </w:r>
          </w:p>
        </w:tc>
      </w:tr>
      <w:tr>
        <w:trPr>
          <w:cantSplit/>
        </w:trPr>
        <w:tc>
          <w:tcPr>
            <w:tcW w:type="dxa" w:w="4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Distinct Shopify Plus businesses</w:t>
            </w:r>
          </w:p>
        </w:tc>
        <w:tc>
          <w:tcPr>
            <w:tcW w:type="dxa" w:w="4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1.5 (some owners have multiple domains)</w:t>
            </w:r>
          </w:p>
        </w:tc>
        <w:tc>
          <w:tcPr>
            <w:tcW w:type="dxa" w:w="142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29,263</w:t>
            </w:r>
          </w:p>
        </w:tc>
      </w:tr>
      <w:tr>
        <w:trPr>
          <w:cantSplit/>
        </w:trPr>
        <w:tc>
          <w:tcPr>
            <w:tcW w:type="dxa" w:w="4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Plus brands that use Klaviyo</w:t>
            </w:r>
          </w:p>
        </w:tc>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60% using Klaviyo (planning estimate)</w:t>
            </w:r>
          </w:p>
        </w:tc>
        <w:tc>
          <w:tcPr>
            <w:tcW w:type="dxa" w:w="142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17,558</w:t>
            </w:r>
          </w:p>
        </w:tc>
      </w:tr>
      <w:tr>
        <w:trPr>
          <w:cantSplit/>
        </w:trPr>
        <w:tc>
          <w:tcPr>
            <w:tcW w:type="dxa" w:w="4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Brands in our target product types</w:t>
            </w:r>
          </w:p>
        </w:tc>
        <w:tc>
          <w:tcPr>
            <w:tcW w:type="dxa" w:w="4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30% in beauty, supplements, food, or pets</w:t>
            </w:r>
          </w:p>
        </w:tc>
        <w:tc>
          <w:tcPr>
            <w:tcW w:type="dxa" w:w="142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5,268</w:t>
            </w:r>
          </w:p>
        </w:tc>
      </w:tr>
      <w:tr>
        <w:trPr>
          <w:cantSplit/>
        </w:trPr>
        <w:tc>
          <w:tcPr>
            <w:tcW w:type="dxa" w:w="4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Real prospect pool</w:t>
            </w:r>
          </w:p>
        </w:tc>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85% after removing dropshippers and similar</w:t>
            </w:r>
          </w:p>
        </w:tc>
        <w:tc>
          <w:tcPr>
            <w:tcW w:type="dxa" w:w="142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 4,478 brands</w:t>
            </w:r>
          </w:p>
        </w:tc>
      </w:tr>
    </w:tbl>
    <w:p>
      <w:pPr>
        <w:spacing w:after="120" w:before="0"/>
      </w:pPr>
    </w:p>
    <w:p>
      <w:pPr>
        <w:pStyle w:val="Heading3"/>
        <w:keepNext/>
      </w:pPr>
      <w:r>
        <w:rPr>
          <w:rFonts w:ascii="Arial" w:cs="Arial" w:eastAsia="Arial" w:hAnsi="Arial"/>
        </w:rPr>
        <w:t xml:space="preserve">Prospect pool by country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8"/>
        <w:gridCol w:w="1988"/>
        <w:gridCol w:w="1360"/>
        <w:gridCol w:w="2321"/>
        <w:gridCol w:w="1883"/>
        <w:gridCol w:w="900"/>
      </w:tblGrid>
      <w:tr>
        <w:trPr>
          <w:cantSplit/>
          <w:tblHeader/>
        </w:trPr>
        <w:tc>
          <w:tcPr>
            <w:tcW w:type="dxa" w:w="162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19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Shopify Plus brands</w:t>
            </w:r>
          </w:p>
        </w:tc>
        <w:tc>
          <w:tcPr>
            <w:tcW w:type="dxa" w:w="13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Using Klaviyo</w:t>
            </w:r>
          </w:p>
        </w:tc>
        <w:tc>
          <w:tcPr>
            <w:tcW w:type="dxa" w:w="232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In target product types</w:t>
            </w:r>
          </w:p>
        </w:tc>
        <w:tc>
          <w:tcPr>
            <w:tcW w:type="dxa" w:w="18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Real prospect pool</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19,310</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11,586</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3,476</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2,955</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66%</w:t>
            </w:r>
          </w:p>
        </w:tc>
      </w:tr>
      <w:tr>
        <w:trPr>
          <w:cantSplit/>
        </w:trPr>
        <w:tc>
          <w:tcPr>
            <w:tcW w:type="dxa" w:w="16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1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4,207</w:t>
            </w:r>
          </w:p>
        </w:tc>
        <w:tc>
          <w:tcPr>
            <w:tcW w:type="dxa" w:w="1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2,524</w:t>
            </w:r>
          </w:p>
        </w:tc>
        <w:tc>
          <w:tcPr>
            <w:tcW w:type="dxa" w:w="23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757</w:t>
            </w:r>
          </w:p>
        </w:tc>
        <w:tc>
          <w:tcPr>
            <w:tcW w:type="dxa" w:w="18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643</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2,541</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1,525</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458</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389</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w:t>
            </w:r>
          </w:p>
        </w:tc>
      </w:tr>
      <w:tr>
        <w:trPr>
          <w:cantSplit/>
        </w:trPr>
        <w:tc>
          <w:tcPr>
            <w:tcW w:type="dxa" w:w="16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1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2,483</w:t>
            </w:r>
          </w:p>
        </w:tc>
        <w:tc>
          <w:tcPr>
            <w:tcW w:type="dxa" w:w="1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1,490</w:t>
            </w:r>
          </w:p>
        </w:tc>
        <w:tc>
          <w:tcPr>
            <w:tcW w:type="dxa" w:w="23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447</w:t>
            </w:r>
          </w:p>
        </w:tc>
        <w:tc>
          <w:tcPr>
            <w:tcW w:type="dxa" w:w="18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380</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387</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232</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70</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60</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r>
      <w:tr>
        <w:trPr>
          <w:cantSplit/>
        </w:trPr>
        <w:tc>
          <w:tcPr>
            <w:tcW w:type="dxa" w:w="16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1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335</w:t>
            </w:r>
          </w:p>
        </w:tc>
        <w:tc>
          <w:tcPr>
            <w:tcW w:type="dxa" w:w="1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201</w:t>
            </w:r>
          </w:p>
        </w:tc>
        <w:tc>
          <w:tcPr>
            <w:tcW w:type="dxa" w:w="23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w:t>
            </w:r>
          </w:p>
        </w:tc>
        <w:tc>
          <w:tcPr>
            <w:tcW w:type="dxa" w:w="18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51</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Total</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29,263</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17,558</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5,268</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4,478</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w:t>
            </w:r>
          </w:p>
        </w:tc>
      </w:tr>
    </w:tbl>
    <w:p>
      <w:pPr>
        <w:spacing w:after="120" w:before="0"/>
      </w:pPr>
    </w:p>
    <w:p>
      <w:pPr>
        <w:spacing w:after="160" w:before="0"/>
      </w:pPr>
      <w:r>
        <w:rPr>
          <w:rFonts w:ascii="Arial" w:cs="Arial" w:eastAsia="Arial" w:hAnsi="Arial"/>
          <w:i/>
          <w:iCs/>
          <w:color w:val="5B6573"/>
          <w:sz w:val="16"/>
          <w:szCs w:val="16"/>
        </w:rPr>
        <w:t xml:space="preserve">These are estimates. Australia's real number is probably higher.</w:t>
      </w:r>
    </w:p>
    <w:p>
      <w:r>
        <w:rPr>
          <w:rFonts w:ascii="Arial" w:cs="Arial" w:eastAsia="Arial" w:hAnsi="Arial"/>
          <w:b/>
          <w:bCs/>
          <w:sz w:val="20"/>
          <w:szCs w:val="20"/>
        </w:rPr>
        <w:t xml:space="preserve">Important:</w:t>
      </w:r>
      <w:r>
        <w:rPr>
          <w:rFonts w:ascii="Arial" w:cs="Arial" w:eastAsia="Arial" w:hAnsi="Arial"/>
          <w:sz w:val="20"/>
          <w:szCs w:val="20"/>
        </w:rPr>
        <w:t xml:space="preserve"> This only counts Shopify Plus stores. Many smaller brands ($1M to $5M) use regular Shopify and are not counted here, so the real pool is larger.</w:t>
      </w:r>
    </w:p>
    <w:p>
      <w:r>
        <w:rPr>
          <w:rFonts w:ascii="Arial" w:cs="Arial" w:eastAsia="Arial" w:hAnsi="Arial"/>
          <w:b/>
          <w:bCs/>
          <w:sz w:val="20"/>
          <w:szCs w:val="20"/>
        </w:rPr>
        <w:t xml:space="preserve">Validation step:</w:t>
      </w:r>
      <w:r>
        <w:rPr>
          <w:rFonts w:ascii="Arial" w:cs="Arial" w:eastAsia="Arial" w:hAnsi="Arial"/>
          <w:sz w:val="20"/>
          <w:szCs w:val="20"/>
        </w:rPr>
        <w:t xml:space="preserve"> Use GrowMailers' paid Store Leads account to export real counts by country, filtered to Klaviyo and our categories, in specific revenue ranges. Replace these estimates with real data.</w:t>
      </w:r>
    </w:p>
    <w:p>
      <w:pPr>
        <w:pStyle w:val="Heading3"/>
        <w:keepNext/>
      </w:pPr>
      <w:r>
        <w:rPr>
          <w:rFonts w:ascii="Arial" w:cs="Arial" w:eastAsia="Arial" w:hAnsi="Arial"/>
        </w:rPr>
        <w:t xml:space="preserve">Market size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5"/>
        <w:gridCol w:w="3655"/>
        <w:gridCol w:w="1096"/>
        <w:gridCol w:w="3654"/>
      </w:tblGrid>
      <w:tr>
        <w:trPr>
          <w:cantSplit/>
          <w:tblHeader/>
        </w:trPr>
        <w:tc>
          <w:tcPr>
            <w:tcW w:type="dxa" w:w="167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Level</w:t>
            </w:r>
          </w:p>
        </w:tc>
        <w:tc>
          <w:tcPr>
            <w:tcW w:type="dxa" w:w="365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includes</w:t>
            </w:r>
          </w:p>
        </w:tc>
        <w:tc>
          <w:tcPr>
            <w:tcW w:type="dxa" w:w="109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Number of brands</w:t>
            </w:r>
          </w:p>
        </w:tc>
        <w:tc>
          <w:tcPr>
            <w:tcW w:type="dxa" w:w="365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Annual value</w:t>
            </w:r>
          </w:p>
        </w:tc>
      </w:tr>
      <w:tr>
        <w:trPr>
          <w:cantSplit/>
        </w:trPr>
        <w:tc>
          <w:tcPr>
            <w:tcW w:type="dxa" w:w="16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Total market</w:t>
            </w:r>
          </w:p>
        </w:tc>
        <w:tc>
          <w:tcPr>
            <w:tcW w:type="dxa" w:w="36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Plus brands on Klaviyo, any product type</w:t>
            </w:r>
          </w:p>
        </w:tc>
        <w:tc>
          <w:tcPr>
            <w:tcW w:type="dxa" w:w="109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17,558</w:t>
            </w:r>
          </w:p>
        </w:tc>
        <w:tc>
          <w:tcPr>
            <w:tcW w:type="dxa" w:w="36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$895M</w:t>
            </w:r>
          </w:p>
        </w:tc>
      </w:tr>
      <w:tr>
        <w:trPr>
          <w:cantSplit/>
        </w:trPr>
        <w:tc>
          <w:tcPr>
            <w:tcW w:type="dxa" w:w="16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Reachable market</w:t>
            </w:r>
          </w:p>
        </w:tc>
        <w:tc>
          <w:tcPr>
            <w:tcW w:type="dxa" w:w="36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Our four product types</w:t>
            </w:r>
          </w:p>
        </w:tc>
        <w:tc>
          <w:tcPr>
            <w:tcW w:type="dxa" w:w="109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4,478</w:t>
            </w:r>
          </w:p>
        </w:tc>
        <w:tc>
          <w:tcPr>
            <w:tcW w:type="dxa" w:w="365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$228M retainer value + ≈ $22M one-time Ascent</w:t>
            </w:r>
          </w:p>
        </w:tc>
      </w:tr>
      <w:tr>
        <w:trPr>
          <w:cantSplit/>
        </w:trPr>
        <w:tc>
          <w:tcPr>
            <w:tcW w:type="dxa" w:w="16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Target in 12–24 months</w:t>
            </w:r>
          </w:p>
        </w:tc>
        <w:tc>
          <w:tcPr>
            <w:tcW w:type="dxa" w:w="36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12–20 Lhotse clients and 30–50 Ascent projects per year</w:t>
            </w:r>
          </w:p>
        </w:tc>
        <w:tc>
          <w:tcPr>
            <w:tcW w:type="dxa" w:w="109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42–70</w:t>
            </w:r>
          </w:p>
        </w:tc>
        <w:tc>
          <w:tcPr>
            <w:tcW w:type="dxa" w:w="36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$760k–$1.27M/year (0.3–0.5% of reachable market)</w:t>
            </w:r>
          </w:p>
        </w:tc>
      </w:tr>
    </w:tbl>
    <w:p>
      <w:pPr>
        <w:spacing w:after="120" w:before="0"/>
      </w:pPr>
    </w:p>
    <w:p>
      <w:pPr>
        <w:spacing w:after="160" w:before="0"/>
      </w:pPr>
      <w:r>
        <w:rPr>
          <w:rFonts w:ascii="Arial" w:cs="Arial" w:eastAsia="Arial" w:hAnsi="Arial"/>
          <w:i/>
          <w:iCs/>
          <w:color w:val="5B6573"/>
          <w:sz w:val="16"/>
          <w:szCs w:val="16"/>
        </w:rPr>
        <w:t xml:space="preserve">Delivery capacity limits us, not demand.</w:t>
      </w:r>
    </w:p>
    <w:p>
      <w:pPr>
        <w:pStyle w:val="Heading2"/>
        <w:keepNext/>
      </w:pPr>
      <w:bookmarkStart w:name="sec_5_3" w:id="32"/>
      <w:r>
        <w:rPr>
          <w:rFonts w:ascii="Arial" w:cs="Arial" w:eastAsia="Arial" w:hAnsi="Arial"/>
        </w:rPr>
        <w:t xml:space="preserve">5.3 Each country's role</w:t>
      </w:r>
      <w:bookmarkEnd w:id="32"/>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339"/>
        <w:gridCol w:w="2553"/>
        <w:gridCol w:w="1615"/>
        <w:gridCol w:w="2673"/>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233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Role</w:t>
            </w:r>
          </w:p>
        </w:tc>
        <w:tc>
          <w:tcPr>
            <w:tcW w:type="dxa" w:w="25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Key cities</w:t>
            </w:r>
          </w:p>
        </w:tc>
        <w:tc>
          <w:tcPr>
            <w:tcW w:type="dxa" w:w="16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 risk</w:t>
            </w:r>
          </w:p>
        </w:tc>
        <w:tc>
          <w:tcPr>
            <w:tcW w:type="dxa" w:w="26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Special notes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United States</w:t>
            </w:r>
          </w:p>
        </w:tc>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Primary, year-round (~2,955 brands)</w:t>
            </w:r>
          </w:p>
        </w:tc>
        <w:tc>
          <w:tcPr>
            <w:tcW w:type="dxa" w:w="25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California, New York, Florida, Texas, New Jersey, Utah</w:t>
            </w:r>
          </w:p>
        </w:tc>
        <w:tc>
          <w:tcPr>
            <w:tcW w:type="dxa" w:w="1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is dominant (54.4%)</w:t>
            </w:r>
          </w:p>
        </w:tc>
        <w:tc>
          <w:tcPr>
            <w:tcW w:type="dxa" w:w="26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 lenient B2B email laws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United Kingdom</w:t>
            </w:r>
          </w:p>
        </w:tc>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Secondary; best in Q1 (~643)</w:t>
            </w:r>
          </w:p>
        </w:tc>
        <w:tc>
          <w:tcPr>
            <w:tcW w:type="dxa" w:w="25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London (52,471 stores)</w:t>
            </w:r>
          </w:p>
        </w:tc>
        <w:tc>
          <w:tcPr>
            <w:tcW w:type="dxa" w:w="1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is 32.3% of inboxes</w:t>
            </w:r>
          </w:p>
        </w:tc>
        <w:tc>
          <w:tcPr>
            <w:tcW w:type="dxa" w:w="26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Always test Microsoft delivery in every audit</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Australia</w:t>
            </w:r>
          </w:p>
        </w:tc>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Secondary; best Jan–Mar and Jul–Aug (~380)</w:t>
            </w:r>
          </w:p>
        </w:tc>
        <w:tc>
          <w:tcPr>
            <w:tcW w:type="dxa" w:w="25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South Wales, Victoria</w:t>
            </w:r>
          </w:p>
        </w:tc>
        <w:tc>
          <w:tcPr>
            <w:tcW w:type="dxa" w:w="1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is 30.2% of inboxes</w:t>
            </w:r>
          </w:p>
        </w:tc>
        <w:tc>
          <w:tcPr>
            <w:tcW w:type="dxa" w:w="26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 experienced Klaviyo market; lead with depth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Canada</w:t>
            </w:r>
          </w:p>
        </w:tc>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Selective (~389)</w:t>
            </w:r>
          </w:p>
        </w:tc>
        <w:tc>
          <w:tcPr>
            <w:tcW w:type="dxa" w:w="25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Ontario (44.7%), Quebec (19.5%)</w:t>
            </w:r>
          </w:p>
        </w:tc>
        <w:tc>
          <w:tcPr>
            <w:tcW w:type="dxa" w:w="1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is 27.9%</w:t>
            </w:r>
          </w:p>
        </w:tc>
        <w:tc>
          <w:tcPr>
            <w:tcW w:type="dxa" w:w="26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Strictest email marketing laws (CASL); Quebec needs French</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Ireland</w:t>
            </w:r>
          </w:p>
        </w:tc>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Add-on to UK (~51)</w:t>
            </w:r>
          </w:p>
        </w:tc>
        <w:tc>
          <w:tcPr>
            <w:tcW w:type="dxa" w:w="25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Dublin</w:t>
            </w:r>
          </w:p>
        </w:tc>
        <w:tc>
          <w:tcPr>
            <w:tcW w:type="dxa" w:w="1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Microsoft-heavy (estimated)</w:t>
            </w:r>
          </w:p>
        </w:tc>
        <w:tc>
          <w:tcPr>
            <w:tcW w:type="dxa" w:w="26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Company email addresses only, not personal Gmail</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New Zealand</w:t>
            </w:r>
          </w:p>
        </w:tc>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Add-on to Australia (~60)</w:t>
            </w:r>
          </w:p>
        </w:tc>
        <w:tc>
          <w:tcPr>
            <w:tcW w:type="dxa" w:w="25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Auckland (11,232 stores)</w:t>
            </w:r>
          </w:p>
        </w:tc>
        <w:tc>
          <w:tcPr>
            <w:tcW w:type="dxa" w:w="1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public data</w:t>
            </w:r>
          </w:p>
        </w:tc>
        <w:tc>
          <w:tcPr>
            <w:tcW w:type="dxa" w:w="26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 of stores are food brands</w:t>
            </w:r>
          </w:p>
        </w:tc>
      </w:tr>
    </w:tbl>
    <w:p>
      <w:pPr>
        <w:spacing w:after="120" w:before="0"/>
      </w:pPr>
    </w:p>
    <w:p>
      <w:pPr>
        <w:pStyle w:val="Heading2"/>
        <w:keepNext/>
      </w:pPr>
      <w:bookmarkStart w:name="sec_5_4" w:id="33"/>
      <w:r>
        <w:rPr>
          <w:rFonts w:ascii="Arial" w:cs="Arial" w:eastAsia="Arial" w:hAnsi="Arial"/>
        </w:rPr>
        <w:t xml:space="preserve">5.4 Best US states to target</w:t>
      </w:r>
      <w:bookmarkEnd w:id="33"/>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3"/>
        <w:gridCol w:w="2881"/>
        <w:gridCol w:w="1208"/>
        <w:gridCol w:w="4958"/>
      </w:tblGrid>
      <w:tr>
        <w:trPr>
          <w:cantSplit/>
          <w:tblHeader/>
        </w:trPr>
        <w:tc>
          <w:tcPr>
            <w:tcW w:type="dxa" w:w="10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State</w:t>
            </w:r>
          </w:p>
        </w:tc>
        <w:tc>
          <w:tcPr>
            <w:tcW w:type="dxa" w:w="28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Shopify stores with 10–49 staff</w:t>
            </w:r>
          </w:p>
        </w:tc>
        <w:tc>
          <w:tcPr>
            <w:tcW w:type="dxa" w:w="12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usage</w:t>
            </w:r>
          </w:p>
        </w:tc>
        <w:tc>
          <w:tcPr>
            <w:tcW w:type="dxa" w:w="49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Notes</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California</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3,407</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16.6%</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Largest cluster; beauty and wellness</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York</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1,730</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tracked</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Fashion and beauty density</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Florida</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1,134</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14.8%</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Many stores, but few are big enough; filter tightly</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Texas</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983</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13.6%</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Same as Florida</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Jersey</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469</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tracked</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Consumer goods and beauty</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Utah</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411</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18.8%</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Highest Klaviyo rate measured; supplements cluster</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Illinois</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398</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13.5%</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consumer goods</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Colorado</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380</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15.3%</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Outdoor, pet, natural products</w:t>
            </w:r>
          </w:p>
        </w:tc>
      </w:tr>
    </w:tbl>
    <w:p>
      <w:pPr>
        <w:spacing w:after="120" w:before="0"/>
      </w:pPr>
    </w:p>
    <w:p>
      <w:r>
        <w:rPr>
          <w:rFonts w:ascii="Arial" w:cs="Arial" w:eastAsia="Arial" w:hAnsi="Arial"/>
          <w:sz w:val="20"/>
          <w:szCs w:val="20"/>
        </w:rPr>
        <w:t xml:space="preserve">In Florida, Texas, and Georgia, only 1% to 1.5% of stores have 10+ staff, compared with 3% to 3.8% in California and New York. Use stricter revenue filters in those states.</w:t>
      </w:r>
    </w:p>
    <w:p>
      <w:pPr>
        <w:pStyle w:val="Heading2"/>
        <w:keepNext/>
      </w:pPr>
      <w:bookmarkStart w:name="sec_5_5" w:id="34"/>
      <w:r>
        <w:rPr>
          <w:rFonts w:ascii="Arial" w:cs="Arial" w:eastAsia="Arial" w:hAnsi="Arial"/>
        </w:rPr>
        <w:t xml:space="preserve">5.5 Watch out for fake US addresses</w:t>
      </w:r>
      <w:bookmarkEnd w:id="34"/>
    </w:p>
    <w:p>
      <w:r>
        <w:rPr>
          <w:rFonts w:ascii="Arial" w:cs="Arial" w:eastAsia="Arial" w:hAnsi="Arial"/>
          <w:b/>
          <w:bCs/>
          <w:sz w:val="20"/>
          <w:szCs w:val="20"/>
        </w:rPr>
        <w:t xml:space="preserve">The town of Sheridan, Wyoming (population under 20,000) has 20,043 Shopify stores, the third highest of any US city.</w:t>
      </w:r>
      <w:r>
        <w:rPr>
          <w:rFonts w:ascii="Arial" w:cs="Arial" w:eastAsia="Arial" w:hAnsi="Arial"/>
          <w:sz w:val="20"/>
          <w:szCs w:val="20"/>
        </w:rPr>
        <w:t xml:space="preserve"> This is not a real DTC boom. Founders outside the US set up an American business using a registered agent, and that agent's address becomes the store's listed address. The same thing happens in Cheyenne, Wyoming; Delaware; New Mexico; and at shared office addresses in London.</w:t>
      </w:r>
    </w:p>
    <w:p>
      <w:pPr>
        <w:pStyle w:val="Heading3"/>
        <w:keepNext/>
      </w:pPr>
      <w:r>
        <w:rPr>
          <w:rFonts w:ascii="Arial" w:cs="Arial" w:eastAsia="Arial" w:hAnsi="Arial"/>
        </w:rPr>
        <w:t xml:space="preserve">How to filter these out</w:t>
      </w:r>
    </w:p>
    <w:p>
      <w:pPr>
        <w:pStyle w:val="ListParagraph"/>
        <w:numPr>
          <w:ilvl w:val="0"/>
          <w:numId w:val="4"/>
        </w:numPr>
        <w:spacing w:after="60"/>
      </w:pPr>
      <w:r>
        <w:rPr>
          <w:rFonts w:ascii="Arial" w:cs="Arial" w:eastAsia="Arial" w:hAnsi="Arial"/>
          <w:sz w:val="20"/>
          <w:szCs w:val="20"/>
        </w:rPr>
        <w:t xml:space="preserve">Flag any address that matches a known registered-agent location.</w:t>
      </w:r>
    </w:p>
    <w:p>
      <w:pPr>
        <w:pStyle w:val="ListParagraph"/>
        <w:numPr>
          <w:ilvl w:val="0"/>
          <w:numId w:val="4"/>
        </w:numPr>
        <w:spacing w:after="60"/>
      </w:pPr>
      <w:r>
        <w:rPr>
          <w:rFonts w:ascii="Arial" w:cs="Arial" w:eastAsia="Arial" w:hAnsi="Arial"/>
          <w:sz w:val="20"/>
          <w:szCs w:val="20"/>
        </w:rPr>
        <w:t xml:space="preserve">Check for a local phone number, a real returns address, and confirmed shipping origin.</w:t>
      </w:r>
    </w:p>
    <w:p>
      <w:pPr>
        <w:pStyle w:val="ListParagraph"/>
        <w:numPr>
          <w:ilvl w:val="0"/>
          <w:numId w:val="4"/>
        </w:numPr>
        <w:spacing w:after="60"/>
      </w:pPr>
      <w:r>
        <w:rPr>
          <w:rFonts w:ascii="Arial" w:cs="Arial" w:eastAsia="Arial" w:hAnsi="Arial"/>
          <w:sz w:val="20"/>
          <w:szCs w:val="20"/>
        </w:rPr>
        <w:t xml:space="preserve">Find where the founder actually works, using LinkedIn or the About page.</w:t>
      </w:r>
    </w:p>
    <w:p>
      <w:pPr>
        <w:pStyle w:val="ListParagraph"/>
        <w:numPr>
          <w:ilvl w:val="0"/>
          <w:numId w:val="4"/>
        </w:numPr>
        <w:spacing w:after="60"/>
      </w:pPr>
      <w:r>
        <w:rPr>
          <w:rFonts w:ascii="Arial" w:cs="Arial" w:eastAsia="Arial" w:hAnsi="Arial"/>
          <w:sz w:val="20"/>
          <w:szCs w:val="20"/>
        </w:rPr>
        <w:t xml:space="preserve">If they are actually based outside our six countries, skip them. If they are inside, update their country tag and apply that country's laws.</w:t>
      </w:r>
    </w:p>
    <w:p>
      <w:pPr>
        <w:pStyle w:val="ListParagraph"/>
        <w:numPr>
          <w:ilvl w:val="0"/>
          <w:numId w:val="4"/>
        </w:numPr>
        <w:spacing w:after="60"/>
      </w:pPr>
      <w:r>
        <w:rPr>
          <w:rFonts w:ascii="Arial" w:cs="Arial" w:eastAsia="Arial" w:hAnsi="Arial"/>
          <w:sz w:val="20"/>
          <w:szCs w:val="20"/>
        </w:rPr>
        <w:t xml:space="preserve">Log the check in your CRM.</w:t>
      </w:r>
    </w:p>
    <w:p>
      <w:pPr>
        <w:spacing w:after="60" w:before="0"/>
      </w:pPr>
    </w:p>
    <w:p>
      <w:pPr>
        <w:pStyle w:val="Heading2"/>
        <w:keepNext/>
      </w:pPr>
      <w:bookmarkStart w:name="sec_5_6" w:id="35"/>
      <w:r>
        <w:rPr>
          <w:rFonts w:ascii="Arial" w:cs="Arial" w:eastAsia="Arial" w:hAnsi="Arial"/>
        </w:rPr>
        <w:t xml:space="preserve">5.6 Time zone guide (working from Nepal)</w:t>
      </w:r>
      <w:bookmarkEnd w:id="35"/>
    </w:p>
    <w:p>
      <w:r>
        <w:rPr>
          <w:rFonts w:ascii="Arial" w:cs="Arial" w:eastAsia="Arial" w:hAnsi="Arial"/>
          <w:sz w:val="20"/>
          <w:szCs w:val="20"/>
        </w:rPr>
        <w:t xml:space="preserve">The GrowMailers team works in Nepal Standard Time (NPT), which is 5 hours and 45 minutes ahead of London/UTC.</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4"/>
        <w:gridCol w:w="3066"/>
        <w:gridCol w:w="4810"/>
      </w:tblGrid>
      <w:tr>
        <w:trPr>
          <w:cantSplit/>
          <w:tblHeader/>
        </w:trPr>
        <w:tc>
          <w:tcPr>
            <w:tcW w:type="dxa" w:w="22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w:t>
            </w:r>
          </w:p>
        </w:tc>
        <w:tc>
          <w:tcPr>
            <w:tcW w:type="dxa" w:w="30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Their business hours in Nepal time</w:t>
            </w:r>
          </w:p>
        </w:tc>
        <w:tc>
          <w:tcPr>
            <w:tcW w:type="dxa" w:w="48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Best approach</w:t>
            </w:r>
          </w:p>
        </w:tc>
      </w:tr>
      <w:tr>
        <w:trPr>
          <w:cantSplit/>
        </w:trPr>
        <w:tc>
          <w:tcPr>
            <w:tcW w:type="dxa" w:w="2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and Ireland</w:t>
            </w:r>
          </w:p>
        </w:tc>
        <w:tc>
          <w:tcPr>
            <w:tcW w:type="dxa" w:w="3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1:45 PM to 9:45 PM</w:t>
            </w:r>
          </w:p>
        </w:tc>
        <w:tc>
          <w:tcPr>
            <w:tcW w:type="dxa" w:w="4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overlap for calls; schedule for their afternoon</w:t>
            </w:r>
          </w:p>
        </w:tc>
      </w:tr>
      <w:tr>
        <w:trPr>
          <w:cantSplit/>
        </w:trPr>
        <w:tc>
          <w:tcPr>
            <w:tcW w:type="dxa" w:w="2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 (Sydney)</w:t>
            </w:r>
          </w:p>
        </w:tc>
        <w:tc>
          <w:tcPr>
            <w:tcW w:type="dxa" w:w="3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4:45 AM to 12:45 PM</w:t>
            </w:r>
          </w:p>
        </w:tc>
        <w:tc>
          <w:tcPr>
            <w:tcW w:type="dxa" w:w="4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Call Australian afternoons during Nepal mornings</w:t>
            </w:r>
          </w:p>
        </w:tc>
      </w:tr>
      <w:tr>
        <w:trPr>
          <w:cantSplit/>
        </w:trPr>
        <w:tc>
          <w:tcPr>
            <w:tcW w:type="dxa" w:w="2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 (Auckland)</w:t>
            </w:r>
          </w:p>
        </w:tc>
        <w:tc>
          <w:tcPr>
            <w:tcW w:type="dxa" w:w="3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2:45 AM to 10:45 AM</w:t>
            </w:r>
          </w:p>
        </w:tc>
        <w:tc>
          <w:tcPr>
            <w:tcW w:type="dxa" w:w="4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Nepal mornings; schedule emails</w:t>
            </w:r>
          </w:p>
        </w:tc>
      </w:tr>
      <w:tr>
        <w:trPr>
          <w:cantSplit/>
        </w:trPr>
        <w:tc>
          <w:tcPr>
            <w:tcW w:type="dxa" w:w="2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and Canada Eastern</w:t>
            </w:r>
          </w:p>
        </w:tc>
        <w:tc>
          <w:tcPr>
            <w:tcW w:type="dxa" w:w="3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6:45 PM to 2:45 AM</w:t>
            </w:r>
          </w:p>
        </w:tc>
        <w:tc>
          <w:tcPr>
            <w:tcW w:type="dxa" w:w="4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Evening call shift; schedule emails</w:t>
            </w:r>
          </w:p>
        </w:tc>
      </w:tr>
      <w:tr>
        <w:trPr>
          <w:cantSplit/>
        </w:trPr>
        <w:tc>
          <w:tcPr>
            <w:tcW w:type="dxa" w:w="2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and Canada Pacific</w:t>
            </w:r>
          </w:p>
        </w:tc>
        <w:tc>
          <w:tcPr>
            <w:tcW w:type="dxa" w:w="3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9:45 PM to 5:45 AM</w:t>
            </w:r>
          </w:p>
        </w:tc>
        <w:tc>
          <w:tcPr>
            <w:tcW w:type="dxa" w:w="4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Late calls; schedule emails</w:t>
            </w:r>
          </w:p>
        </w:tc>
      </w:tr>
    </w:tbl>
    <w:p>
      <w:pPr>
        <w:spacing w:after="120" w:before="0"/>
      </w:pPr>
    </w:p>
    <w:p>
      <w:r>
        <w:rPr>
          <w:rFonts w:ascii="Arial" w:cs="Arial" w:eastAsia="Arial" w:hAnsi="Arial"/>
          <w:sz w:val="20"/>
          <w:szCs w:val="20"/>
        </w:rPr>
        <w:t xml:space="preserve">Schedule every outreach email to arrive at 8 to 10 AM in the recipient's time zone.</w:t>
      </w:r>
    </w:p>
    <w:p>
      <w:pPr>
        <w:pStyle w:val="Heading1"/>
        <w:keepNext/>
        <w:pageBreakBefore/>
      </w:pPr>
      <w:bookmarkStart w:name="sec_6" w:id="36"/>
      <w:r>
        <w:rPr>
          <w:rFonts w:ascii="Arial" w:cs="Arial" w:eastAsia="Arial" w:hAnsi="Arial"/>
        </w:rPr>
        <w:t xml:space="preserve">6. Who Makes the Buying Decision and What They Care About</w:t>
      </w:r>
      <w:bookmarkEnd w:id="36"/>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For brands under $5M, the founder signs everything. From $5M to $20M, a marketing leader signs and a retention specialist influences them; above $20M, finance also reviews the contract. Founders care about cash and profit, growth leaders care about lowering their blended marketing cost, and retention staff want relief from heavy workload and risk. Lhotse competes directly with a new hire at the point where a brand would normally consider its first email specialist, usually between $3M and $8M in revenue.</w:t>
      </w:r>
    </w:p>
    <w:p>
      <w:pPr>
        <w:pStyle w:val="Heading2"/>
        <w:keepNext/>
      </w:pPr>
      <w:bookmarkStart w:name="sec_6_1" w:id="37"/>
      <w:r>
        <w:rPr>
          <w:rFonts w:ascii="Arial" w:cs="Arial" w:eastAsia="Arial" w:hAnsi="Arial"/>
        </w:rPr>
        <w:t xml:space="preserve">6.1 How teams change as brands grow</w:t>
      </w:r>
      <w:bookmarkEnd w:id="37"/>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489"/>
        <w:gridCol w:w="1867"/>
        <w:gridCol w:w="1991"/>
        <w:gridCol w:w="2833"/>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Revenue</w:t>
            </w:r>
          </w:p>
        </w:tc>
        <w:tc>
          <w:tcPr>
            <w:tcW w:type="dxa" w:w="248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Marketing team</w:t>
            </w:r>
          </w:p>
        </w:tc>
        <w:tc>
          <w:tcPr>
            <w:tcW w:type="dxa" w:w="186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Spend on outside agencies</w:t>
            </w:r>
          </w:p>
        </w:tc>
        <w:tc>
          <w:tcPr>
            <w:tcW w:type="dxa" w:w="19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runs email</w:t>
            </w:r>
          </w:p>
        </w:tc>
        <w:tc>
          <w:tcPr>
            <w:tcW w:type="dxa" w:w="28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signs contracts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$1M–$3M</w:t>
            </w:r>
          </w:p>
        </w:tc>
        <w:tc>
          <w:tcPr>
            <w:tcW w:type="dxa" w:w="248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 people</w:t>
            </w:r>
          </w:p>
        </w:tc>
        <w:tc>
          <w:tcPr>
            <w:tcW w:type="dxa" w:w="18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 of revenue</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or freelancer</w:t>
            </w:r>
          </w:p>
        </w:tc>
        <w:tc>
          <w:tcPr>
            <w:tcW w:type="dxa" w:w="28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$3M–$8M</w:t>
            </w:r>
          </w:p>
        </w:tc>
        <w:tc>
          <w:tcPr>
            <w:tcW w:type="dxa" w:w="248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 including an email person</w:t>
            </w:r>
          </w:p>
        </w:tc>
        <w:tc>
          <w:tcPr>
            <w:tcW w:type="dxa" w:w="186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7%</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First email hire</w:t>
            </w:r>
          </w:p>
        </w:tc>
        <w:tc>
          <w:tcPr>
            <w:tcW w:type="dxa" w:w="28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$8M–$20M</w:t>
            </w:r>
          </w:p>
        </w:tc>
        <w:tc>
          <w:tcPr>
            <w:tcW w:type="dxa" w:w="248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7–12</w:t>
            </w:r>
          </w:p>
        </w:tc>
        <w:tc>
          <w:tcPr>
            <w:tcW w:type="dxa" w:w="18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7%</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Retention specialist</w:t>
            </w:r>
          </w:p>
        </w:tc>
        <w:tc>
          <w:tcPr>
            <w:tcW w:type="dxa" w:w="28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VP Marketing, CMO, or Head of Growth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$20M–$50M</w:t>
            </w:r>
          </w:p>
        </w:tc>
        <w:tc>
          <w:tcPr>
            <w:tcW w:type="dxa" w:w="248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15–25, led by a VP or CMO</w:t>
            </w:r>
          </w:p>
        </w:tc>
        <w:tc>
          <w:tcPr>
            <w:tcW w:type="dxa" w:w="186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Head of Retention + team</w:t>
            </w:r>
          </w:p>
        </w:tc>
        <w:tc>
          <w:tcPr>
            <w:tcW w:type="dxa" w:w="28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or VP; finance reviews</w:t>
            </w:r>
          </w:p>
        </w:tc>
      </w:tr>
    </w:tbl>
    <w:p>
      <w:pPr>
        <w:spacing w:after="120" w:before="0"/>
      </w:pPr>
    </w:p>
    <w:p>
      <w:r>
        <w:rPr>
          <w:rFonts w:ascii="Arial" w:cs="Arial" w:eastAsia="Arial" w:hAnsi="Arial"/>
          <w:sz w:val="20"/>
          <w:szCs w:val="20"/>
        </w:rPr>
        <w:t xml:space="preserve">Between about $3M and $15M, brands shift from needing "a Klaviyo specialist" to needing "a retention strategist." Many have someone who can build an email sequence but no one who can design a full retention strategy. Lhotse fills exactly that gap.</w:t>
      </w:r>
    </w:p>
    <w:p>
      <w:r>
        <w:rPr>
          <w:rFonts w:ascii="Arial" w:cs="Arial" w:eastAsia="Arial" w:hAnsi="Arial"/>
          <w:sz w:val="20"/>
          <w:szCs w:val="20"/>
        </w:rPr>
        <w:t xml:space="preserve">As brands get bigger, they also spend a smaller share of revenue on marketing. Brands under $5M spend 30% to 45% of revenue on marketing, while ten public consumer brands spend a median of 13.3%. Smaller brands feel every dollar, so for small clients (L1) we sell Lhotse as a money-saver, not just a growth driver.</w:t>
      </w:r>
    </w:p>
    <w:p>
      <w:pPr>
        <w:pStyle w:val="Heading3"/>
        <w:keepNext/>
      </w:pPr>
      <w:r>
        <w:rPr>
          <w:rFonts w:ascii="Arial" w:cs="Arial" w:eastAsia="Arial" w:hAnsi="Arial"/>
        </w:rPr>
        <w:t xml:space="preserve">Typical org charts and where we fit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00"/>
        <w:gridCol w:w="2441"/>
        <w:gridCol w:w="2889"/>
        <w:gridCol w:w="2950"/>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Brand size</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Leader</w:t>
            </w:r>
          </w:p>
        </w:tc>
        <w:tc>
          <w:tcPr>
            <w:tcW w:type="dxa" w:w="244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Team structure</w:t>
            </w:r>
          </w:p>
        </w:tc>
        <w:tc>
          <w:tcPr>
            <w:tcW w:type="dxa" w:w="288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handles email</w:t>
            </w:r>
          </w:p>
        </w:tc>
        <w:tc>
          <w:tcPr>
            <w:tcW w:type="dxa" w:w="295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Where GrowMailers fits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$3M brand</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Founder/CEO</w:t>
            </w:r>
          </w:p>
        </w:tc>
        <w:tc>
          <w:tcPr>
            <w:tcW w:type="dxa" w:w="24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Operations, a generalist marketer, customer service</w:t>
            </w:r>
          </w:p>
        </w:tc>
        <w:tc>
          <w:tcPr>
            <w:tcW w:type="dxa" w:w="288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or freelancer</w:t>
            </w:r>
          </w:p>
        </w:tc>
        <w:tc>
          <w:tcPr>
            <w:tcW w:type="dxa" w:w="29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 L1</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$10M brand</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Founder/CEO</w:t>
            </w:r>
          </w:p>
        </w:tc>
        <w:tc>
          <w:tcPr>
            <w:tcW w:type="dxa" w:w="24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Head of Growth (paid media, email/retention, creative); finance; customer service</w:t>
            </w:r>
          </w:p>
        </w:tc>
        <w:tc>
          <w:tcPr>
            <w:tcW w:type="dxa" w:w="288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Email/retention person under the Head of Growth</w:t>
            </w:r>
          </w:p>
        </w:tc>
        <w:tc>
          <w:tcPr>
            <w:tcW w:type="dxa" w:w="29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 L2</w:t>
            </w:r>
            <w:r>
              <w:rPr>
                <w:rFonts w:ascii="Arial" w:cs="Arial" w:eastAsia="Arial" w:hAnsi="Arial"/>
                <w:sz w:val="16"/>
                <w:szCs w:val="16"/>
              </w:rPr>
              <w:t xml:space="preserve">, competing with the email/retention hire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$30M brand</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CEO</w:t>
            </w:r>
          </w:p>
        </w:tc>
        <w:tc>
          <w:tcPr>
            <w:tcW w:type="dxa" w:w="24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over a Head of Retention (email manager, SMS manager, CRM analyst) and a Paid Media VP</w:t>
            </w:r>
          </w:p>
        </w:tc>
        <w:tc>
          <w:tcPr>
            <w:tcW w:type="dxa" w:w="288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Head of Retention and team</w:t>
            </w:r>
          </w:p>
        </w:tc>
        <w:tc>
          <w:tcPr>
            <w:tcW w:type="dxa" w:w="29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 A3</w:t>
            </w:r>
          </w:p>
        </w:tc>
      </w:tr>
    </w:tbl>
    <w:p>
      <w:pPr>
        <w:spacing w:after="120" w:before="0"/>
      </w:pPr>
    </w:p>
    <w:p>
      <w:pPr>
        <w:pStyle w:val="Heading2"/>
        <w:keepNext/>
      </w:pPr>
      <w:bookmarkStart w:name="sec_6_2" w:id="38"/>
      <w:r>
        <w:rPr>
          <w:rFonts w:ascii="Arial" w:cs="Arial" w:eastAsia="Arial" w:hAnsi="Arial"/>
        </w:rPr>
        <w:t xml:space="preserve">6.2 The four types of decision-makers</w:t>
      </w:r>
      <w:bookmarkEnd w:id="38"/>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6"/>
        <w:gridCol w:w="2261"/>
        <w:gridCol w:w="2261"/>
        <w:gridCol w:w="2261"/>
        <w:gridCol w:w="2261"/>
      </w:tblGrid>
      <w:tr>
        <w:trPr>
          <w:cantSplit/>
          <w:tblHeader/>
        </w:trPr>
        <w:tc>
          <w:tcPr>
            <w:tcW w:type="dxa" w:w="10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Founder / CEO</w:t>
            </w: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Head of Marketing / Growth</w:t>
            </w: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CMO</w:t>
            </w: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Retention Specialist</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Responsible for</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Cash, profit, strategy</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Growing revenue per marketing dollar</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growth, team</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sequences, campaigns, list health, delivery</w:t>
            </w:r>
          </w:p>
        </w:tc>
      </w:tr>
      <w:tr>
        <w:trPr>
          <w:cantSplit/>
        </w:trPr>
        <w:tc>
          <w:tcPr>
            <w:tcW w:type="dxa" w:w="10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they measure</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Cash, contribution margin, marketing efficiency</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Marketing efficiency, new customer revenue, ad cost per customer</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lifetime value vs. acquisition cost, team productivity</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Flow revenue, email share, spam and bounce rates</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Biggest fear</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Paying an agency that overpromises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Missing revenue targets as ad costs rise</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public failure during Black Friday or peak season</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Being blamed for a deliverability incident; burning out</w:t>
            </w:r>
          </w:p>
        </w:tc>
      </w:tr>
      <w:tr>
        <w:trPr>
          <w:cantSplit/>
        </w:trPr>
        <w:tc>
          <w:tcPr>
            <w:tcW w:type="dxa" w:w="10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they need to hear</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"Here's the cost, the payback, and how you'll know if it's working."</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"Owned-channel revenue lowers your blended marketing cost."</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"Specialist depth, measured by real lift tests, no risk to peak season."</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 take the heavy lifting and fix what you haven't had time for."</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Evidence they trust</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model built with their own numbers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Holdout-tested lift results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Case studies at their revenue level</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Technical audit findings and a clear process</w:t>
            </w:r>
          </w:p>
        </w:tc>
      </w:tr>
      <w:tr>
        <w:trPr>
          <w:cantSplit/>
        </w:trPr>
        <w:tc>
          <w:tcPr>
            <w:tcW w:type="dxa" w:w="10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starting offer</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A1 or Lhotse Core</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Growth</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A3, then Lhotse Scale</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positioned as their ally, not their replacement</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kills the deal</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Vague promises; long lock-in contracts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Vanity metrics like "open rates"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junior team; no risk management plan</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Anything that makes them feel threatened</w:t>
            </w:r>
          </w:p>
        </w:tc>
      </w:tr>
    </w:tbl>
    <w:p>
      <w:pPr>
        <w:spacing w:after="120" w:before="0"/>
      </w:pPr>
    </w:p>
    <w:p>
      <w:pPr>
        <w:pStyle w:val="Heading2"/>
        <w:keepNext/>
      </w:pPr>
      <w:bookmarkStart w:name="sec_6_3" w:id="39"/>
      <w:r>
        <w:rPr>
          <w:rFonts w:ascii="Arial" w:cs="Arial" w:eastAsia="Arial" w:hAnsi="Arial"/>
        </w:rPr>
        <w:t xml:space="preserve">6.3 How to handle common objections</w:t>
      </w:r>
      <w:bookmarkEnd w:id="39"/>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8"/>
        <w:gridCol w:w="2564"/>
        <w:gridCol w:w="2797"/>
        <w:gridCol w:w="1981"/>
      </w:tblGrid>
      <w:tr>
        <w:trPr>
          <w:cantSplit/>
          <w:tblHeader/>
        </w:trPr>
        <w:tc>
          <w:tcPr>
            <w:tcW w:type="dxa" w:w="273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Objection</w:t>
            </w:r>
          </w:p>
        </w:tc>
        <w:tc>
          <w:tcPr>
            <w:tcW w:type="dxa" w:w="25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they really mean</w:t>
            </w:r>
          </w:p>
        </w:tc>
        <w:tc>
          <w:tcPr>
            <w:tcW w:type="dxa" w:w="27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Our response</w:t>
            </w:r>
          </w:p>
        </w:tc>
        <w:tc>
          <w:tcPr>
            <w:tcW w:type="dxa" w:w="19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Evidence we offer</w:t>
            </w:r>
          </w:p>
        </w:tc>
      </w:tr>
      <w:tr>
        <w:trPr>
          <w:cantSplit/>
        </w:trPr>
        <w:tc>
          <w:tcPr>
            <w:tcW w:type="dxa" w:w="2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 already have an agency."</w:t>
            </w:r>
          </w:p>
        </w:tc>
        <w:tc>
          <w:tcPr>
            <w:tcW w:type="dxa" w:w="25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Inertia, or quiet dissatisfaction</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need to switch. Ascent is a technical repair job most agencies don't do. Here's what we found in your email headers."</w:t>
            </w:r>
          </w:p>
        </w:tc>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external audit results</w:t>
            </w:r>
          </w:p>
        </w:tc>
      </w:tr>
      <w:tr>
        <w:trPr>
          <w:cantSplit/>
        </w:trPr>
        <w:tc>
          <w:tcPr>
            <w:tcW w:type="dxa" w:w="2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"We'll just hire someone."</w:t>
            </w:r>
          </w:p>
        </w:tc>
        <w:tc>
          <w:tcPr>
            <w:tcW w:type="dxa" w:w="25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They think a hire is cheaper</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good hire costs $85k to $135k fully loaded and has one skill set. Lhotse is $36k to $66k and brings a whole team."</w:t>
            </w:r>
          </w:p>
        </w:tc>
        <w:tc>
          <w:tcPr>
            <w:tcW w:type="dxa" w:w="19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Glassdoor salary data (Appendix B)</w:t>
            </w:r>
          </w:p>
        </w:tc>
      </w:tr>
      <w:tr>
        <w:trPr>
          <w:cantSplit/>
        </w:trPr>
        <w:tc>
          <w:tcPr>
            <w:tcW w:type="dxa" w:w="2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"Our open rates are fine."</w:t>
            </w:r>
          </w:p>
        </w:tc>
        <w:tc>
          <w:tcPr>
            <w:tcW w:type="dxa" w:w="25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Open rates are inflated by Apple auto-opens</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"Apple auto-opens most emails without anyone reading them. Let's look at clicks and actual orders placed."</w:t>
            </w:r>
          </w:p>
        </w:tc>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9 benchmarks</w:t>
            </w:r>
          </w:p>
        </w:tc>
      </w:tr>
      <w:tr>
        <w:trPr>
          <w:cantSplit/>
        </w:trPr>
        <w:tc>
          <w:tcPr>
            <w:tcW w:type="dxa" w:w="2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says delivery is fine."</w:t>
            </w:r>
          </w:p>
        </w:tc>
        <w:tc>
          <w:tcPr>
            <w:tcW w:type="dxa" w:w="25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Averages hide problems at specific providers</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a third of UK, Canadian, and Australian inboxes are Microsoft. Let's check by provider."</w:t>
            </w:r>
          </w:p>
        </w:tc>
        <w:tc>
          <w:tcPr>
            <w:tcW w:type="dxa" w:w="19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Provider-level check</w:t>
            </w:r>
          </w:p>
        </w:tc>
      </w:tr>
      <w:tr>
        <w:trPr>
          <w:cantSplit/>
        </w:trPr>
        <w:tc>
          <w:tcPr>
            <w:tcW w:type="dxa" w:w="2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right now. It's Black Friday prep."</w:t>
            </w:r>
          </w:p>
        </w:tc>
        <w:tc>
          <w:tcPr>
            <w:tcW w:type="dxa" w:w="25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real freeze; do not push</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"Completely understood. No retainer now. Here are two quick safe fixes; let's book a January conversation."</w:t>
            </w:r>
          </w:p>
        </w:tc>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15 safe-fix list</w:t>
            </w:r>
          </w:p>
        </w:tc>
      </w:tr>
      <w:tr>
        <w:trPr>
          <w:cantSplit/>
        </w:trPr>
        <w:tc>
          <w:tcPr>
            <w:tcW w:type="dxa" w:w="2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 expensive."</w:t>
            </w:r>
          </w:p>
        </w:tc>
        <w:tc>
          <w:tcPr>
            <w:tcW w:type="dxa" w:w="25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ROI is not clear yet, or cash is tight</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"At your margins, Lhotse needs about 80 to 140 extra repeat orders a month. You already do 6,000."</w:t>
            </w:r>
          </w:p>
        </w:tc>
        <w:tc>
          <w:tcPr>
            <w:tcW w:type="dxa" w:w="19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7 breakeven math</w:t>
            </w:r>
          </w:p>
        </w:tc>
      </w:tr>
      <w:tr>
        <w:trPr>
          <w:cantSplit/>
        </w:trPr>
        <w:tc>
          <w:tcPr>
            <w:tcW w:type="dxa" w:w="2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agency already disappointed us."</w:t>
            </w:r>
          </w:p>
        </w:tc>
        <w:tc>
          <w:tcPr>
            <w:tcW w:type="dxa" w:w="25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Past over-promising</w:t>
            </w:r>
          </w:p>
        </w:tc>
        <w:tc>
          <w:tcPr>
            <w:tcW w:type="dxa" w:w="2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did they measure? We report lift tested against a control group, not platform credits."</w:t>
            </w:r>
          </w:p>
        </w:tc>
        <w:tc>
          <w:tcPr>
            <w:tcW w:type="dxa" w:w="19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Sample holdout test report</w:t>
            </w:r>
          </w:p>
        </w:tc>
      </w:tr>
      <w:tr>
        <w:trPr>
          <w:cantSplit/>
        </w:trPr>
        <w:tc>
          <w:tcPr>
            <w:tcW w:type="dxa" w:w="2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"Isn't not having DMARC enforcement a failure?"</w:t>
            </w:r>
          </w:p>
        </w:tc>
        <w:tc>
          <w:tcPr>
            <w:tcW w:type="dxa" w:w="25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scare tactic from past vendors</w:t>
            </w:r>
          </w:p>
        </w:tc>
        <w:tc>
          <w:tcPr>
            <w:tcW w:type="dxa" w:w="2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A monitoring-only DMARC record meets every major email provider's rules. Moving to enforcement is best practice, done carefully, not urgently."</w:t>
            </w:r>
          </w:p>
        </w:tc>
        <w:tc>
          <w:tcPr>
            <w:tcW w:type="dxa" w:w="19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12</w:t>
            </w:r>
          </w:p>
        </w:tc>
      </w:tr>
    </w:tbl>
    <w:p>
      <w:pPr>
        <w:spacing w:after="120" w:before="0"/>
      </w:pPr>
    </w:p>
    <w:p>
      <w:pPr>
        <w:pStyle w:val="Heading1"/>
        <w:keepNext/>
        <w:pageBreakBefore/>
      </w:pPr>
      <w:bookmarkStart w:name="sec_7" w:id="40"/>
      <w:r>
        <w:rPr>
          <w:rFonts w:ascii="Arial" w:cs="Arial" w:eastAsia="Arial" w:hAnsi="Arial"/>
        </w:rPr>
        <w:t xml:space="preserve">7. How Much Money Each Type of Product Makes</w:t>
      </w:r>
      <w:bookmarkEnd w:id="40"/>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For every product type we target, the first sale through ads barely breaks even or loses money, and profit starts with the second order. Beauty and supplements have the best margins, so Lhotse pays for itself fastest there, while food and pet earn less per sale and need a higher revenue minimum. Brands that automatically put a discount in every repeat-order email "out of habit" can wipe out a third of their profit per sale. Managing discounts is part of what Lhotse does.</w:t>
      </w:r>
    </w:p>
    <w:p>
      <w:pPr>
        <w:pStyle w:val="Heading2"/>
        <w:keepNext/>
      </w:pPr>
      <w:bookmarkStart w:name="sec_7_1" w:id="41"/>
      <w:r>
        <w:rPr>
          <w:rFonts w:ascii="Arial" w:cs="Arial" w:eastAsia="Arial" w:hAnsi="Arial"/>
        </w:rPr>
        <w:t xml:space="preserve">7.1 What real company financials look like</w:t>
      </w:r>
      <w:bookmarkEnd w:id="41"/>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61"/>
        <w:gridCol w:w="900"/>
        <w:gridCol w:w="1585"/>
        <w:gridCol w:w="1658"/>
        <w:gridCol w:w="2176"/>
      </w:tblGrid>
      <w:tr>
        <w:trPr>
          <w:cantSplit/>
          <w:tblHeader/>
        </w:trPr>
        <w:tc>
          <w:tcPr>
            <w:tcW w:type="dxa" w:w="37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Company</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Revenue</w:t>
            </w:r>
          </w:p>
        </w:tc>
        <w:tc>
          <w:tcPr>
            <w:tcW w:type="dxa" w:w="158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Gross profit rate</w:t>
            </w:r>
          </w:p>
        </w:tc>
        <w:tc>
          <w:tcPr>
            <w:tcW w:type="dxa" w:w="16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Marketing spend</w:t>
            </w:r>
          </w:p>
        </w:tc>
        <w:tc>
          <w:tcPr>
            <w:tcW w:type="dxa" w:w="21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Net profit</w:t>
            </w:r>
          </w:p>
        </w:tc>
      </w:tr>
      <w:tr>
        <w:trPr>
          <w:cantSplit/>
        </w:trPr>
        <w:tc>
          <w:tcPr>
            <w:tcW w:type="dxa" w:w="37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FIGS (US clothing, 2025)</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$631M</w:t>
            </w:r>
          </w:p>
        </w:tc>
        <w:tc>
          <w:tcPr>
            <w:tcW w:type="dxa" w:w="15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66.5%</w:t>
            </w:r>
          </w:p>
        </w:tc>
        <w:tc>
          <w:tcPr>
            <w:tcW w:type="dxa" w:w="16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14.8% of revenue</w:t>
            </w:r>
          </w:p>
        </w:tc>
        <w:tc>
          <w:tcPr>
            <w:tcW w:type="dxa" w:w="21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5.4% net</w:t>
            </w:r>
          </w:p>
        </w:tc>
      </w:tr>
      <w:tr>
        <w:trPr>
          <w:cantSplit/>
        </w:trPr>
        <w:tc>
          <w:tcPr>
            <w:tcW w:type="dxa" w:w="37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Hims &amp; Hers (US health, 2025)</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$2.3B</w:t>
            </w:r>
          </w:p>
        </w:tc>
        <w:tc>
          <w:tcPr>
            <w:tcW w:type="dxa" w:w="158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74%</w:t>
            </w:r>
          </w:p>
        </w:tc>
        <w:tc>
          <w:tcPr>
            <w:tcW w:type="dxa" w:w="16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 of revenue</w:t>
            </w:r>
          </w:p>
        </w:tc>
        <w:tc>
          <w:tcPr>
            <w:tcW w:type="dxa" w:w="21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5.5% net</w:t>
            </w:r>
          </w:p>
        </w:tc>
      </w:tr>
      <w:tr>
        <w:trPr>
          <w:cantSplit/>
        </w:trPr>
        <w:tc>
          <w:tcPr>
            <w:tcW w:type="dxa" w:w="37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Temple &amp; Webster (AU home goods, 2026)</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A$665M</w:t>
            </w:r>
          </w:p>
        </w:tc>
        <w:tc>
          <w:tcPr>
            <w:tcW w:type="dxa" w:w="15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30.2%</w:t>
            </w:r>
          </w:p>
        </w:tc>
        <w:tc>
          <w:tcPr>
            <w:tcW w:type="dxa" w:w="16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 of revenue</w:t>
            </w:r>
          </w:p>
        </w:tc>
        <w:tc>
          <w:tcPr>
            <w:tcW w:type="dxa" w:w="21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 operating profit</w:t>
            </w:r>
          </w:p>
        </w:tc>
      </w:tr>
    </w:tbl>
    <w:p>
      <w:pPr>
        <w:spacing w:after="120" w:before="0"/>
      </w:pPr>
    </w:p>
    <w:p>
      <w:r>
        <w:rPr>
          <w:rFonts w:ascii="Arial" w:cs="Arial" w:eastAsia="Arial" w:hAnsi="Arial"/>
          <w:sz w:val="20"/>
          <w:szCs w:val="20"/>
        </w:rPr>
        <w:t xml:space="preserve">Even at large scale with strong gross margins, DTC brands make only about 5% net profit. The ones that survive are built on repeat customers. At Temple &amp; Webster, 62% of orders in their latest year came from repeat customers.</w:t>
      </w:r>
    </w:p>
    <w:p>
      <w:pPr>
        <w:pStyle w:val="Heading2"/>
        <w:keepNext/>
      </w:pPr>
      <w:bookmarkStart w:name="sec_7_2" w:id="42"/>
      <w:r>
        <w:rPr>
          <w:rFonts w:ascii="Arial" w:cs="Arial" w:eastAsia="Arial" w:hAnsi="Arial"/>
        </w:rPr>
        <w:t xml:space="preserve">7.2 Profit per order by product type</w:t>
      </w:r>
      <w:bookmarkEnd w:id="42"/>
    </w:p>
    <w:p>
      <w:pPr>
        <w:pStyle w:val="Heading3"/>
        <w:keepNext/>
      </w:pPr>
      <w:r>
        <w:rPr>
          <w:rFonts w:ascii="Arial" w:cs="Arial" w:eastAsia="Arial" w:hAnsi="Arial"/>
        </w:rPr>
        <w:t xml:space="preserve">Planning inputs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841"/>
        <w:gridCol w:w="1227"/>
        <w:gridCol w:w="2557"/>
        <w:gridCol w:w="2864"/>
      </w:tblGrid>
      <w:tr>
        <w:trPr>
          <w:cantSplit/>
          <w:tblHeader/>
        </w:trPr>
        <w:tc>
          <w:tcPr>
            <w:tcW w:type="dxa" w:w="15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184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Average order size</w:t>
            </w:r>
          </w:p>
        </w:tc>
        <w:tc>
          <w:tcPr>
            <w:tcW w:type="dxa" w:w="122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Gross margin</w:t>
            </w:r>
          </w:p>
        </w:tc>
        <w:tc>
          <w:tcPr>
            <w:tcW w:type="dxa" w:w="255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Shipping and payment fees</w:t>
            </w:r>
          </w:p>
        </w:tc>
        <w:tc>
          <w:tcPr>
            <w:tcW w:type="dxa" w:w="28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Average ad cost per purchase</w:t>
            </w:r>
          </w:p>
        </w:tc>
      </w:tr>
      <w:tr>
        <w:trPr>
          <w:cantSplit/>
        </w:trPr>
        <w:tc>
          <w:tcPr>
            <w:tcW w:type="dxa" w:w="15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18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$103.37</w:t>
            </w:r>
          </w:p>
        </w:tc>
        <w:tc>
          <w:tcPr>
            <w:tcW w:type="dxa" w:w="122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w:t>
            </w:r>
          </w:p>
        </w:tc>
        <w:tc>
          <w:tcPr>
            <w:tcW w:type="dxa" w:w="25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w:t>
            </w:r>
          </w:p>
        </w:tc>
        <w:tc>
          <w:tcPr>
            <w:tcW w:type="dxa" w:w="28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$39.24</w:t>
            </w:r>
          </w:p>
        </w:tc>
      </w:tr>
      <w:tr>
        <w:trPr>
          <w:cantSplit/>
        </w:trPr>
        <w:tc>
          <w:tcPr>
            <w:tcW w:type="dxa" w:w="15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18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$68.29</w:t>
            </w:r>
          </w:p>
        </w:tc>
        <w:tc>
          <w:tcPr>
            <w:tcW w:type="dxa" w:w="122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72%</w:t>
            </w:r>
          </w:p>
        </w:tc>
        <w:tc>
          <w:tcPr>
            <w:tcW w:type="dxa" w:w="25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w:t>
            </w:r>
          </w:p>
        </w:tc>
        <w:tc>
          <w:tcPr>
            <w:tcW w:type="dxa" w:w="28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$33.44</w:t>
            </w:r>
          </w:p>
        </w:tc>
      </w:tr>
      <w:tr>
        <w:trPr>
          <w:cantSplit/>
        </w:trPr>
        <w:tc>
          <w:tcPr>
            <w:tcW w:type="dxa" w:w="15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18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$71.26</w:t>
            </w:r>
          </w:p>
        </w:tc>
        <w:tc>
          <w:tcPr>
            <w:tcW w:type="dxa" w:w="122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72%</w:t>
            </w:r>
          </w:p>
        </w:tc>
        <w:tc>
          <w:tcPr>
            <w:tcW w:type="dxa" w:w="25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c>
          <w:tcPr>
            <w:tcW w:type="dxa" w:w="28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$44.81</w:t>
            </w:r>
          </w:p>
        </w:tc>
      </w:tr>
      <w:tr>
        <w:trPr>
          <w:cantSplit/>
        </w:trPr>
        <w:tc>
          <w:tcPr>
            <w:tcW w:type="dxa" w:w="15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18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$69.87</w:t>
            </w:r>
          </w:p>
        </w:tc>
        <w:tc>
          <w:tcPr>
            <w:tcW w:type="dxa" w:w="122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w:t>
            </w:r>
          </w:p>
        </w:tc>
        <w:tc>
          <w:tcPr>
            <w:tcW w:type="dxa" w:w="25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c>
          <w:tcPr>
            <w:tcW w:type="dxa" w:w="28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$28.96</w:t>
            </w:r>
          </w:p>
        </w:tc>
      </w:tr>
      <w:tr>
        <w:trPr>
          <w:cantSplit/>
        </w:trPr>
        <w:tc>
          <w:tcPr>
            <w:tcW w:type="dxa" w:w="15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18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$69.95</w:t>
            </w:r>
          </w:p>
        </w:tc>
        <w:tc>
          <w:tcPr>
            <w:tcW w:type="dxa" w:w="122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w:t>
            </w:r>
          </w:p>
        </w:tc>
        <w:tc>
          <w:tcPr>
            <w:tcW w:type="dxa" w:w="25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w:t>
            </w:r>
          </w:p>
        </w:tc>
        <w:tc>
          <w:tcPr>
            <w:tcW w:type="dxa" w:w="28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$32.68</w:t>
            </w:r>
          </w:p>
        </w:tc>
      </w:tr>
    </w:tbl>
    <w:p>
      <w:pPr>
        <w:spacing w:after="120" w:before="0"/>
      </w:pPr>
    </w:p>
    <w:p>
      <w:pPr>
        <w:pStyle w:val="Heading3"/>
        <w:keepNext/>
      </w:pPr>
      <w:r>
        <w:rPr>
          <w:rFonts w:ascii="Arial" w:cs="Arial" w:eastAsia="Arial" w:hAnsi="Arial"/>
        </w:rPr>
        <w:t xml:space="preserve">Resulting profit per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8"/>
        <w:gridCol w:w="3615"/>
        <w:gridCol w:w="3787"/>
      </w:tblGrid>
      <w:tr>
        <w:trPr>
          <w:cantSplit/>
          <w:tblHeader/>
        </w:trPr>
        <w:tc>
          <w:tcPr>
            <w:tcW w:type="dxa" w:w="267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36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on first order</w:t>
            </w:r>
          </w:p>
        </w:tc>
        <w:tc>
          <w:tcPr>
            <w:tcW w:type="dxa" w:w="378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on repeat order</w:t>
            </w:r>
          </w:p>
        </w:tc>
      </w:tr>
      <w:tr>
        <w:trPr>
          <w:cantSplit/>
        </w:trPr>
        <w:tc>
          <w:tcPr>
            <w:tcW w:type="dxa" w:w="26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3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$7.27</w:t>
            </w:r>
          </w:p>
        </w:tc>
        <w:tc>
          <w:tcPr>
            <w:tcW w:type="dxa" w:w="37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$46.51</w:t>
            </w:r>
          </w:p>
        </w:tc>
      </w:tr>
      <w:tr>
        <w:trPr>
          <w:cantSplit/>
        </w:trPr>
        <w:tc>
          <w:tcPr>
            <w:tcW w:type="dxa" w:w="26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3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$5.49</w:t>
            </w:r>
          </w:p>
        </w:tc>
        <w:tc>
          <w:tcPr>
            <w:tcW w:type="dxa" w:w="37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$38.93</w:t>
            </w:r>
          </w:p>
        </w:tc>
      </w:tr>
      <w:tr>
        <w:trPr>
          <w:cantSplit/>
        </w:trPr>
        <w:tc>
          <w:tcPr>
            <w:tcW w:type="dxa" w:w="26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3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−$3.48 (a loss)</w:t>
            </w:r>
          </w:p>
        </w:tc>
        <w:tc>
          <w:tcPr>
            <w:tcW w:type="dxa" w:w="37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$41.33</w:t>
            </w:r>
          </w:p>
        </w:tc>
      </w:tr>
      <w:tr>
        <w:trPr>
          <w:cantSplit/>
        </w:trPr>
        <w:tc>
          <w:tcPr>
            <w:tcW w:type="dxa" w:w="26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3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−$11.49 (a loss)</w:t>
            </w:r>
          </w:p>
        </w:tc>
        <w:tc>
          <w:tcPr>
            <w:tcW w:type="dxa" w:w="37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$17.47</w:t>
            </w:r>
          </w:p>
        </w:tc>
      </w:tr>
      <w:tr>
        <w:trPr>
          <w:cantSplit/>
        </w:trPr>
        <w:tc>
          <w:tcPr>
            <w:tcW w:type="dxa" w:w="26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3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−$10.29 (a loss)</w:t>
            </w:r>
          </w:p>
        </w:tc>
        <w:tc>
          <w:tcPr>
            <w:tcW w:type="dxa" w:w="37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$22.39</w:t>
            </w:r>
          </w:p>
        </w:tc>
      </w:tr>
    </w:tbl>
    <w:p>
      <w:pPr>
        <w:spacing w:after="120" w:before="0"/>
      </w:pPr>
    </w:p>
    <w:p>
      <w:pPr>
        <w:spacing w:after="160" w:before="0"/>
      </w:pPr>
      <w:r>
        <w:rPr>
          <w:rFonts w:ascii="Arial" w:cs="Arial" w:eastAsia="Arial" w:hAnsi="Arial"/>
          <w:i/>
          <w:iCs/>
          <w:color w:val="5B6573"/>
          <w:sz w:val="16"/>
          <w:szCs w:val="16"/>
        </w:rPr>
        <w:t xml:space="preserve">Order sizes and ad costs are from Triple Whale's real customer data, US DTC brands, mid-2026. Margins and fee rates are our planning estimates; replace them with each brand's real numbers during a discovery call.</w:t>
      </w:r>
    </w:p>
    <w:p>
      <w:pPr>
        <w:pStyle w:val="Heading2"/>
        <w:keepNext/>
      </w:pPr>
      <w:bookmarkStart w:name="sec_7_3" w:id="43"/>
      <w:r>
        <w:rPr>
          <w:rFonts w:ascii="Arial" w:cs="Arial" w:eastAsia="Arial" w:hAnsi="Arial"/>
        </w:rPr>
        <w:t xml:space="preserve">7.3 How profit builds over time</w:t>
      </w:r>
      <w:bookmarkEnd w:id="43"/>
    </w:p>
    <w:p>
      <w:pPr>
        <w:pStyle w:val="Heading3"/>
        <w:keepNext/>
      </w:pPr>
      <w:r>
        <w:rPr>
          <w:rFonts w:ascii="Arial" w:cs="Arial" w:eastAsia="Arial" w:hAnsi="Arial"/>
        </w:rPr>
        <w:t xml:space="preserve">Profit accumulated per customer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2"/>
        <w:gridCol w:w="3319"/>
        <w:gridCol w:w="3319"/>
      </w:tblGrid>
      <w:tr>
        <w:trPr>
          <w:cantSplit/>
          <w:tblHeader/>
        </w:trPr>
        <w:tc>
          <w:tcPr>
            <w:tcW w:type="dxa" w:w="34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331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After 1st order</w:t>
            </w:r>
          </w:p>
        </w:tc>
        <w:tc>
          <w:tcPr>
            <w:tcW w:type="dxa" w:w="331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After 3rd order</w:t>
            </w:r>
          </w:p>
        </w:tc>
      </w:tr>
      <w:tr>
        <w:trPr>
          <w:cantSplit/>
        </w:trPr>
        <w:tc>
          <w:tcPr>
            <w:tcW w:type="dxa" w:w="34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w:t>
            </w:r>
          </w:p>
        </w:tc>
      </w:tr>
      <w:tr>
        <w:trPr>
          <w:cantSplit/>
        </w:trPr>
        <w:tc>
          <w:tcPr>
            <w:tcW w:type="dxa" w:w="34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33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33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$83</w:t>
            </w:r>
          </w:p>
        </w:tc>
      </w:tr>
      <w:tr>
        <w:trPr>
          <w:cantSplit/>
        </w:trPr>
        <w:tc>
          <w:tcPr>
            <w:tcW w:type="dxa" w:w="34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(loss)</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$79</w:t>
            </w:r>
          </w:p>
        </w:tc>
      </w:tr>
      <w:tr>
        <w:trPr>
          <w:cantSplit/>
        </w:trPr>
        <w:tc>
          <w:tcPr>
            <w:tcW w:type="dxa" w:w="34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33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(loss)</w:t>
            </w:r>
          </w:p>
        </w:tc>
        <w:tc>
          <w:tcPr>
            <w:tcW w:type="dxa" w:w="33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w:t>
            </w:r>
          </w:p>
        </w:tc>
      </w:tr>
      <w:tr>
        <w:trPr>
          <w:cantSplit/>
        </w:trPr>
        <w:tc>
          <w:tcPr>
            <w:tcW w:type="dxa" w:w="34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 (loss)</w:t>
            </w:r>
          </w:p>
        </w:tc>
        <w:tc>
          <w:tcPr>
            <w:tcW w:type="dxa" w:w="33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w:t>
            </w:r>
          </w:p>
        </w:tc>
      </w:tr>
    </w:tbl>
    <w:p>
      <w:pPr>
        <w:spacing w:after="120" w:before="0"/>
      </w:pPr>
    </w:p>
    <w:p>
      <w:pPr>
        <w:pStyle w:val="Heading3"/>
        <w:keepNext/>
      </w:pPr>
      <w:r>
        <w:rPr>
          <w:rFonts w:ascii="Arial" w:cs="Arial" w:eastAsia="Arial" w:hAnsi="Arial"/>
        </w:rPr>
        <w:t xml:space="preserve">Profit at 12 and 24 months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0"/>
        <w:gridCol w:w="2322"/>
        <w:gridCol w:w="2073"/>
        <w:gridCol w:w="2322"/>
        <w:gridCol w:w="2073"/>
      </w:tblGrid>
      <w:tr>
        <w:trPr>
          <w:cantSplit/>
          <w:tblHeader/>
        </w:trPr>
        <w:tc>
          <w:tcPr>
            <w:tcW w:type="dxa" w:w="129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23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Expected orders in 12 months</w:t>
            </w:r>
          </w:p>
        </w:tc>
        <w:tc>
          <w:tcPr>
            <w:tcW w:type="dxa" w:w="20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Total profit at 12 months</w:t>
            </w:r>
          </w:p>
        </w:tc>
        <w:tc>
          <w:tcPr>
            <w:tcW w:type="dxa" w:w="23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Expected orders in 24 months</w:t>
            </w:r>
          </w:p>
        </w:tc>
        <w:tc>
          <w:tcPr>
            <w:tcW w:type="dxa" w:w="20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Total profit at 24 months</w:t>
            </w:r>
          </w:p>
        </w:tc>
      </w:tr>
      <w:tr>
        <w:trPr>
          <w:cantSplit/>
        </w:trPr>
        <w:tc>
          <w:tcPr>
            <w:tcW w:type="dxa" w:w="12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$25.87</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$39.83</w:t>
            </w:r>
          </w:p>
        </w:tc>
      </w:tr>
      <w:tr>
        <w:trPr>
          <w:cantSplit/>
        </w:trPr>
        <w:tc>
          <w:tcPr>
            <w:tcW w:type="dxa" w:w="12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$28.85</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$48.31</w:t>
            </w:r>
          </w:p>
        </w:tc>
      </w:tr>
      <w:tr>
        <w:trPr>
          <w:cantSplit/>
        </w:trPr>
        <w:tc>
          <w:tcPr>
            <w:tcW w:type="dxa" w:w="12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$46.12</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$79.18</w:t>
            </w:r>
          </w:p>
        </w:tc>
      </w:tr>
      <w:tr>
        <w:trPr>
          <w:cantSplit/>
        </w:trPr>
        <w:tc>
          <w:tcPr>
            <w:tcW w:type="dxa" w:w="12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$5.98</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$19.96</w:t>
            </w:r>
          </w:p>
        </w:tc>
      </w:tr>
      <w:tr>
        <w:trPr>
          <w:cantSplit/>
        </w:trPr>
        <w:tc>
          <w:tcPr>
            <w:tcW w:type="dxa" w:w="12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$18.82</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$41.21</w:t>
            </w:r>
          </w:p>
        </w:tc>
      </w:tr>
    </w:tbl>
    <w:p>
      <w:pPr>
        <w:spacing w:after="120" w:before="0"/>
      </w:pPr>
    </w:p>
    <w:p>
      <w:pPr>
        <w:spacing w:after="160" w:before="0"/>
      </w:pPr>
      <w:r>
        <w:rPr>
          <w:rFonts w:ascii="Arial" w:cs="Arial" w:eastAsia="Arial" w:hAnsi="Arial"/>
          <w:i/>
          <w:iCs/>
          <w:color w:val="5B6573"/>
          <w:sz w:val="16"/>
          <w:szCs w:val="16"/>
        </w:rPr>
        <w:t xml:space="preserve">Expected order counts are planning estimates. Use each brand's real data when available.</w:t>
      </w:r>
    </w:p>
    <w:p>
      <w:r>
        <w:rPr>
          <w:rFonts w:ascii="Arial" w:cs="Arial" w:eastAsia="Arial" w:hAnsi="Arial"/>
          <w:sz w:val="20"/>
          <w:szCs w:val="20"/>
        </w:rPr>
        <w:t xml:space="preserve">Supplements has the best economics. Even though the first order loses money, the 30-day reorder cycle quickly turns it positive. Food makes very little per sale at every stage, which is why it needs frequency and bigger basket sizes to work.</w:t>
      </w:r>
    </w:p>
    <w:p>
      <w:pPr>
        <w:pStyle w:val="Heading2"/>
        <w:keepNext/>
      </w:pPr>
      <w:bookmarkStart w:name="sec_7_4" w:id="44"/>
      <w:r>
        <w:rPr>
          <w:rFonts w:ascii="Arial" w:cs="Arial" w:eastAsia="Arial" w:hAnsi="Arial"/>
        </w:rPr>
        <w:t xml:space="preserve">7.4 How many extra repeat orders our services need to generate</w:t>
      </w:r>
      <w:bookmarkEnd w:id="44"/>
    </w:p>
    <w:p>
      <w:r>
        <w:rPr>
          <w:rFonts w:ascii="Arial" w:cs="Arial" w:eastAsia="Arial" w:hAnsi="Arial"/>
          <w:sz w:val="20"/>
          <w:szCs w:val="20"/>
        </w:rPr>
        <w:t xml:space="preserve">The break-even point is the service fee divided by the profit on one repeat order. For example, Lhotse at $3,000 per month for a clothing brand needs $3,000 ÷ $46.51, or about 65 extra orders per month.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0"/>
        <w:gridCol w:w="1790"/>
        <w:gridCol w:w="2334"/>
        <w:gridCol w:w="2334"/>
        <w:gridCol w:w="2412"/>
      </w:tblGrid>
      <w:tr>
        <w:trPr>
          <w:cantSplit/>
          <w:tblHeader/>
        </w:trPr>
        <w:tc>
          <w:tcPr>
            <w:tcW w:type="dxa" w:w="12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179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per repeat order</w:t>
            </w:r>
          </w:p>
        </w:tc>
        <w:tc>
          <w:tcPr>
            <w:tcW w:type="dxa" w:w="23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 pay for Lhotse at $3,000/mo</w:t>
            </w:r>
          </w:p>
        </w:tc>
        <w:tc>
          <w:tcPr>
            <w:tcW w:type="dxa" w:w="23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 pay for Lhotse at $5,500/mo</w:t>
            </w:r>
          </w:p>
        </w:tc>
        <w:tc>
          <w:tcPr>
            <w:tcW w:type="dxa" w:w="241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 pay for Ascent ($5,000 once)</w:t>
            </w:r>
          </w:p>
        </w:tc>
      </w:tr>
      <w:tr>
        <w:trPr>
          <w:cantSplit/>
        </w:trPr>
        <w:tc>
          <w:tcPr>
            <w:tcW w:type="dxa" w:w="12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17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$46.51</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65 extra orders/month</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119 extra orders/month</w:t>
            </w:r>
          </w:p>
        </w:tc>
        <w:tc>
          <w:tcPr>
            <w:tcW w:type="dxa" w:w="24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108 extra orders total</w:t>
            </w:r>
          </w:p>
        </w:tc>
      </w:tr>
      <w:tr>
        <w:trPr>
          <w:cantSplit/>
        </w:trPr>
        <w:tc>
          <w:tcPr>
            <w:tcW w:type="dxa" w:w="12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17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$38.93</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142</w:t>
            </w:r>
          </w:p>
        </w:tc>
        <w:tc>
          <w:tcPr>
            <w:tcW w:type="dxa" w:w="241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129</w:t>
            </w:r>
          </w:p>
        </w:tc>
      </w:tr>
      <w:tr>
        <w:trPr>
          <w:cantSplit/>
        </w:trPr>
        <w:tc>
          <w:tcPr>
            <w:tcW w:type="dxa" w:w="12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17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$41.33</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73</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134</w:t>
            </w:r>
          </w:p>
        </w:tc>
        <w:tc>
          <w:tcPr>
            <w:tcW w:type="dxa" w:w="24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121</w:t>
            </w:r>
          </w:p>
        </w:tc>
      </w:tr>
      <w:tr>
        <w:trPr>
          <w:cantSplit/>
        </w:trPr>
        <w:tc>
          <w:tcPr>
            <w:tcW w:type="dxa" w:w="12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17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$17.47</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172</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315</w:t>
            </w:r>
          </w:p>
        </w:tc>
        <w:tc>
          <w:tcPr>
            <w:tcW w:type="dxa" w:w="241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287</w:t>
            </w:r>
          </w:p>
        </w:tc>
      </w:tr>
      <w:tr>
        <w:trPr>
          <w:cantSplit/>
        </w:trPr>
        <w:tc>
          <w:tcPr>
            <w:tcW w:type="dxa" w:w="12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17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$22.39</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134</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246</w:t>
            </w:r>
          </w:p>
        </w:tc>
        <w:tc>
          <w:tcPr>
            <w:tcW w:type="dxa" w:w="24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224</w:t>
            </w:r>
          </w:p>
        </w:tc>
      </w:tr>
    </w:tbl>
    <w:p>
      <w:pPr>
        <w:spacing w:after="120" w:before="0"/>
      </w:pPr>
    </w:p>
    <w:p>
      <w:pPr>
        <w:pStyle w:val="Heading3"/>
        <w:keepNext/>
      </w:pPr>
      <w:r>
        <w:rPr>
          <w:rFonts w:ascii="Arial" w:cs="Arial" w:eastAsia="Arial" w:hAnsi="Arial"/>
        </w:rPr>
        <w:t xml:space="preserve">In perspective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6"/>
        <w:gridCol w:w="1796"/>
        <w:gridCol w:w="3706"/>
        <w:gridCol w:w="2582"/>
      </w:tblGrid>
      <w:tr>
        <w:trPr>
          <w:cantSplit/>
          <w:tblHeader/>
        </w:trPr>
        <w:tc>
          <w:tcPr>
            <w:tcW w:type="dxa" w:w="199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Brand</w:t>
            </w:r>
          </w:p>
        </w:tc>
        <w:tc>
          <w:tcPr>
            <w:tcW w:type="dxa" w:w="179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Orders per month</w:t>
            </w:r>
          </w:p>
        </w:tc>
        <w:tc>
          <w:tcPr>
            <w:tcW w:type="dxa" w:w="370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Extra orders Lhotse must generate</w:t>
            </w:r>
          </w:p>
        </w:tc>
        <w:tc>
          <w:tcPr>
            <w:tcW w:type="dxa" w:w="25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 of monthly orders</w:t>
            </w:r>
          </w:p>
        </w:tc>
      </w:tr>
      <w:tr>
        <w:trPr>
          <w:cantSplit/>
        </w:trPr>
        <w:tc>
          <w:tcPr>
            <w:tcW w:type="dxa" w:w="199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 beauty brand</w:t>
            </w:r>
          </w:p>
        </w:tc>
        <w:tc>
          <w:tcPr>
            <w:tcW w:type="dxa" w:w="179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6,100</w:t>
            </w:r>
          </w:p>
        </w:tc>
        <w:tc>
          <w:tcPr>
            <w:tcW w:type="dxa" w:w="370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78–142</w:t>
            </w:r>
          </w:p>
        </w:tc>
        <w:tc>
          <w:tcPr>
            <w:tcW w:type="dxa" w:w="2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1.3–2.3%</w:t>
            </w:r>
          </w:p>
        </w:tc>
      </w:tr>
      <w:tr>
        <w:trPr>
          <w:cantSplit/>
        </w:trPr>
        <w:tc>
          <w:tcPr>
            <w:tcW w:type="dxa" w:w="199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 food brand</w:t>
            </w:r>
          </w:p>
        </w:tc>
        <w:tc>
          <w:tcPr>
            <w:tcW w:type="dxa" w:w="179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5,960</w:t>
            </w:r>
          </w:p>
        </w:tc>
        <w:tc>
          <w:tcPr>
            <w:tcW w:type="dxa" w:w="370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172–315</w:t>
            </w:r>
          </w:p>
        </w:tc>
        <w:tc>
          <w:tcPr>
            <w:tcW w:type="dxa" w:w="2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2.9–5.3%</w:t>
            </w:r>
          </w:p>
        </w:tc>
      </w:tr>
    </w:tbl>
    <w:p>
      <w:pPr>
        <w:spacing w:after="120" w:before="0"/>
      </w:pPr>
    </w:p>
    <w:p>
      <w:r>
        <w:rPr>
          <w:rFonts w:ascii="Arial" w:cs="Arial" w:eastAsia="Arial" w:hAnsi="Arial"/>
          <w:sz w:val="20"/>
          <w:szCs w:val="20"/>
        </w:rPr>
        <w:t xml:space="preserve">For a beauty brand the target is modest. For a food brand it is harder to hit, which is why food brands need higher revenue before we take them on, and why we always use holdout tests to prove the numbers in low-margin product types.</w:t>
      </w:r>
    </w:p>
    <w:p>
      <w:pPr>
        <w:pStyle w:val="Heading2"/>
        <w:keepNext/>
      </w:pPr>
      <w:bookmarkStart w:name="sec_7_5" w:id="45"/>
      <w:r>
        <w:rPr>
          <w:rFonts w:ascii="Arial" w:cs="Arial" w:eastAsia="Arial" w:hAnsi="Arial"/>
        </w:rPr>
        <w:t xml:space="preserve">7.5 The levers that move the model</w:t>
      </w:r>
      <w:bookmarkEnd w:id="45"/>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4032"/>
        <w:gridCol w:w="4032"/>
      </w:tblGrid>
      <w:tr>
        <w:trPr>
          <w:cantSplit/>
          <w:tblHeader/>
        </w:trPr>
        <w:tc>
          <w:tcPr>
            <w:tcW w:type="dxa" w:w="20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changes</w:t>
            </w:r>
          </w:p>
        </w:tc>
        <w:tc>
          <w:tcPr>
            <w:tcW w:type="dxa" w:w="40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The change</w:t>
            </w:r>
          </w:p>
        </w:tc>
        <w:tc>
          <w:tcPr>
            <w:tcW w:type="dxa" w:w="40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Effect on a beauty brand</w:t>
            </w:r>
          </w:p>
        </w:tc>
      </w:tr>
      <w:tr>
        <w:trPr>
          <w:cantSplit/>
        </w:trPr>
        <w:tc>
          <w:tcPr>
            <w:tcW w:type="dxa" w:w="20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customers come back</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Repeat rate goes from 25% to 30%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20% more repeat orders</w:t>
            </w:r>
          </w:p>
        </w:tc>
      </w:tr>
      <w:tr>
        <w:trPr>
          <w:cantSplit/>
        </w:trPr>
        <w:tc>
          <w:tcPr>
            <w:tcW w:type="dxa" w:w="20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Bigger repeat orders</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Average order value rises 10% through bundles</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Profit per repeat order goes from $38.93 to about $43.85</w:t>
            </w:r>
          </w:p>
        </w:tc>
      </w:tr>
      <w:tr>
        <w:trPr>
          <w:cantSplit/>
        </w:trPr>
        <w:tc>
          <w:tcPr>
            <w:tcW w:type="dxa" w:w="20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Faster reorders</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Reminder email sent at day 38 instead of day 45 for a 40-day product</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Catches buyers before they switch to a competitor</w:t>
            </w:r>
          </w:p>
        </w:tc>
      </w:tr>
      <w:tr>
        <w:trPr>
          <w:cantSplit/>
        </w:trPr>
        <w:tc>
          <w:tcPr>
            <w:tcW w:type="dxa" w:w="20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Unnecessary discounts</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20% off every repeat order</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Profit per order falls from $38.93 to $25.27, a 35% drop</w:t>
            </w:r>
          </w:p>
        </w:tc>
      </w:tr>
    </w:tbl>
    <w:p>
      <w:pPr>
        <w:spacing w:after="120" w:before="0"/>
      </w:pPr>
    </w:p>
    <w:p>
      <w:r>
        <w:rPr>
          <w:rFonts w:ascii="Arial" w:cs="Arial" w:eastAsia="Arial" w:hAnsi="Arial"/>
          <w:sz w:val="20"/>
          <w:szCs w:val="20"/>
        </w:rPr>
        <w:t xml:space="preserve">Many brands automatically put a 15% to 20% discount code in every email out of habit. On a $68 beauty order, 20% off takes away $13.66 of revenue while the product cost and shipping stay the same.</w:t>
      </w:r>
    </w:p>
    <w:p>
      <w:r>
        <w:rPr>
          <w:rFonts w:ascii="Arial" w:cs="Arial" w:eastAsia="Arial" w:hAnsi="Arial"/>
          <w:sz w:val="20"/>
          <w:szCs w:val="20"/>
        </w:rPr>
        <w:t xml:space="preserve">Save discounts for win-back campaigns, first-order conversion and Black Friday, and use education and reviews everywhere else. This can add more profit than building any new email sequence.</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In sales conversations:</w:t>
      </w:r>
      <w:r>
        <w:rPr>
          <w:rFonts w:ascii="Arial" w:cs="Arial" w:eastAsia="Arial" w:hAnsi="Arial"/>
          <w:sz w:val="20"/>
          <w:szCs w:val="20"/>
        </w:rPr>
        <w:t xml:space="preserve"> Rebuild this model live on every discovery call using the prospect's real numbers. When their own spreadsheet shows that Lhotse only needs 1% to 3% of their monthly orders to be incremental, the "too expensive" objection usually goes away.</w:t>
      </w:r>
    </w:p>
    <w:p>
      <w:pPr>
        <w:pStyle w:val="Heading1"/>
        <w:keepNext/>
        <w:pageBreakBefore/>
      </w:pPr>
      <w:bookmarkStart w:name="sec_8" w:id="46"/>
      <w:r>
        <w:rPr>
          <w:rFonts w:ascii="Arial" w:cs="Arial" w:eastAsia="Arial" w:hAnsi="Arial"/>
        </w:rPr>
        <w:t xml:space="preserve">8. When to Sell (the Business Calendar)</w:t>
      </w:r>
      <w:bookmarkEnd w:id="46"/>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Brands pay for their holiday-season stock in summer, so they are most cash-strapped in August and September and have the most cash available in January and February. This cycle, more than any marketing calendar, decides when a founder will sign a retainer contract. Sell Lhotse when budgets reset and cash returns, and sell Ascent's quick, low-risk fixes when pressure is high. Never pitch a new retainer in the weeks before Black Friday.</w:t>
      </w:r>
    </w:p>
    <w:p>
      <w:pPr>
        <w:pStyle w:val="Heading2"/>
        <w:keepNext/>
      </w:pPr>
      <w:bookmarkStart w:name="sec_8_1" w:id="47"/>
      <w:r>
        <w:rPr>
          <w:rFonts w:ascii="Arial" w:cs="Arial" w:eastAsia="Arial" w:hAnsi="Arial"/>
        </w:rPr>
        <w:t xml:space="preserve">8.1 The inventory money cycle</w:t>
      </w:r>
      <w:bookmarkEnd w:id="47"/>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5"/>
        <w:gridCol w:w="3578"/>
        <w:gridCol w:w="2059"/>
        <w:gridCol w:w="3468"/>
      </w:tblGrid>
      <w:tr>
        <w:trPr>
          <w:cantSplit/>
          <w:tblHeader/>
        </w:trPr>
        <w:tc>
          <w:tcPr>
            <w:tcW w:type="dxa" w:w="97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Timing</w:t>
            </w:r>
          </w:p>
        </w:tc>
        <w:tc>
          <w:tcPr>
            <w:tcW w:type="dxa" w:w="357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happens</w:t>
            </w:r>
          </w:p>
        </w:tc>
        <w:tc>
          <w:tcPr>
            <w:tcW w:type="dxa" w:w="20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Cash position</w:t>
            </w:r>
          </w:p>
        </w:tc>
        <w:tc>
          <w:tcPr>
            <w:tcW w:type="dxa" w:w="346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Sales implication</w:t>
            </w:r>
          </w:p>
        </w:tc>
      </w:tr>
      <w:tr>
        <w:trPr>
          <w:cantSplit/>
        </w:trPr>
        <w:tc>
          <w:tcPr>
            <w:tcW w:type="dxa" w:w="9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May–Jun</w:t>
            </w:r>
          </w:p>
        </w:tc>
        <w:tc>
          <w:tcPr>
            <w:tcW w:type="dxa" w:w="35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predicts Q4 demand</w:t>
            </w:r>
          </w:p>
        </w:tc>
        <w:tc>
          <w:tcPr>
            <w:tcW w:type="dxa" w:w="20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Planning</w:t>
            </w:r>
          </w:p>
        </w:tc>
        <w:tc>
          <w:tcPr>
            <w:tcW w:type="dxa" w:w="34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9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June</w:t>
            </w:r>
          </w:p>
        </w:tc>
        <w:tc>
          <w:tcPr>
            <w:tcW w:type="dxa" w:w="35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orders products</w:t>
            </w:r>
          </w:p>
        </w:tc>
        <w:tc>
          <w:tcPr>
            <w:tcW w:type="dxa" w:w="20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Commitment made</w:t>
            </w:r>
          </w:p>
        </w:tc>
        <w:tc>
          <w:tcPr>
            <w:tcW w:type="dxa" w:w="34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9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Late June</w:t>
            </w:r>
          </w:p>
        </w:tc>
        <w:tc>
          <w:tcPr>
            <w:tcW w:type="dxa" w:w="35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 deposit paid to factory</w:t>
            </w:r>
          </w:p>
        </w:tc>
        <w:tc>
          <w:tcPr>
            <w:tcW w:type="dxa" w:w="20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Cash going out fast</w:t>
            </w:r>
          </w:p>
        </w:tc>
        <w:tc>
          <w:tcPr>
            <w:tcW w:type="dxa" w:w="34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Worst time to ask for a retainer</w:t>
            </w:r>
          </w:p>
        </w:tc>
      </w:tr>
      <w:tr>
        <w:trPr>
          <w:cantSplit/>
        </w:trPr>
        <w:tc>
          <w:tcPr>
            <w:tcW w:type="dxa" w:w="9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September</w:t>
            </w:r>
          </w:p>
        </w:tc>
        <w:tc>
          <w:tcPr>
            <w:tcW w:type="dxa" w:w="35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70% balance paid when stock ships</w:t>
            </w:r>
          </w:p>
        </w:tc>
        <w:tc>
          <w:tcPr>
            <w:tcW w:type="dxa" w:w="20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Cash going out fast</w:t>
            </w:r>
          </w:p>
        </w:tc>
        <w:tc>
          <w:tcPr>
            <w:tcW w:type="dxa" w:w="34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Worst time to ask for a retainer</w:t>
            </w:r>
          </w:p>
        </w:tc>
      </w:tr>
      <w:tr>
        <w:trPr>
          <w:cantSplit/>
        </w:trPr>
        <w:tc>
          <w:tcPr>
            <w:tcW w:type="dxa" w:w="9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Oct–Nov</w:t>
            </w:r>
          </w:p>
        </w:tc>
        <w:tc>
          <w:tcPr>
            <w:tcW w:type="dxa" w:w="35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Stock arrives at warehouse</w:t>
            </w:r>
          </w:p>
        </w:tc>
        <w:tc>
          <w:tcPr>
            <w:tcW w:type="dxa" w:w="20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Cash still tied up</w:t>
            </w:r>
          </w:p>
        </w:tc>
        <w:tc>
          <w:tcPr>
            <w:tcW w:type="dxa" w:w="34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9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December</w:t>
            </w:r>
          </w:p>
        </w:tc>
        <w:tc>
          <w:tcPr>
            <w:tcW w:type="dxa" w:w="35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Revenue peaks</w:t>
            </w:r>
          </w:p>
        </w:tc>
        <w:tc>
          <w:tcPr>
            <w:tcW w:type="dxa" w:w="20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Cash coming in</w:t>
            </w:r>
          </w:p>
        </w:tc>
        <w:tc>
          <w:tcPr>
            <w:tcW w:type="dxa" w:w="34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time to pitch begins</w:t>
            </w:r>
          </w:p>
        </w:tc>
      </w:tr>
      <w:tr>
        <w:trPr>
          <w:cantSplit/>
        </w:trPr>
        <w:tc>
          <w:tcPr>
            <w:tcW w:type="dxa" w:w="9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January</w:t>
            </w:r>
          </w:p>
        </w:tc>
        <w:tc>
          <w:tcPr>
            <w:tcW w:type="dxa" w:w="35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Returns land</w:t>
            </w:r>
          </w:p>
        </w:tc>
        <w:tc>
          <w:tcPr>
            <w:tcW w:type="dxa" w:w="20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Cash coming in</w:t>
            </w:r>
          </w:p>
        </w:tc>
        <w:tc>
          <w:tcPr>
            <w:tcW w:type="dxa" w:w="34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time to pitch</w:t>
            </w:r>
          </w:p>
        </w:tc>
      </w:tr>
    </w:tbl>
    <w:p>
      <w:pPr>
        <w:spacing w:after="120" w:before="0"/>
      </w:pPr>
    </w:p>
    <w:p>
      <w:r>
        <w:rPr>
          <w:rFonts w:ascii="Arial" w:cs="Arial" w:eastAsia="Arial" w:hAnsi="Arial"/>
          <w:sz w:val="20"/>
          <w:szCs w:val="20"/>
        </w:rPr>
        <w:t xml:space="preserve">This cash timing gives Ascent a useful argument in the fall: </w:t>
      </w:r>
      <w:r>
        <w:rPr>
          <w:rFonts w:ascii="Arial" w:cs="Arial" w:eastAsia="Arial" w:hAnsi="Arial"/>
          <w:i/>
          <w:iCs/>
          <w:sz w:val="20"/>
          <w:szCs w:val="20"/>
        </w:rPr>
        <w:t xml:space="preserve">every order lost to the spam folder is inventory you have already paid for and cannot afford to lose now.</w:t>
      </w:r>
    </w:p>
    <w:p>
      <w:pPr>
        <w:pStyle w:val="Heading2"/>
        <w:keepNext/>
      </w:pPr>
      <w:bookmarkStart w:name="sec_8_2" w:id="48"/>
      <w:r>
        <w:rPr>
          <w:rFonts w:ascii="Arial" w:cs="Arial" w:eastAsia="Arial" w:hAnsi="Arial"/>
        </w:rPr>
        <w:t xml:space="preserve">8.2 Month-by-month guide</w:t>
      </w:r>
      <w:bookmarkEnd w:id="48"/>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636"/>
        <w:gridCol w:w="2558"/>
        <w:gridCol w:w="900"/>
        <w:gridCol w:w="3086"/>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Month</w:t>
            </w:r>
          </w:p>
        </w:tc>
        <w:tc>
          <w:tcPr>
            <w:tcW w:type="dxa" w:w="26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Cash and inventory</w:t>
            </w:r>
          </w:p>
        </w:tc>
        <w:tc>
          <w:tcPr>
            <w:tcW w:type="dxa" w:w="25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brands are focused on</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Pitch window</w:t>
            </w:r>
          </w:p>
        </w:tc>
        <w:tc>
          <w:tcPr>
            <w:tcW w:type="dxa" w:w="308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GrowMailers does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January</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Returns arriving; new budgets just opened</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Reviewing what peak taught them; resolutions (supplements surge)</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Best window.</w:t>
            </w:r>
            <w:r>
              <w:rPr>
                <w:rFonts w:ascii="Arial" w:cs="Arial" w:eastAsia="Arial" w:hAnsi="Arial"/>
                <w:sz w:val="16"/>
                <w:szCs w:val="16"/>
              </w:rPr>
              <w:t xml:space="preserve"> Pitch Lhotse using their peak data. Pitch Ascent to brands that had December problems.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February</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Recovering financially</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Valentine's Day; Mothering Sunday prep (UK/Ireland)</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starts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March</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Stable</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Mothering Sunday (7 Mar); Easter preparation</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for US, Canada, non-gifting brands; Ascent everywhere</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April</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Stable; UK tax year starts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Building toward Mother's Day</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 services; Australian brands start planning EOFY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May</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Forecasting Q4 inventory needs</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Mother's Day (9 May); Australian EOFY prep</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Australian brands must be ready by early May</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June</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Putting down Q4 deposits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Father's Day; Australian EOFY sales</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Second window:</w:t>
            </w:r>
            <w:r>
              <w:rPr>
                <w:rFonts w:ascii="Arial" w:cs="Arial" w:eastAsia="Arial" w:hAnsi="Arial"/>
                <w:sz w:val="16"/>
                <w:szCs w:val="16"/>
              </w:rPr>
              <w:t xml:space="preserve"> pitch Black Friday readiness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July</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Getting tighter; stock in transit</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Day; back-to-school</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starts still have time to be peak-ready; Ascent domain projects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August</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Tight; stock on ships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planning and audits start</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first; last chance for Lhotse to be fully ready for peak</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September</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Worst cash moment</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Final creative and list preparation for peak</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Last call; new sending domains must start warming by mid-September</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October</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Stock arriving; setup locks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Big Deal Days; volume ramp-up</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Safe Ascent fixes only until about October 16</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November</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Change freeze</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and Cyber Monday</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pitching. Book January conversations.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December</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Peak revenue arriving</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Shipping cut-offs; Boxing Day</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Book January. December struggles feed January pitches.</w:t>
            </w:r>
          </w:p>
        </w:tc>
      </w:tr>
    </w:tbl>
    <w:p>
      <w:pPr>
        <w:spacing w:after="120" w:before="0"/>
      </w:pPr>
    </w:p>
    <w:p>
      <w:pPr>
        <w:pStyle w:val="Heading2"/>
        <w:keepNext/>
      </w:pPr>
      <w:bookmarkStart w:name="sec_8_3" w:id="49"/>
      <w:r>
        <w:rPr>
          <w:rFonts w:ascii="Arial" w:cs="Arial" w:eastAsia="Arial" w:hAnsi="Arial"/>
        </w:rPr>
        <w:t xml:space="preserve">8.3 When budgets reset by country</w:t>
      </w:r>
      <w:bookmarkEnd w:id="49"/>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4"/>
        <w:gridCol w:w="4128"/>
        <w:gridCol w:w="4608"/>
      </w:tblGrid>
      <w:tr>
        <w:trPr>
          <w:cantSplit/>
          <w:tblHeader/>
        </w:trPr>
        <w:tc>
          <w:tcPr>
            <w:tcW w:type="dxa" w:w="13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412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Budget or financial year</w:t>
            </w:r>
          </w:p>
        </w:tc>
        <w:tc>
          <w:tcPr>
            <w:tcW w:type="dxa" w:w="46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 for timing</w:t>
            </w:r>
          </w:p>
        </w:tc>
      </w:tr>
      <w:tr>
        <w:trPr>
          <w:cantSplit/>
        </w:trPr>
        <w:tc>
          <w:tcPr>
            <w:tcW w:type="dxa" w:w="13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and Canada</w:t>
            </w:r>
          </w:p>
        </w:tc>
        <w:tc>
          <w:tcPr>
            <w:tcW w:type="dxa" w:w="41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Mostly January to December</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January is the best buying moment</w:t>
            </w:r>
          </w:p>
        </w:tc>
      </w:tr>
      <w:tr>
        <w:trPr>
          <w:cantSplit/>
        </w:trPr>
        <w:tc>
          <w:tcPr>
            <w:tcW w:type="dxa" w:w="13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and Ireland</w:t>
            </w:r>
          </w:p>
        </w:tc>
        <w:tc>
          <w:tcPr>
            <w:tcW w:type="dxa" w:w="41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Some brands reset budgets in April</w:t>
            </w:r>
          </w:p>
        </w:tc>
        <w:tc>
          <w:tcPr>
            <w:tcW w:type="dxa" w:w="46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Expect some budgets to open in April</w:t>
            </w:r>
          </w:p>
        </w:tc>
      </w:tr>
      <w:tr>
        <w:trPr>
          <w:cantSplit/>
        </w:trPr>
        <w:tc>
          <w:tcPr>
            <w:tcW w:type="dxa" w:w="13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41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July to June (EOFY = End of Financial Year)</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Two good windows: January–March, and July–August after EOFY</w:t>
            </w:r>
          </w:p>
        </w:tc>
      </w:tr>
      <w:tr>
        <w:trPr>
          <w:cantSplit/>
        </w:trPr>
        <w:tc>
          <w:tcPr>
            <w:tcW w:type="dxa" w:w="13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41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Often April to March</w:t>
            </w:r>
          </w:p>
        </w:tc>
        <w:tc>
          <w:tcPr>
            <w:tcW w:type="dxa" w:w="46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Expect budgets to reset in April</w:t>
            </w:r>
          </w:p>
        </w:tc>
      </w:tr>
    </w:tbl>
    <w:p>
      <w:pPr>
        <w:spacing w:after="120" w:before="0"/>
      </w:pPr>
    </w:p>
    <w:p>
      <w:pPr>
        <w:pStyle w:val="Heading3"/>
        <w:keepNext/>
      </w:pPr>
      <w:r>
        <w:rPr>
          <w:rFonts w:ascii="Arial" w:cs="Arial" w:eastAsia="Arial" w:hAnsi="Arial"/>
        </w:rPr>
        <w:t xml:space="preserve">Reading the signals in a brand's emails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6"/>
        <w:gridCol w:w="2749"/>
        <w:gridCol w:w="3665"/>
      </w:tblGrid>
      <w:tr>
        <w:trPr>
          <w:cantSplit/>
          <w:tblHeader/>
        </w:trPr>
        <w:tc>
          <w:tcPr>
            <w:tcW w:type="dxa" w:w="36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observe in their emails</w:t>
            </w:r>
          </w:p>
        </w:tc>
        <w:tc>
          <w:tcPr>
            <w:tcW w:type="dxa" w:w="274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signals</w:t>
            </w:r>
          </w:p>
        </w:tc>
        <w:tc>
          <w:tcPr>
            <w:tcW w:type="dxa" w:w="36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do</w:t>
            </w:r>
          </w:p>
        </w:tc>
      </w:tr>
      <w:tr>
        <w:trPr>
          <w:cantSplit/>
        </w:trPr>
        <w:tc>
          <w:tcPr>
            <w:tcW w:type="dxa" w:w="36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Heavy discounting in August and September emails</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 much stock or a cash squeeze</w:t>
            </w:r>
          </w:p>
        </w:tc>
        <w:tc>
          <w:tcPr>
            <w:tcW w:type="dxa" w:w="3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Lead with Ascent or profit protection; delay the Lhotse pitch</w:t>
            </w:r>
          </w:p>
        </w:tc>
      </w:tr>
      <w:tr>
        <w:trPr>
          <w:cantSplit/>
        </w:trPr>
        <w:tc>
          <w:tcPr>
            <w:tcW w:type="dxa" w:w="36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Pre-orders or "ships in 6 weeks" messages</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Cash tied up in inventory</w:t>
            </w:r>
          </w:p>
        </w:tc>
        <w:tc>
          <w:tcPr>
            <w:tcW w:type="dxa" w:w="36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Low-commitment, value-first approach</w:t>
            </w:r>
          </w:p>
        </w:tc>
      </w:tr>
      <w:tr>
        <w:trPr>
          <w:cantSplit/>
        </w:trPr>
        <w:tc>
          <w:tcPr>
            <w:tcW w:type="dxa" w:w="36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 launches and new job postings</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mode</w:t>
            </w:r>
          </w:p>
        </w:tc>
        <w:tc>
          <w:tcPr>
            <w:tcW w:type="dxa" w:w="3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framed as scaling what already works</w:t>
            </w:r>
          </w:p>
        </w:tc>
      </w:tr>
      <w:tr>
        <w:trPr>
          <w:cantSplit/>
        </w:trPr>
        <w:tc>
          <w:tcPr>
            <w:tcW w:type="dxa" w:w="36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Fundraising announcement</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budget and pressure to grow fast</w:t>
            </w:r>
          </w:p>
        </w:tc>
        <w:tc>
          <w:tcPr>
            <w:tcW w:type="dxa" w:w="36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Scale with board-ready reporting</w:t>
            </w:r>
          </w:p>
        </w:tc>
      </w:tr>
      <w:tr>
        <w:trPr>
          <w:cantSplit/>
        </w:trPr>
        <w:tc>
          <w:tcPr>
            <w:tcW w:type="dxa" w:w="36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posting about tariffs or ad costs</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Profit pressure is top of mind</w:t>
            </w:r>
          </w:p>
        </w:tc>
        <w:tc>
          <w:tcPr>
            <w:tcW w:type="dxa" w:w="3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Lead with retention economics (Sections 2 and 7)</w:t>
            </w:r>
          </w:p>
        </w:tc>
      </w:tr>
    </w:tbl>
    <w:p>
      <w:pPr>
        <w:spacing w:after="120" w:before="0"/>
      </w:pPr>
    </w:p>
    <w:p>
      <w:pPr>
        <w:pStyle w:val="Heading1"/>
        <w:keepNext/>
        <w:pageBreakBefore/>
      </w:pPr>
      <w:bookmarkStart w:name="sec_9" w:id="50"/>
      <w:r>
        <w:rPr>
          <w:rFonts w:ascii="Arial" w:cs="Arial" w:eastAsia="Arial" w:hAnsi="Arial"/>
        </w:rPr>
        <w:t xml:space="preserve">9. How to Measure Whether Email Is Working</w:t>
      </w:r>
      <w:bookmarkEnd w:id="50"/>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Open rates are no longer a useful measurement, because Apple automatically opens most emails whether or not a real person reads them. Judge an email program by click rate, purchase rate, revenue per email sent and, most importantly, holdout-tested lift (testing whether email actually caused the purchase or the customer would have bought anyway). Healthy brands earn 20% to 30% of their website revenue from email and texts. Below 8%, there is basically no real email program.</w:t>
      </w:r>
    </w:p>
    <w:p>
      <w:pPr>
        <w:pStyle w:val="Heading2"/>
        <w:keepNext/>
      </w:pPr>
      <w:bookmarkStart w:name="sec_9_1" w:id="51"/>
      <w:r>
        <w:rPr>
          <w:rFonts w:ascii="Arial" w:cs="Arial" w:eastAsia="Arial" w:hAnsi="Arial"/>
        </w:rPr>
        <w:t xml:space="preserve">9.1 How much revenue email should drive</w:t>
      </w:r>
      <w:bookmarkEnd w:id="51"/>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8"/>
        <w:gridCol w:w="2831"/>
        <w:gridCol w:w="4531"/>
      </w:tblGrid>
      <w:tr>
        <w:trPr>
          <w:cantSplit/>
          <w:tblHeader/>
        </w:trPr>
        <w:tc>
          <w:tcPr>
            <w:tcW w:type="dxa" w:w="271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Email's share of website revenue</w:t>
            </w:r>
          </w:p>
        </w:tc>
        <w:tc>
          <w:tcPr>
            <w:tcW w:type="dxa" w:w="28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45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GrowMailers recommends</w:t>
            </w:r>
          </w:p>
        </w:tc>
      </w:tr>
      <w:tr>
        <w:trPr>
          <w:cantSplit/>
        </w:trPr>
        <w:tc>
          <w:tcPr>
            <w:tcW w:type="dxa" w:w="271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Under 8%</w:t>
            </w:r>
          </w:p>
        </w:tc>
        <w:tc>
          <w:tcPr>
            <w:tcW w:type="dxa" w:w="28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real program</w:t>
            </w:r>
          </w:p>
        </w:tc>
        <w:tc>
          <w:tcPr>
            <w:tcW w:type="dxa" w:w="4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Lhotse build, start with automated sequences</w:t>
            </w:r>
          </w:p>
        </w:tc>
      </w:tr>
      <w:tr>
        <w:trPr>
          <w:cantSplit/>
        </w:trPr>
        <w:tc>
          <w:tcPr>
            <w:tcW w:type="dxa" w:w="271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8–20%</w:t>
            </w:r>
          </w:p>
        </w:tc>
        <w:tc>
          <w:tcPr>
            <w:tcW w:type="dxa" w:w="28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Underdeveloped</w:t>
            </w:r>
          </w:p>
        </w:tc>
        <w:tc>
          <w:tcPr>
            <w:tcW w:type="dxa" w:w="45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fill sequence gaps and improve targeting</w:t>
            </w:r>
          </w:p>
        </w:tc>
      </w:tr>
      <w:tr>
        <w:trPr>
          <w:cantSplit/>
        </w:trPr>
        <w:tc>
          <w:tcPr>
            <w:tcW w:type="dxa" w:w="271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20–30%</w:t>
            </w:r>
          </w:p>
        </w:tc>
        <w:tc>
          <w:tcPr>
            <w:tcW w:type="dxa" w:w="28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Healthy</w:t>
            </w:r>
          </w:p>
        </w:tc>
        <w:tc>
          <w:tcPr>
            <w:tcW w:type="dxa" w:w="4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optimize and test</w:t>
            </w:r>
          </w:p>
        </w:tc>
      </w:tr>
      <w:tr>
        <w:trPr>
          <w:cantSplit/>
        </w:trPr>
        <w:tc>
          <w:tcPr>
            <w:tcW w:type="dxa" w:w="271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30–40%</w:t>
            </w:r>
          </w:p>
        </w:tc>
        <w:tc>
          <w:tcPr>
            <w:tcW w:type="dxa" w:w="28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Top tier</w:t>
            </w:r>
          </w:p>
        </w:tc>
        <w:tc>
          <w:tcPr>
            <w:tcW w:type="dxa" w:w="45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to protect it; Lhotse Scale if the team is stretched</w:t>
            </w:r>
          </w:p>
        </w:tc>
      </w:tr>
      <w:tr>
        <w:trPr>
          <w:cantSplit/>
        </w:trPr>
        <w:tc>
          <w:tcPr>
            <w:tcW w:type="dxa" w:w="271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40%</w:t>
            </w:r>
          </w:p>
        </w:tc>
        <w:tc>
          <w:tcPr>
            <w:tcW w:type="dxa" w:w="28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the attribution settings</w:t>
            </w:r>
          </w:p>
        </w:tc>
        <w:tc>
          <w:tcPr>
            <w:tcW w:type="dxa" w:w="4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Often caused by a very wide attribution window, heavy discounting, or low ad spend</w:t>
            </w:r>
          </w:p>
        </w:tc>
      </w:tr>
    </w:tbl>
    <w:p>
      <w:pPr>
        <w:spacing w:after="120" w:before="0"/>
      </w:pPr>
    </w:p>
    <w:p>
      <w:r>
        <w:rPr>
          <w:rFonts w:ascii="Arial" w:cs="Arial" w:eastAsia="Arial" w:hAnsi="Arial"/>
          <w:b/>
          <w:bCs/>
          <w:sz w:val="20"/>
          <w:szCs w:val="20"/>
        </w:rPr>
        <w:t xml:space="preserve">Always record which attribution window was used.</w:t>
      </w:r>
      <w:r>
        <w:rPr>
          <w:rFonts w:ascii="Arial" w:cs="Arial" w:eastAsia="Arial" w:hAnsi="Arial"/>
          <w:sz w:val="20"/>
          <w:szCs w:val="20"/>
        </w:rPr>
        <w:t xml:space="preserve"> By default, Klaviyo credits any order placed within 5 days of an email open or click as an "email order." This overstates email's real effect, especially since Apple auto-opens inflate the open count.</w:t>
      </w:r>
    </w:p>
    <w:p>
      <w:pPr>
        <w:pStyle w:val="Heading2"/>
        <w:keepNext/>
      </w:pPr>
      <w:bookmarkStart w:name="sec_9_2" w:id="52"/>
      <w:r>
        <w:rPr>
          <w:rFonts w:ascii="Arial" w:cs="Arial" w:eastAsia="Arial" w:hAnsi="Arial"/>
        </w:rPr>
        <w:t xml:space="preserve">9.2 Industry benchmarks by platform</w:t>
      </w:r>
      <w:bookmarkEnd w:id="52"/>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9"/>
        <w:gridCol w:w="1881"/>
        <w:gridCol w:w="2988"/>
        <w:gridCol w:w="1991"/>
        <w:gridCol w:w="1991"/>
      </w:tblGrid>
      <w:tr>
        <w:trPr>
          <w:cantSplit/>
          <w:tblHeader/>
        </w:trPr>
        <w:tc>
          <w:tcPr>
            <w:tcW w:type="dxa" w:w="12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18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campaigns</w:t>
            </w:r>
          </w:p>
        </w:tc>
        <w:tc>
          <w:tcPr>
            <w:tcW w:type="dxa" w:w="29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automated sequences</w:t>
            </w:r>
          </w:p>
        </w:tc>
        <w:tc>
          <w:tcPr>
            <w:tcW w:type="dxa" w:w="19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Omnisend campaigns</w:t>
            </w:r>
          </w:p>
        </w:tc>
        <w:tc>
          <w:tcPr>
            <w:tcW w:type="dxa" w:w="19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Omnisend automated</w:t>
            </w:r>
          </w:p>
        </w:tc>
      </w:tr>
      <w:tr>
        <w:trPr>
          <w:cantSplit/>
        </w:trPr>
        <w:tc>
          <w:tcPr>
            <w:tcW w:type="dxa" w:w="12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Click rate</w:t>
            </w:r>
          </w:p>
        </w:tc>
        <w:tc>
          <w:tcPr>
            <w:tcW w:type="dxa" w:w="1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1.69%</w:t>
            </w:r>
          </w:p>
        </w:tc>
        <w:tc>
          <w:tcPr>
            <w:tcW w:type="dxa" w:w="2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5.58%</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0.74%</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4.66%</w:t>
            </w:r>
          </w:p>
        </w:tc>
      </w:tr>
      <w:tr>
        <w:trPr>
          <w:cantSplit/>
        </w:trPr>
        <w:tc>
          <w:tcPr>
            <w:tcW w:type="dxa" w:w="12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 rate</w:t>
            </w:r>
          </w:p>
        </w:tc>
        <w:tc>
          <w:tcPr>
            <w:tcW w:type="dxa" w:w="1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0.97–1.34%</w:t>
            </w:r>
          </w:p>
        </w:tc>
        <w:tc>
          <w:tcPr>
            <w:tcW w:type="dxa" w:w="2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1.62–2.17%</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0.08%</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1.49%</w:t>
            </w:r>
          </w:p>
        </w:tc>
      </w:tr>
    </w:tbl>
    <w:p>
      <w:pPr>
        <w:spacing w:after="120" w:before="0"/>
      </w:pPr>
    </w:p>
    <w:p>
      <w:pPr>
        <w:spacing w:after="160" w:before="0"/>
      </w:pPr>
      <w:r>
        <w:rPr>
          <w:rFonts w:ascii="Arial" w:cs="Arial" w:eastAsia="Arial" w:hAnsi="Arial"/>
          <w:i/>
          <w:iCs/>
          <w:color w:val="5B6573"/>
          <w:sz w:val="16"/>
          <w:szCs w:val="16"/>
        </w:rPr>
        <w:t xml:space="preserve">Klaviyo 2026 data; Omnisend 2025 data. Compare a brand only against its own platform's numbers.</w:t>
      </w:r>
    </w:p>
    <w:p>
      <w:r>
        <w:rPr>
          <w:rFonts w:ascii="Arial" w:cs="Arial" w:eastAsia="Arial" w:hAnsi="Arial"/>
          <w:b/>
          <w:bCs/>
          <w:sz w:val="20"/>
          <w:szCs w:val="20"/>
        </w:rPr>
        <w:t xml:space="preserve">Rule of thumb:</w:t>
      </w:r>
      <w:r>
        <w:rPr>
          <w:rFonts w:ascii="Arial" w:cs="Arial" w:eastAsia="Arial" w:hAnsi="Arial"/>
          <w:sz w:val="20"/>
          <w:szCs w:val="20"/>
        </w:rPr>
        <w:t xml:space="preserve"> On Klaviyo, if a campaign's order rate is well below 1%, the email program has a problem.</w:t>
      </w:r>
    </w:p>
    <w:p>
      <w:pPr>
        <w:pStyle w:val="Heading2"/>
        <w:keepNext/>
      </w:pPr>
      <w:bookmarkStart w:name="sec_9_3" w:id="53"/>
      <w:r>
        <w:rPr>
          <w:rFonts w:ascii="Arial" w:cs="Arial" w:eastAsia="Arial" w:hAnsi="Arial"/>
        </w:rPr>
        <w:t xml:space="preserve">9.3 The Apple problem (why open rates are broken)</w:t>
      </w:r>
      <w:bookmarkEnd w:id="53"/>
    </w:p>
    <w:p>
      <w:r>
        <w:rPr>
          <w:rFonts w:ascii="Arial" w:cs="Arial" w:eastAsia="Arial" w:hAnsi="Arial"/>
          <w:sz w:val="20"/>
          <w:szCs w:val="20"/>
        </w:rPr>
        <w:t xml:space="preserve">Apple's Mail Privacy Protection (MPP) automatically pre-loads emails when they arrive. This registers an "open" in the email platform even if the person never reads the email. Litmus reported that Apple accounted for 62% of all tracked opens in July 2026, with MPP affecting about 55% to 60% of all opens.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0"/>
        <w:gridCol w:w="5760"/>
      </w:tblGrid>
      <w:tr>
        <w:trPr>
          <w:cantSplit/>
          <w:tblHeader/>
        </w:trPr>
        <w:tc>
          <w:tcPr>
            <w:tcW w:type="dxa" w:w="43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Problem</w:t>
            </w:r>
          </w:p>
        </w:tc>
        <w:tc>
          <w:tcPr>
            <w:tcW w:type="dxa" w:w="57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it happens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Engagement targeting goes wrong</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filter for "opened in the last 90 days" now includes people who never looked at the email.</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Subject line tests become unreliable</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When machines open half your emails, open rate cannot be trusted as a test metric.</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Inactive subscribers look active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sunset policy (removing inactive people) fails because Apple keeps triggering "opens" even for dead subscribers.</w:t>
            </w:r>
          </w:p>
        </w:tc>
      </w:tr>
    </w:tbl>
    <w:p>
      <w:pPr>
        <w:spacing w:after="120" w:before="0"/>
      </w:pPr>
    </w:p>
    <w:p>
      <w:r>
        <w:rPr>
          <w:rFonts w:ascii="Arial" w:cs="Arial" w:eastAsia="Arial" w:hAnsi="Arial"/>
          <w:b/>
          <w:bCs/>
          <w:sz w:val="20"/>
          <w:szCs w:val="20"/>
        </w:rPr>
        <w:t xml:space="preserve">The fix:</w:t>
      </w:r>
      <w:r>
        <w:rPr>
          <w:rFonts w:ascii="Arial" w:cs="Arial" w:eastAsia="Arial" w:hAnsi="Arial"/>
          <w:sz w:val="20"/>
          <w:szCs w:val="20"/>
        </w:rPr>
        <w:t xml:space="preserve"> define engagement by clicks, website visits and orders, not opens. Exclude Apple auto-opens where Klaviyo allows it. Only use opens as a sign of a technical problem at one specific email provider.</w:t>
      </w:r>
    </w:p>
    <w:p>
      <w:pPr>
        <w:pStyle w:val="Heading3"/>
        <w:keepNext/>
      </w:pPr>
      <w:r>
        <w:rPr>
          <w:rFonts w:ascii="Arial" w:cs="Arial" w:eastAsia="Arial" w:hAnsi="Arial"/>
        </w:rPr>
        <w:t xml:space="preserve">Which metrics to trust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5"/>
        <w:gridCol w:w="2176"/>
        <w:gridCol w:w="5499"/>
      </w:tblGrid>
      <w:tr>
        <w:trPr>
          <w:cantSplit/>
          <w:tblHeader/>
        </w:trPr>
        <w:tc>
          <w:tcPr>
            <w:tcW w:type="dxa" w:w="240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Rank</w:t>
            </w:r>
          </w:p>
        </w:tc>
        <w:tc>
          <w:tcPr>
            <w:tcW w:type="dxa" w:w="21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549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tells you</w:t>
            </w:r>
          </w:p>
        </w:tc>
      </w:tr>
      <w:tr>
        <w:trPr>
          <w:cantSplit/>
        </w:trPr>
        <w:tc>
          <w:tcPr>
            <w:tcW w:type="dxa" w:w="24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 (most trustworthy)</w:t>
            </w:r>
          </w:p>
        </w:tc>
        <w:tc>
          <w:tcPr>
            <w:tcW w:type="dxa" w:w="21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Incremental revenue</w:t>
            </w:r>
          </w:p>
        </w:tc>
        <w:tc>
          <w:tcPr>
            <w:tcW w:type="dxa" w:w="5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Lift tested against a control group (the real number)</w:t>
            </w:r>
          </w:p>
        </w:tc>
      </w:tr>
      <w:tr>
        <w:trPr>
          <w:cantSplit/>
        </w:trPr>
        <w:tc>
          <w:tcPr>
            <w:tcW w:type="dxa" w:w="24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21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Revenue per email</w:t>
            </w:r>
          </w:p>
        </w:tc>
        <w:tc>
          <w:tcPr>
            <w:tcW w:type="dxa" w:w="5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Reach × relevance × conversion</w:t>
            </w:r>
          </w:p>
        </w:tc>
      </w:tr>
      <w:tr>
        <w:trPr>
          <w:cantSplit/>
        </w:trPr>
        <w:tc>
          <w:tcPr>
            <w:tcW w:type="dxa" w:w="24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21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 rate</w:t>
            </w:r>
          </w:p>
        </w:tc>
        <w:tc>
          <w:tcPr>
            <w:tcW w:type="dxa" w:w="5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Whether the email produced actual purchases</w:t>
            </w:r>
          </w:p>
        </w:tc>
      </w:tr>
      <w:tr>
        <w:trPr>
          <w:cantSplit/>
        </w:trPr>
        <w:tc>
          <w:tcPr>
            <w:tcW w:type="dxa" w:w="24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21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Click rate</w:t>
            </w:r>
          </w:p>
        </w:tc>
        <w:tc>
          <w:tcPr>
            <w:tcW w:type="dxa" w:w="5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Whether a real person engaged</w:t>
            </w:r>
          </w:p>
        </w:tc>
      </w:tr>
      <w:tr>
        <w:trPr>
          <w:cantSplit/>
        </w:trPr>
        <w:tc>
          <w:tcPr>
            <w:tcW w:type="dxa" w:w="24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21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Delivery health</w:t>
            </w:r>
          </w:p>
        </w:tc>
        <w:tc>
          <w:tcPr>
            <w:tcW w:type="dxa" w:w="5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Bounces, spam complaints, inbox rate by provider</w:t>
            </w:r>
          </w:p>
        </w:tc>
      </w:tr>
      <w:tr>
        <w:trPr>
          <w:cantSplit/>
        </w:trPr>
        <w:tc>
          <w:tcPr>
            <w:tcW w:type="dxa" w:w="24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 (least trustworthy)</w:t>
            </w:r>
          </w:p>
        </w:tc>
        <w:tc>
          <w:tcPr>
            <w:tcW w:type="dxa" w:w="21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Open rate</w:t>
            </w:r>
          </w:p>
        </w:tc>
        <w:tc>
          <w:tcPr>
            <w:tcW w:type="dxa" w:w="5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Diagnostic only (broken by Apple auto-opens)</w:t>
            </w:r>
          </w:p>
        </w:tc>
      </w:tr>
    </w:tbl>
    <w:p>
      <w:pPr>
        <w:spacing w:after="120" w:before="0"/>
      </w:pPr>
    </w:p>
    <w:p>
      <w:pPr>
        <w:pStyle w:val="Heading2"/>
        <w:keepNext/>
      </w:pPr>
      <w:bookmarkStart w:name="sec_9_4" w:id="54"/>
      <w:r>
        <w:rPr>
          <w:rFonts w:ascii="Arial" w:cs="Arial" w:eastAsia="Arial" w:hAnsi="Arial"/>
        </w:rPr>
        <w:t xml:space="preserve">9.4 Targets for a healthy Lhotse client</w:t>
      </w:r>
      <w:bookmarkEnd w:id="54"/>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9"/>
        <w:gridCol w:w="3870"/>
        <w:gridCol w:w="3871"/>
      </w:tblGrid>
      <w:tr>
        <w:trPr>
          <w:cantSplit/>
          <w:tblHeader/>
        </w:trPr>
        <w:tc>
          <w:tcPr>
            <w:tcW w:type="dxa" w:w="233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387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Healthy range</w:t>
            </w:r>
          </w:p>
        </w:tc>
        <w:tc>
          <w:tcPr>
            <w:tcW w:type="dxa" w:w="387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When to act</w:t>
            </w:r>
          </w:p>
        </w:tc>
      </w:tr>
      <w:tr>
        <w:trPr>
          <w:cantSplit/>
        </w:trPr>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 click rate (Klaviyo)</w:t>
            </w:r>
          </w:p>
        </w:tc>
        <w:tc>
          <w:tcPr>
            <w:tcW w:type="dxa" w:w="38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w:t>
            </w:r>
          </w:p>
        </w:tc>
        <w:tc>
          <w:tcPr>
            <w:tcW w:type="dxa" w:w="3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1% for 4 weeks in a row</w:t>
            </w:r>
          </w:p>
        </w:tc>
      </w:tr>
      <w:tr>
        <w:trPr>
          <w:cantSplit/>
        </w:trPr>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 order rate (Klaviyo)</w:t>
            </w:r>
          </w:p>
        </w:tc>
        <w:tc>
          <w:tcPr>
            <w:tcW w:type="dxa" w:w="387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 or better</w:t>
            </w:r>
          </w:p>
        </w:tc>
        <w:tc>
          <w:tcPr>
            <w:tcW w:type="dxa" w:w="3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Well below 1%</w:t>
            </w:r>
          </w:p>
        </w:tc>
      </w:tr>
      <w:tr>
        <w:trPr>
          <w:cantSplit/>
        </w:trPr>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Spam complaint rate</w:t>
            </w:r>
          </w:p>
        </w:tc>
        <w:tc>
          <w:tcPr>
            <w:tcW w:type="dxa" w:w="38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0.05%</w:t>
            </w:r>
          </w:p>
        </w:tc>
        <w:tc>
          <w:tcPr>
            <w:tcW w:type="dxa" w:w="3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0.05% (Klaviyo flags it); above 0.1% (Gmail's limit) means act now</w:t>
            </w:r>
          </w:p>
        </w:tc>
      </w:tr>
      <w:tr>
        <w:trPr>
          <w:cantSplit/>
        </w:trPr>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rate</w:t>
            </w:r>
          </w:p>
        </w:tc>
        <w:tc>
          <w:tcPr>
            <w:tcW w:type="dxa" w:w="387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1%</w:t>
            </w:r>
          </w:p>
        </w:tc>
        <w:tc>
          <w:tcPr>
            <w:tcW w:type="dxa" w:w="3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2% (Klaviyo flags it)</w:t>
            </w:r>
          </w:p>
        </w:tc>
      </w:tr>
      <w:tr>
        <w:trPr>
          <w:cantSplit/>
        </w:trPr>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 frequency</w:t>
            </w:r>
          </w:p>
        </w:tc>
        <w:tc>
          <w:tcPr>
            <w:tcW w:type="dxa" w:w="38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 per week; up to daily during Black Friday week</w:t>
            </w:r>
          </w:p>
        </w:tc>
        <w:tc>
          <w:tcPr>
            <w:tcW w:type="dxa" w:w="3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with engagement-based targeting</w:t>
            </w:r>
          </w:p>
        </w:tc>
      </w:tr>
    </w:tbl>
    <w:p>
      <w:pPr>
        <w:spacing w:after="120" w:before="0"/>
      </w:pPr>
    </w:p>
    <w:p>
      <w:pPr>
        <w:pStyle w:val="Heading2"/>
        <w:keepNext/>
      </w:pPr>
      <w:bookmarkStart w:name="sec_9_5" w:id="55"/>
      <w:r>
        <w:rPr>
          <w:rFonts w:ascii="Arial" w:cs="Arial" w:eastAsia="Arial" w:hAnsi="Arial"/>
        </w:rPr>
        <w:t xml:space="preserve">9.5 How to test whether email actually caused purchases (holdout tests)</w:t>
      </w:r>
      <w:bookmarkEnd w:id="55"/>
    </w:p>
    <w:p>
      <w:r>
        <w:rPr>
          <w:rFonts w:ascii="Arial" w:cs="Arial" w:eastAsia="Arial" w:hAnsi="Arial"/>
          <w:sz w:val="20"/>
          <w:szCs w:val="20"/>
        </w:rPr>
        <w:t xml:space="preserve">A holdout test randomly holds back 10% of people from receiving a sequence, then compares how often that 10% buys against the 90% who got the emails. The difference shows how many purchases were genuinely caused by the email.</w:t>
      </w:r>
    </w:p>
    <w:p>
      <w:pPr>
        <w:pStyle w:val="Heading3"/>
        <w:keepNext/>
      </w:pPr>
      <w:r>
        <w:rPr>
          <w:rFonts w:ascii="Arial" w:cs="Arial" w:eastAsia="Arial" w:hAnsi="Arial"/>
        </w:rPr>
        <w:t xml:space="preserve">Running a holdout test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483"/>
        <w:gridCol w:w="4697"/>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44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do</w:t>
            </w:r>
          </w:p>
        </w:tc>
        <w:tc>
          <w:tcPr>
            <w:tcW w:type="dxa" w:w="46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Detail</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44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a random split at the start of an automated sequence</w:t>
            </w:r>
          </w:p>
        </w:tc>
        <w:tc>
          <w:tcPr>
            <w:tcW w:type="dxa" w:w="46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90% get the emails, 10% get nothing (use 80/20 for smaller brands)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44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Measure orders from both groups</w:t>
            </w:r>
          </w:p>
        </w:tc>
        <w:tc>
          <w:tcPr>
            <w:tcW w:type="dxa" w:w="46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 the same time period for both (for example, 14 days)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44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 long enough</w:t>
            </w:r>
          </w:p>
        </w:tc>
        <w:tc>
          <w:tcPr>
            <w:tcW w:type="dxa" w:w="46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At least 4 weeks, and until the 10% group has at least 100 orders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44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Calculate incremental (real) orders</w:t>
            </w:r>
          </w:p>
        </w:tc>
        <w:tc>
          <w:tcPr>
            <w:tcW w:type="dxa" w:w="46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(Rate for emailed group − rate for control group) × number who got emails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44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Report both numbers</w:t>
            </w:r>
          </w:p>
        </w:tc>
        <w:tc>
          <w:tcPr>
            <w:tcW w:type="dxa" w:w="46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Platform-attributed and real incremental, side by side</w:t>
            </w:r>
          </w:p>
        </w:tc>
      </w:tr>
    </w:tbl>
    <w:p>
      <w:pPr>
        <w:spacing w:after="120" w:before="0"/>
      </w:pPr>
    </w:p>
    <w:p>
      <w:pPr>
        <w:pStyle w:val="Heading3"/>
        <w:keepNext/>
      </w:pPr>
      <w:r>
        <w:rPr>
          <w:rFonts w:ascii="Arial" w:cs="Arial" w:eastAsia="Arial" w:hAnsi="Arial"/>
        </w:rPr>
        <w:t xml:space="preserve">Worked example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5"/>
        <w:gridCol w:w="3150"/>
        <w:gridCol w:w="3045"/>
      </w:tblGrid>
      <w:tr>
        <w:trPr>
          <w:cantSplit/>
          <w:tblHeader/>
        </w:trPr>
        <w:tc>
          <w:tcPr>
            <w:tcW w:type="dxa" w:w="388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315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Calculation</w:t>
            </w:r>
          </w:p>
        </w:tc>
        <w:tc>
          <w:tcPr>
            <w:tcW w:type="dxa" w:w="304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Result</w:t>
            </w:r>
          </w:p>
        </w:tc>
      </w:tr>
      <w:tr>
        <w:trPr>
          <w:cantSplit/>
        </w:trPr>
        <w:tc>
          <w:tcPr>
            <w:tcW w:type="dxa" w:w="38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Group sizes</w:t>
            </w:r>
          </w:p>
        </w:tc>
        <w:tc>
          <w:tcPr>
            <w:tcW w:type="dxa" w:w="31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90% emailed, 10% control</w:t>
            </w:r>
          </w:p>
        </w:tc>
        <w:tc>
          <w:tcPr>
            <w:tcW w:type="dxa" w:w="30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18,000 emailed; 2,000 control</w:t>
            </w:r>
          </w:p>
        </w:tc>
      </w:tr>
      <w:tr>
        <w:trPr>
          <w:cantSplit/>
        </w:trPr>
        <w:tc>
          <w:tcPr>
            <w:tcW w:type="dxa" w:w="388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Emailed group purchase rate (14 days)</w:t>
            </w:r>
          </w:p>
        </w:tc>
        <w:tc>
          <w:tcPr>
            <w:tcW w:type="dxa" w:w="31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720 orders ÷ 18,000</w:t>
            </w:r>
          </w:p>
        </w:tc>
        <w:tc>
          <w:tcPr>
            <w:tcW w:type="dxa" w:w="30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w:t>
            </w:r>
          </w:p>
        </w:tc>
      </w:tr>
      <w:tr>
        <w:trPr>
          <w:cantSplit/>
        </w:trPr>
        <w:tc>
          <w:tcPr>
            <w:tcW w:type="dxa" w:w="38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Control group purchase rate (14 days)</w:t>
            </w:r>
          </w:p>
        </w:tc>
        <w:tc>
          <w:tcPr>
            <w:tcW w:type="dxa" w:w="31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56 orders ÷ 2,000</w:t>
            </w:r>
          </w:p>
        </w:tc>
        <w:tc>
          <w:tcPr>
            <w:tcW w:type="dxa" w:w="30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w:t>
            </w:r>
          </w:p>
        </w:tc>
      </w:tr>
      <w:tr>
        <w:trPr>
          <w:cantSplit/>
        </w:trPr>
        <w:tc>
          <w:tcPr>
            <w:tcW w:type="dxa" w:w="388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Real incremental orders</w:t>
            </w:r>
          </w:p>
        </w:tc>
        <w:tc>
          <w:tcPr>
            <w:tcW w:type="dxa" w:w="31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percentage points × 18,000</w:t>
            </w:r>
          </w:p>
        </w:tc>
        <w:tc>
          <w:tcPr>
            <w:tcW w:type="dxa" w:w="30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216 real orders</w:t>
            </w:r>
          </w:p>
        </w:tc>
      </w:tr>
      <w:tr>
        <w:trPr>
          <w:cantSplit/>
        </w:trPr>
        <w:tc>
          <w:tcPr>
            <w:tcW w:type="dxa" w:w="38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Real incremental revenue</w:t>
            </w:r>
          </w:p>
        </w:tc>
        <w:tc>
          <w:tcPr>
            <w:tcW w:type="dxa" w:w="31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216 × $68 per order</w:t>
            </w:r>
          </w:p>
        </w:tc>
        <w:tc>
          <w:tcPr>
            <w:tcW w:type="dxa" w:w="30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$14,688 per month</w:t>
            </w:r>
          </w:p>
        </w:tc>
      </w:tr>
      <w:tr>
        <w:trPr>
          <w:cantSplit/>
        </w:trPr>
        <w:tc>
          <w:tcPr>
            <w:tcW w:type="dxa" w:w="388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Platform-attributed revenue</w:t>
            </w:r>
          </w:p>
        </w:tc>
        <w:tc>
          <w:tcPr>
            <w:tcW w:type="dxa" w:w="31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720 × $68 per order</w:t>
            </w:r>
          </w:p>
        </w:tc>
        <w:tc>
          <w:tcPr>
            <w:tcW w:type="dxa" w:w="30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$48,960 per month</w:t>
            </w:r>
          </w:p>
        </w:tc>
      </w:tr>
      <w:tr>
        <w:trPr>
          <w:cantSplit/>
        </w:trPr>
        <w:tc>
          <w:tcPr>
            <w:tcW w:type="dxa" w:w="38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that is real</w:t>
            </w:r>
          </w:p>
        </w:tc>
        <w:tc>
          <w:tcPr>
            <w:tcW w:type="dxa" w:w="31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$14,688 ÷ $48,960</w:t>
            </w:r>
          </w:p>
        </w:tc>
        <w:tc>
          <w:tcPr>
            <w:tcW w:type="dxa" w:w="30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30%</w:t>
            </w:r>
          </w:p>
        </w:tc>
      </w:tr>
    </w:tbl>
    <w:p>
      <w:pPr>
        <w:spacing w:after="120" w:before="0"/>
      </w:pPr>
    </w:p>
    <w:p>
      <w:r>
        <w:rPr>
          <w:rFonts w:ascii="Arial" w:cs="Arial" w:eastAsia="Arial" w:hAnsi="Arial"/>
          <w:sz w:val="20"/>
          <w:szCs w:val="20"/>
        </w:rPr>
        <w:t xml:space="preserve">In this example, about 30% of the revenue Klaviyo "credits" to email is real. That is still a strong result. A client who hears the honest number from GrowMailers first will trust every number we report after that.</w:t>
      </w:r>
    </w:p>
    <w:p>
      <w:pPr>
        <w:pStyle w:val="Heading3"/>
        <w:keepNext/>
      </w:pPr>
      <w:r>
        <w:rPr>
          <w:rFonts w:ascii="Arial" w:cs="Arial" w:eastAsia="Arial" w:hAnsi="Arial"/>
        </w:rPr>
        <w:t xml:space="preserve">Monthly scorecard for Lhotse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6"/>
        <w:gridCol w:w="7804"/>
      </w:tblGrid>
      <w:tr>
        <w:trPr>
          <w:cantSplit/>
          <w:tblHeader/>
        </w:trPr>
        <w:tc>
          <w:tcPr>
            <w:tcW w:type="dxa" w:w="22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Area</w:t>
            </w:r>
          </w:p>
        </w:tc>
        <w:tc>
          <w:tcPr>
            <w:tcW w:type="dxa" w:w="78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report</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Revenue</w:t>
            </w:r>
          </w:p>
        </w:tc>
        <w:tc>
          <w:tcPr>
            <w:tcW w:type="dxa" w:w="7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share of website revenue (with attribution window noted); automated vs. campaign revenue split; revenue per email</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Proof of value</w:t>
            </w:r>
          </w:p>
        </w:tc>
        <w:tc>
          <w:tcPr>
            <w:tcW w:type="dxa" w:w="78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Holdout lift vs. our fees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Engagement</w:t>
            </w:r>
          </w:p>
        </w:tc>
        <w:tc>
          <w:tcPr>
            <w:tcW w:type="dxa" w:w="7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Click and order rates by segment</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Delivery</w:t>
            </w:r>
          </w:p>
        </w:tc>
        <w:tc>
          <w:tcPr>
            <w:tcW w:type="dxa" w:w="78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spam rate; bounce rate; security pass rate</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health</w:t>
            </w:r>
          </w:p>
        </w:tc>
        <w:tc>
          <w:tcPr>
            <w:tcW w:type="dxa" w:w="7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Net list growth; people removed</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Cost</w:t>
            </w:r>
          </w:p>
        </w:tc>
        <w:tc>
          <w:tcPr>
            <w:tcW w:type="dxa" w:w="78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Current Klaviyo subscription tier</w:t>
            </w:r>
          </w:p>
        </w:tc>
      </w:tr>
    </w:tbl>
    <w:p>
      <w:pPr>
        <w:spacing w:after="120" w:before="0"/>
      </w:pPr>
    </w:p>
    <w:p>
      <w:pPr>
        <w:pStyle w:val="Heading1"/>
        <w:keepNext/>
        <w:pageBreakBefore/>
      </w:pPr>
      <w:bookmarkStart w:name="sec_10" w:id="56"/>
      <w:r>
        <w:rPr>
          <w:rFonts w:ascii="Arial" w:cs="Arial" w:eastAsia="Arial" w:hAnsi="Arial"/>
        </w:rPr>
        <w:t xml:space="preserve">10. Automated Emails vs. One-Off Campaigns</w:t>
      </w:r>
      <w:bookmarkEnd w:id="56"/>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Automated email sequences (triggered by customer behavior) earn far more per email than one-off campaign blasts. Klaviyo's own data shows automated sequences generate about 41% of email revenue from only 5% of emails sent, at nearly 18 times the revenue per email. Campaigns still drive most email revenue overall. A complete email program needs both: a solid base of automated sequences, plus targeted, well-planned campaigns on top.</w:t>
      </w:r>
    </w:p>
    <w:p>
      <w:pPr>
        <w:pStyle w:val="Heading2"/>
        <w:keepNext/>
      </w:pPr>
      <w:bookmarkStart w:name="sec_10_1" w:id="57"/>
      <w:r>
        <w:rPr>
          <w:rFonts w:ascii="Arial" w:cs="Arial" w:eastAsia="Arial" w:hAnsi="Arial"/>
        </w:rPr>
        <w:t xml:space="preserve">10.1 Automated sequences vs. campaign blasts</w:t>
      </w:r>
      <w:bookmarkEnd w:id="57"/>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3477"/>
        <w:gridCol w:w="3638"/>
      </w:tblGrid>
      <w:tr>
        <w:trPr>
          <w:cantSplit/>
          <w:tblHeader/>
        </w:trPr>
        <w:tc>
          <w:tcPr>
            <w:tcW w:type="dxa" w:w="29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34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Automated sequences</w:t>
            </w:r>
            <w:r>
              <w:rPr>
                <w:rFonts w:ascii="Arial" w:cs="Arial" w:eastAsia="Arial" w:hAnsi="Arial"/>
                <w:b/>
                <w:bCs/>
                <w:color w:val="FFFFFF"/>
                <w:sz w:val="16"/>
                <w:szCs w:val="16"/>
              </w:rPr>
              <w:t xml:space="preserve"> (triggered by behavior)</w:t>
            </w:r>
          </w:p>
        </w:tc>
        <w:tc>
          <w:tcPr>
            <w:tcW w:type="dxa" w:w="363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Campaign blasts</w:t>
            </w:r>
            <w:r>
              <w:rPr>
                <w:rFonts w:ascii="Arial" w:cs="Arial" w:eastAsia="Arial" w:hAnsi="Arial"/>
                <w:b/>
                <w:bCs/>
                <w:color w:val="FFFFFF"/>
                <w:sz w:val="16"/>
                <w:szCs w:val="16"/>
              </w:rPr>
              <w:t xml:space="preserve"> (sent to a group at one time)</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emails sent</w:t>
            </w:r>
          </w:p>
        </w:tc>
        <w:tc>
          <w:tcPr>
            <w:tcW w:type="dxa" w:w="34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2–5%</w:t>
            </w:r>
          </w:p>
        </w:tc>
        <w:tc>
          <w:tcPr>
            <w:tcW w:type="dxa" w:w="3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95%</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email revenue</w:t>
            </w:r>
          </w:p>
        </w:tc>
        <w:tc>
          <w:tcPr>
            <w:tcW w:type="dxa" w:w="34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30–41%</w:t>
            </w:r>
          </w:p>
        </w:tc>
        <w:tc>
          <w:tcPr>
            <w:tcW w:type="dxa" w:w="36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60–70%</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Revenue per email (Omnisend data)</w:t>
            </w:r>
          </w:p>
        </w:tc>
        <w:tc>
          <w:tcPr>
            <w:tcW w:type="dxa" w:w="34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$2.87</w:t>
            </w:r>
          </w:p>
        </w:tc>
        <w:tc>
          <w:tcPr>
            <w:tcW w:type="dxa" w:w="3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$0.18</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revenue from new buyers</w:t>
            </w:r>
          </w:p>
        </w:tc>
        <w:tc>
          <w:tcPr>
            <w:tcW w:type="dxa" w:w="34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48%</w:t>
            </w:r>
          </w:p>
        </w:tc>
        <w:tc>
          <w:tcPr>
            <w:tcW w:type="dxa" w:w="36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16%</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Effect on delivery</w:t>
            </w:r>
          </w:p>
        </w:tc>
        <w:tc>
          <w:tcPr>
            <w:tcW w:type="dxa" w:w="34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Good (goes to people who want it)</w:t>
            </w:r>
          </w:p>
        </w:tc>
        <w:tc>
          <w:tcPr>
            <w:tcW w:type="dxa" w:w="3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Risky if sent to everyone</w:t>
            </w:r>
          </w:p>
        </w:tc>
      </w:tr>
    </w:tbl>
    <w:p>
      <w:pPr>
        <w:spacing w:after="120" w:before="0"/>
      </w:pPr>
    </w:p>
    <w:p>
      <w:r>
        <w:rPr>
          <w:rFonts w:ascii="Arial" w:cs="Arial" w:eastAsia="Arial" w:hAnsi="Arial"/>
          <w:sz w:val="20"/>
          <w:szCs w:val="20"/>
        </w:rPr>
        <w:t xml:space="preserve">Nearly half of automated sequence revenue comes from new buyers. The best brands send fewer campaigns to smaller, more engaged segments, and use the time saved to improve their automated sequences.</w:t>
      </w:r>
    </w:p>
    <w:p>
      <w:pPr>
        <w:pStyle w:val="Heading2"/>
        <w:keepNext/>
      </w:pPr>
      <w:bookmarkStart w:name="sec_10_2" w:id="58"/>
      <w:r>
        <w:rPr>
          <w:rFonts w:ascii="Arial" w:cs="Arial" w:eastAsia="Arial" w:hAnsi="Arial"/>
        </w:rPr>
        <w:t xml:space="preserve">10.2 The customer journey and what emails go where</w:t>
      </w:r>
      <w:bookmarkEnd w:id="58"/>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64"/>
        <w:gridCol w:w="6216"/>
      </w:tblGrid>
      <w:tr>
        <w:trPr>
          <w:cantSplit/>
          <w:tblHeader/>
        </w:trPr>
        <w:tc>
          <w:tcPr>
            <w:tcW w:type="dxa" w:w="38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Customer stage</w:t>
            </w:r>
          </w:p>
        </w:tc>
        <w:tc>
          <w:tcPr>
            <w:tcW w:type="dxa" w:w="62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Emails at this stage</w:t>
            </w:r>
          </w:p>
        </w:tc>
      </w:tr>
      <w:tr>
        <w:trPr>
          <w:cantSplit/>
        </w:trPr>
        <w:tc>
          <w:tcPr>
            <w:tcW w:type="dxa" w:w="38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Visitor</w:t>
            </w:r>
          </w:p>
        </w:tc>
        <w:tc>
          <w:tcPr>
            <w:tcW w:type="dxa" w:w="62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Browse, cart and checkout abandonment</w:t>
            </w:r>
          </w:p>
        </w:tc>
      </w:tr>
      <w:tr>
        <w:trPr>
          <w:cantSplit/>
        </w:trPr>
        <w:tc>
          <w:tcPr>
            <w:tcW w:type="dxa" w:w="38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Subscriber</w:t>
            </w:r>
          </w:p>
        </w:tc>
        <w:tc>
          <w:tcPr>
            <w:tcW w:type="dxa" w:w="62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 sequence</w:t>
            </w:r>
          </w:p>
        </w:tc>
      </w:tr>
      <w:tr>
        <w:trPr>
          <w:cantSplit/>
        </w:trPr>
        <w:tc>
          <w:tcPr>
            <w:tcW w:type="dxa" w:w="38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First buyer</w:t>
            </w:r>
          </w:p>
        </w:tc>
        <w:tc>
          <w:tcPr>
            <w:tcW w:type="dxa" w:w="62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Post-purchase; review request</w:t>
            </w:r>
          </w:p>
        </w:tc>
      </w:tr>
      <w:tr>
        <w:trPr>
          <w:cantSplit/>
        </w:trPr>
        <w:tc>
          <w:tcPr>
            <w:tcW w:type="dxa" w:w="38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Repeat buyer</w:t>
            </w:r>
          </w:p>
        </w:tc>
        <w:tc>
          <w:tcPr>
            <w:tcW w:type="dxa" w:w="62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Reorder reminder</w:t>
            </w:r>
          </w:p>
        </w:tc>
      </w:tr>
      <w:tr>
        <w:trPr>
          <w:cantSplit/>
        </w:trPr>
        <w:tc>
          <w:tcPr>
            <w:tcW w:type="dxa" w:w="38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VIP customer</w:t>
            </w:r>
          </w:p>
        </w:tc>
        <w:tc>
          <w:tcPr>
            <w:tcW w:type="dxa" w:w="62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VIP perks; early access</w:t>
            </w:r>
          </w:p>
        </w:tc>
      </w:tr>
      <w:tr>
        <w:trPr>
          <w:cantSplit/>
        </w:trPr>
        <w:tc>
          <w:tcPr>
            <w:tcW w:type="dxa" w:w="38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Lost customer</w:t>
            </w:r>
          </w:p>
        </w:tc>
        <w:tc>
          <w:tcPr>
            <w:tcW w:type="dxa" w:w="62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Win-back</w:t>
            </w:r>
          </w:p>
        </w:tc>
      </w:tr>
      <w:tr>
        <w:trPr>
          <w:cantSplit/>
        </w:trPr>
        <w:tc>
          <w:tcPr>
            <w:tcW w:type="dxa" w:w="38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response to win-back</w:t>
            </w:r>
          </w:p>
        </w:tc>
        <w:tc>
          <w:tcPr>
            <w:tcW w:type="dxa" w:w="62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Sunset, then removed from list</w:t>
            </w:r>
          </w:p>
        </w:tc>
      </w:tr>
    </w:tbl>
    <w:p>
      <w:pPr>
        <w:spacing w:after="120" w:before="0"/>
      </w:pPr>
    </w:p>
    <w:p>
      <w:r>
        <w:rPr>
          <w:rFonts w:ascii="Arial" w:cs="Arial" w:eastAsia="Arial" w:hAnsi="Arial"/>
          <w:sz w:val="20"/>
          <w:szCs w:val="20"/>
        </w:rPr>
        <w:t xml:space="preserve">Cart abandonment and welcome sequences produced 76% of all automated orders on Omnisend in 2025.</w:t>
      </w:r>
    </w:p>
    <w:p>
      <w:pPr>
        <w:pStyle w:val="Heading3"/>
        <w:keepNext/>
      </w:pPr>
      <w:r>
        <w:rPr>
          <w:rFonts w:ascii="Arial" w:cs="Arial" w:eastAsia="Arial" w:hAnsi="Arial"/>
        </w:rPr>
        <w:t xml:space="preserve">Build order for a brand starting from scratch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5"/>
        <w:gridCol w:w="4022"/>
        <w:gridCol w:w="5153"/>
      </w:tblGrid>
      <w:tr>
        <w:trPr>
          <w:cantSplit/>
          <w:tblHeader/>
        </w:trPr>
        <w:tc>
          <w:tcPr>
            <w:tcW w:type="dxa" w:w="90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Priority</w:t>
            </w:r>
          </w:p>
        </w:tc>
        <w:tc>
          <w:tcPr>
            <w:tcW w:type="dxa" w:w="40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Sequence</w:t>
            </w:r>
          </w:p>
        </w:tc>
        <w:tc>
          <w:tcPr>
            <w:tcW w:type="dxa" w:w="51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Note</w:t>
            </w:r>
          </w:p>
        </w:tc>
      </w:tr>
      <w:tr>
        <w:trPr>
          <w:cantSplit/>
        </w:trPr>
        <w:tc>
          <w:tcPr>
            <w:tcW w:type="dxa" w:w="9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4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Abandoned checkout and cart</w:t>
            </w:r>
          </w:p>
        </w:tc>
        <w:tc>
          <w:tcPr>
            <w:tcW w:type="dxa" w:w="51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9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4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 sequence</w:t>
            </w:r>
          </w:p>
        </w:tc>
        <w:tc>
          <w:tcPr>
            <w:tcW w:type="dxa" w:w="51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9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4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Browse abandonment</w:t>
            </w:r>
          </w:p>
        </w:tc>
        <w:tc>
          <w:tcPr>
            <w:tcW w:type="dxa" w:w="51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9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4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Post-purchase and review request</w:t>
            </w:r>
          </w:p>
        </w:tc>
        <w:tc>
          <w:tcPr>
            <w:tcW w:type="dxa" w:w="51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9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4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Back-in-stock</w:t>
            </w:r>
          </w:p>
        </w:tc>
        <w:tc>
          <w:tcPr>
            <w:tcW w:type="dxa" w:w="51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9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w:t>
            </w:r>
          </w:p>
        </w:tc>
        <w:tc>
          <w:tcPr>
            <w:tcW w:type="dxa" w:w="4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Reorder reminder</w:t>
            </w:r>
          </w:p>
        </w:tc>
        <w:tc>
          <w:tcPr>
            <w:tcW w:type="dxa" w:w="51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 important for our four product types</w:t>
            </w:r>
          </w:p>
        </w:tc>
      </w:tr>
      <w:tr>
        <w:trPr>
          <w:cantSplit/>
        </w:trPr>
        <w:tc>
          <w:tcPr>
            <w:tcW w:type="dxa" w:w="90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w:t>
            </w:r>
          </w:p>
        </w:tc>
        <w:tc>
          <w:tcPr>
            <w:tcW w:type="dxa" w:w="40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Win-back</w:t>
            </w:r>
          </w:p>
        </w:tc>
        <w:tc>
          <w:tcPr>
            <w:tcW w:type="dxa" w:w="51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90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w:t>
            </w:r>
          </w:p>
        </w:tc>
        <w:tc>
          <w:tcPr>
            <w:tcW w:type="dxa" w:w="40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VIP, birthday, and sunset</w:t>
            </w:r>
          </w:p>
        </w:tc>
        <w:tc>
          <w:tcPr>
            <w:tcW w:type="dxa" w:w="51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bl>
    <w:p>
      <w:pPr>
        <w:spacing w:after="120" w:before="0"/>
      </w:pPr>
    </w:p>
    <w:p>
      <w:pPr>
        <w:pStyle w:val="Heading2"/>
        <w:keepNext/>
      </w:pPr>
      <w:bookmarkStart w:name="sec_10_3" w:id="59"/>
      <w:r>
        <w:rPr>
          <w:rFonts w:ascii="Arial" w:cs="Arial" w:eastAsia="Arial" w:hAnsi="Arial"/>
        </w:rPr>
        <w:t xml:space="preserve">10.3 Specifications for each sequence</w:t>
      </w:r>
      <w:bookmarkEnd w:id="59"/>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68"/>
        <w:gridCol w:w="2304"/>
        <w:gridCol w:w="2304"/>
        <w:gridCol w:w="2304"/>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Sequence</w:t>
            </w:r>
          </w:p>
        </w:tc>
        <w:tc>
          <w:tcPr>
            <w:tcW w:type="dxa" w:w="226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triggers it</w:t>
            </w:r>
          </w:p>
        </w:tc>
        <w:tc>
          <w:tcPr>
            <w:tcW w:type="dxa" w:w="23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Emails and timing</w:t>
            </w:r>
          </w:p>
        </w:tc>
        <w:tc>
          <w:tcPr>
            <w:tcW w:type="dxa" w:w="23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they say</w:t>
            </w:r>
          </w:p>
        </w:tc>
        <w:tc>
          <w:tcPr>
            <w:tcW w:type="dxa" w:w="23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Discount policy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Welcome</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Signs up; exits when they buy</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 emails: immediately, day 1–2, day 3–4, day 6–7, day 10–12</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story, best sellers, proof, education, founder note</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First-order offer in email 1 with an expiry reminder; no stacking discounts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Abandoned checkout</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Started checkout, no purchase; 7-day re-entry block</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emails (+1 SMS if consent given): 1–4 hours, 24 hours, 48–72 hours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Cart contents, reassurance, answers to objections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Offer in last email only, for first-time buyers only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Abandoned cart</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Added to cart, did not start checkout</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emails: 2–4 hours, 24 hours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 and reviews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Browse abandonment</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Viewed a product while identified; capped at 1 per 7–14 days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emails: 2–6 hours, 24–48 hours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Viewed item, alternatives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Post-purchase</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 placed or shipped; split first-time vs. returning</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 emails over about 30 days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 you, how to use it, review request at 10–21 days after delivery, cross-sell at 21–30 days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Loyalty or referral program, not discounts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Reorder reminder</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Days since purchasing a used-up product; exits if reorder happens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 emails starting about 7 days before they run out</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"Running low?", one-click reorder, subscribe-and-save option</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Subscription discount only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Back-in-stock</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Customer requested an alert; stock crosses a threshold</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emails (+SMS) when restocked</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It's back; limited quantity</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Win-back</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order in 1.5–2× the brand's average days between orders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emails over 2–3 weeks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What's new, best sellers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Staged: nothing, then soft hint, then a real offer last</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VIP</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Top 5–10% by total spend, or 3rd order</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 to VIP, then monthly perks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Early access, exclusive products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Access, not discounts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Sunset</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click, visit, or order in 120–180 days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emails over 7–10 days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"Still want to hear from us?"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Optional</w:t>
            </w:r>
          </w:p>
        </w:tc>
      </w:tr>
    </w:tbl>
    <w:p>
      <w:pPr>
        <w:spacing w:after="120" w:before="0"/>
      </w:pPr>
    </w:p>
    <w:p>
      <w:pPr>
        <w:pStyle w:val="Heading3"/>
        <w:keepNext/>
      </w:pPr>
      <w:r>
        <w:rPr>
          <w:rFonts w:ascii="Arial" w:cs="Arial" w:eastAsia="Arial" w:hAnsi="Arial"/>
        </w:rPr>
        <w:t xml:space="preserve">Top-converting sequences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97"/>
        <w:gridCol w:w="3179"/>
        <w:gridCol w:w="3604"/>
      </w:tblGrid>
      <w:tr>
        <w:trPr>
          <w:cantSplit/>
          <w:tblHeader/>
        </w:trPr>
        <w:tc>
          <w:tcPr>
            <w:tcW w:type="dxa" w:w="32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Sequence</w:t>
            </w:r>
          </w:p>
        </w:tc>
        <w:tc>
          <w:tcPr>
            <w:tcW w:type="dxa" w:w="317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Conversion rate</w:t>
            </w:r>
          </w:p>
        </w:tc>
        <w:tc>
          <w:tcPr>
            <w:tcW w:type="dxa" w:w="36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Revenue per email</w:t>
            </w:r>
          </w:p>
        </w:tc>
      </w:tr>
      <w:tr>
        <w:trPr>
          <w:cantSplit/>
        </w:trPr>
        <w:tc>
          <w:tcPr>
            <w:tcW w:type="dxa" w:w="32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Back-in-stock</w:t>
            </w:r>
          </w:p>
        </w:tc>
        <w:tc>
          <w:tcPr>
            <w:tcW w:type="dxa" w:w="317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6.72%</w:t>
            </w:r>
          </w:p>
        </w:tc>
        <w:tc>
          <w:tcPr>
            <w:tcW w:type="dxa" w:w="36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$9.14</w:t>
            </w:r>
          </w:p>
        </w:tc>
      </w:tr>
      <w:tr>
        <w:trPr>
          <w:cantSplit/>
        </w:trPr>
        <w:tc>
          <w:tcPr>
            <w:tcW w:type="dxa" w:w="32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w:t>
            </w:r>
          </w:p>
        </w:tc>
        <w:tc>
          <w:tcPr>
            <w:tcW w:type="dxa" w:w="317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2.11%</w:t>
            </w:r>
          </w:p>
        </w:tc>
        <w:tc>
          <w:tcPr>
            <w:tcW w:type="dxa" w:w="36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$6.16</w:t>
            </w:r>
          </w:p>
        </w:tc>
      </w:tr>
      <w:tr>
        <w:trPr>
          <w:cantSplit/>
        </w:trPr>
        <w:tc>
          <w:tcPr>
            <w:tcW w:type="dxa" w:w="32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Abandoned cart</w:t>
            </w:r>
          </w:p>
        </w:tc>
        <w:tc>
          <w:tcPr>
            <w:tcW w:type="dxa" w:w="317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1.72%</w:t>
            </w:r>
          </w:p>
        </w:tc>
        <w:tc>
          <w:tcPr>
            <w:tcW w:type="dxa" w:w="36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$3.59</w:t>
            </w:r>
          </w:p>
        </w:tc>
      </w:tr>
    </w:tbl>
    <w:p>
      <w:pPr>
        <w:spacing w:after="120" w:before="0"/>
      </w:pPr>
    </w:p>
    <w:p>
      <w:pPr>
        <w:spacing w:after="160" w:before="0"/>
      </w:pPr>
      <w:r>
        <w:rPr>
          <w:rFonts w:ascii="Arial" w:cs="Arial" w:eastAsia="Arial" w:hAnsi="Arial"/>
          <w:i/>
          <w:iCs/>
          <w:color w:val="5B6573"/>
          <w:sz w:val="16"/>
          <w:szCs w:val="16"/>
        </w:rPr>
        <w:t xml:space="preserve">Source: Omnisend, 2025 data.</w:t>
      </w:r>
    </w:p>
    <w:p>
      <w:pPr>
        <w:pStyle w:val="Heading3"/>
        <w:keepNext/>
      </w:pPr>
      <w:r>
        <w:rPr>
          <w:rFonts w:ascii="Arial" w:cs="Arial" w:eastAsia="Arial" w:hAnsi="Arial"/>
        </w:rPr>
        <w:t xml:space="preserve">Special cases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0"/>
        <w:gridCol w:w="6720"/>
      </w:tblGrid>
      <w:tr>
        <w:trPr>
          <w:cantSplit/>
          <w:tblHeader/>
        </w:trPr>
        <w:tc>
          <w:tcPr>
            <w:tcW w:type="dxa" w:w="33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Customer type</w:t>
            </w:r>
          </w:p>
        </w:tc>
        <w:tc>
          <w:tcPr>
            <w:tcW w:type="dxa" w:w="67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handle them</w:t>
            </w:r>
          </w:p>
        </w:tc>
      </w:tr>
      <w:tr>
        <w:trPr>
          <w:cantSplit/>
        </w:trPr>
        <w:tc>
          <w:tcPr>
            <w:tcW w:type="dxa" w:w="3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Subscription customers</w:t>
            </w:r>
          </w:p>
        </w:tc>
        <w:tc>
          <w:tcPr>
            <w:tcW w:type="dxa" w:w="67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 the reorder reminder and win-back flows. They get their own journey with charge reminders and options to skip or swap.</w:t>
            </w:r>
          </w:p>
        </w:tc>
      </w:tr>
      <w:tr>
        <w:trPr>
          <w:cantSplit/>
        </w:trPr>
        <w:tc>
          <w:tcPr>
            <w:tcW w:type="dxa" w:w="3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Gift orders</w:t>
            </w:r>
          </w:p>
        </w:tc>
        <w:tc>
          <w:tcPr>
            <w:tcW w:type="dxa" w:w="67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 a "treat yourself" cross-sell instead of a reorder reminder</w:t>
            </w:r>
          </w:p>
        </w:tc>
      </w:tr>
      <w:tr>
        <w:trPr>
          <w:cantSplit/>
        </w:trPr>
        <w:tc>
          <w:tcPr>
            <w:tcW w:type="dxa" w:w="3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Canadian cart abandoners</w:t>
            </w:r>
          </w:p>
        </w:tc>
        <w:tc>
          <w:tcPr>
            <w:tcW w:type="dxa" w:w="67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only with consent or an existing relationship (Canadian anti-spam law)</w:t>
            </w:r>
          </w:p>
        </w:tc>
      </w:tr>
    </w:tbl>
    <w:p>
      <w:pPr>
        <w:spacing w:after="120" w:before="0"/>
      </w:pPr>
    </w:p>
    <w:p>
      <w:pPr>
        <w:pStyle w:val="Heading2"/>
        <w:keepNext/>
      </w:pPr>
      <w:bookmarkStart w:name="sec_10_4" w:id="60"/>
      <w:r>
        <w:rPr>
          <w:rFonts w:ascii="Arial" w:cs="Arial" w:eastAsia="Arial" w:hAnsi="Arial"/>
        </w:rPr>
        <w:t xml:space="preserve">10.4 Campaign planning</w:t>
      </w:r>
      <w:bookmarkEnd w:id="60"/>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680"/>
      </w:tblGrid>
      <w:tr>
        <w:trPr>
          <w:cantSplit/>
          <w:tblHeader/>
        </w:trPr>
        <w:tc>
          <w:tcPr>
            <w:tcW w:type="dxa" w:w="24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Element</w:t>
            </w:r>
          </w:p>
        </w:tc>
        <w:tc>
          <w:tcPr>
            <w:tcW w:type="dxa" w:w="76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Standard practice</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Frequency</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 per week normally; up to daily during Black Friday week, for engaged segments only</w:t>
            </w:r>
          </w:p>
        </w:tc>
      </w:tr>
      <w:tr>
        <w:trPr>
          <w:cantSplit/>
        </w:trPr>
        <w:tc>
          <w:tcPr>
            <w:tcW w:type="dxa" w:w="2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Segments</w:t>
            </w:r>
          </w:p>
        </w:tc>
        <w:tc>
          <w:tcPr>
            <w:tcW w:type="dxa" w:w="76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(clicked, visited, or ordered in 30 days); warm (31–90 days); cool (91–180 days); older goes to sunset</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 gets what</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get everything; warm get 1–2 per week; cool get the strongest monthly send</w:t>
            </w:r>
          </w:p>
        </w:tc>
      </w:tr>
      <w:tr>
        <w:trPr>
          <w:cantSplit/>
        </w:trPr>
        <w:tc>
          <w:tcPr>
            <w:tcW w:type="dxa" w:w="2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Content balance</w:t>
            </w:r>
          </w:p>
        </w:tc>
        <w:tc>
          <w:tcPr>
            <w:tcW w:type="dxa" w:w="76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40% products and new arrivals, 30% education and brand story, 20% social proof, 10% offers (outside peak)</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Testing</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variable at a time, measured by clicks and orders, never open rates</w:t>
            </w:r>
          </w:p>
        </w:tc>
      </w:tr>
    </w:tbl>
    <w:p>
      <w:pPr>
        <w:spacing w:after="120" w:before="0"/>
      </w:pPr>
    </w:p>
    <w:p>
      <w:r>
        <w:rPr>
          <w:rFonts w:ascii="Arial" w:cs="Arial" w:eastAsia="Arial" w:hAnsi="Arial"/>
          <w:sz w:val="20"/>
          <w:szCs w:val="20"/>
        </w:rPr>
        <w:t xml:space="preserve">The best documented example of this working is Patrick Ta Beauty's Black Friday 2024. They sent nearly 6 times their usual email volume, but to properly segmented audiences. Their unsubscribe rate fell 37%, and email drove 30% of online revenue, up from 10% the year before (Klaviyo case study).</w:t>
      </w:r>
    </w:p>
    <w:p>
      <w:pPr>
        <w:pStyle w:val="Heading3"/>
        <w:keepNext/>
      </w:pPr>
      <w:r>
        <w:rPr>
          <w:rFonts w:ascii="Arial" w:cs="Arial" w:eastAsia="Arial" w:hAnsi="Arial"/>
        </w:rPr>
        <w:t xml:space="preserve">Text message (SMS) layering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680"/>
      </w:tblGrid>
      <w:tr>
        <w:trPr>
          <w:cantSplit/>
          <w:tblHeader/>
        </w:trPr>
        <w:tc>
          <w:tcPr>
            <w:tcW w:type="dxa" w:w="24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Topic</w:t>
            </w:r>
          </w:p>
        </w:tc>
        <w:tc>
          <w:tcPr>
            <w:tcW w:type="dxa" w:w="76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Guidance</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Cost</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SMS costs about $0.009–$0.012 per US text</w:t>
            </w:r>
          </w:p>
        </w:tc>
      </w:tr>
      <w:tr>
        <w:trPr>
          <w:cantSplit/>
        </w:trPr>
        <w:tc>
          <w:tcPr>
            <w:tcW w:type="dxa" w:w="2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Where to use it</w:t>
            </w:r>
          </w:p>
        </w:tc>
        <w:tc>
          <w:tcPr>
            <w:tcW w:type="dxa" w:w="76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Where speed matters: abandoned checkout, back-in-stock alerts, shipping updates, time-limited peak offers</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 volume</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few SMS campaigns per month</w:t>
            </w:r>
          </w:p>
        </w:tc>
      </w:tr>
      <w:tr>
        <w:trPr>
          <w:cantSplit/>
        </w:trPr>
        <w:tc>
          <w:tcPr>
            <w:tcW w:type="dxa" w:w="2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Compliance</w:t>
            </w:r>
          </w:p>
        </w:tc>
        <w:tc>
          <w:tcPr>
            <w:tcW w:type="dxa" w:w="76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marketing texts need written consent, and quiet hours must be respected</w:t>
            </w:r>
          </w:p>
        </w:tc>
      </w:tr>
    </w:tbl>
    <w:p>
      <w:pPr>
        <w:spacing w:after="120" w:before="0"/>
      </w:pPr>
    </w:p>
    <w:p>
      <w:pPr>
        <w:pStyle w:val="Heading2"/>
        <w:keepNext/>
      </w:pPr>
      <w:bookmarkStart w:name="sec_10_5" w:id="61"/>
      <w:r>
        <w:rPr>
          <w:rFonts w:ascii="Arial" w:cs="Arial" w:eastAsia="Arial" w:hAnsi="Arial"/>
        </w:rPr>
        <w:t xml:space="preserve">10.5 Example: rebuilding email for a $6M pet brand</w:t>
      </w:r>
      <w:bookmarkEnd w:id="61"/>
    </w:p>
    <w:p>
      <w:pPr>
        <w:spacing w:after="160" w:before="0"/>
      </w:pPr>
      <w:r>
        <w:rPr>
          <w:rFonts w:ascii="Arial" w:cs="Arial" w:eastAsia="Arial" w:hAnsi="Arial"/>
          <w:i/>
          <w:iCs/>
          <w:color w:val="5B6573"/>
          <w:sz w:val="16"/>
          <w:szCs w:val="16"/>
        </w:rPr>
        <w:t xml:space="preserve">Illustrative example, not a real brand.</w:t>
      </w:r>
    </w:p>
    <w:p>
      <w:pPr>
        <w:pStyle w:val="Heading3"/>
        <w:keepNext/>
      </w:pPr>
      <w:r>
        <w:rPr>
          <w:rFonts w:ascii="Arial" w:cs="Arial" w:eastAsia="Arial" w:hAnsi="Arial"/>
        </w:rPr>
        <w:t xml:space="preserve">Before Lhotse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7115"/>
      </w:tblGrid>
      <w:tr>
        <w:trPr>
          <w:cantSplit/>
          <w:tblHeader/>
        </w:trPr>
        <w:tc>
          <w:tcPr>
            <w:tcW w:type="dxa" w:w="29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Area</w:t>
            </w:r>
          </w:p>
        </w:tc>
        <w:tc>
          <w:tcPr>
            <w:tcW w:type="dxa" w:w="71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Starting position</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w:t>
            </w:r>
          </w:p>
        </w:tc>
        <w:tc>
          <w:tcPr>
            <w:tcW w:type="dxa" w:w="71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single email with 10% off</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Checkout abandonment</w:t>
            </w:r>
          </w:p>
        </w:tc>
        <w:tc>
          <w:tcPr>
            <w:tcW w:type="dxa" w:w="71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 offered in every single email</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Missing sequences</w:t>
            </w:r>
          </w:p>
        </w:tc>
        <w:tc>
          <w:tcPr>
            <w:tcW w:type="dxa" w:w="71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reorder, browse, or win-back sequences</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Campaigns</w:t>
            </w:r>
          </w:p>
        </w:tc>
        <w:tc>
          <w:tcPr>
            <w:tcW w:type="dxa" w:w="71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Four full-list campaigns per week to 70,000 subscribers</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Result</w:t>
            </w:r>
          </w:p>
        </w:tc>
        <w:tc>
          <w:tcPr>
            <w:tcW w:type="dxa" w:w="71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is 11% of website revenue</w:t>
            </w:r>
          </w:p>
        </w:tc>
      </w:tr>
    </w:tbl>
    <w:p>
      <w:pPr>
        <w:spacing w:after="120" w:before="0"/>
      </w:pPr>
    </w:p>
    <w:p>
      <w:pPr>
        <w:pStyle w:val="Heading3"/>
        <w:keepNext/>
      </w:pPr>
      <w:r>
        <w:rPr>
          <w:rFonts w:ascii="Arial" w:cs="Arial" w:eastAsia="Arial" w:hAnsi="Arial"/>
        </w:rPr>
        <w:t xml:space="preserve">Lhotse's first 90 days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3"/>
        <w:gridCol w:w="8797"/>
      </w:tblGrid>
      <w:tr>
        <w:trPr>
          <w:cantSplit/>
          <w:tblHeader/>
        </w:trPr>
        <w:tc>
          <w:tcPr>
            <w:tcW w:type="dxa" w:w="12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Weeks</w:t>
            </w:r>
          </w:p>
        </w:tc>
        <w:tc>
          <w:tcPr>
            <w:tcW w:type="dxa" w:w="87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Actions</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c>
          <w:tcPr>
            <w:tcW w:type="dxa" w:w="8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Rebuild targeting based on clicks and orders. Move 24,000 inactive subscribers to a sunset flow.</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w:t>
            </w:r>
          </w:p>
        </w:tc>
        <w:tc>
          <w:tcPr>
            <w:tcW w:type="dxa" w:w="8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 a five-email welcome sequence (pet quiz, founder story, reviews, vet-backed education, then the offer). Limit the checkout discount to the last email, for first-time buyers only.</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4–8</w:t>
            </w:r>
          </w:p>
        </w:tc>
        <w:tc>
          <w:tcPr>
            <w:tcW w:type="dxa" w:w="8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reorder reminders for the three best-selling food products (45-day reorder cycle, first reminder at day 38, with a subscribe-and-save offer). Add browse abandonment.</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8–12</w:t>
            </w:r>
          </w:p>
        </w:tc>
        <w:tc>
          <w:tcPr>
            <w:tcW w:type="dxa" w:w="8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a 90-day win-back, a "gotcha day" (adoption anniversary) sequence using quiz data, and 10% holdout control groups on the welcome and reorder sequences.</w:t>
            </w:r>
          </w:p>
        </w:tc>
      </w:tr>
    </w:tbl>
    <w:p>
      <w:pPr>
        <w:spacing w:after="120" w:before="0"/>
      </w:pPr>
    </w:p>
    <w:p>
      <w:pPr>
        <w:pStyle w:val="Heading3"/>
        <w:keepNext/>
      </w:pPr>
      <w:r>
        <w:rPr>
          <w:rFonts w:ascii="Arial" w:cs="Arial" w:eastAsia="Arial" w:hAnsi="Arial"/>
        </w:rPr>
        <w:t xml:space="preserve">How we measure it</w:t>
      </w:r>
    </w:p>
    <w:p>
      <w:pPr>
        <w:pStyle w:val="ListParagraph"/>
        <w:numPr>
          <w:ilvl w:val="0"/>
          <w:numId w:val="5"/>
        </w:numPr>
        <w:spacing w:after="60"/>
      </w:pPr>
      <w:r>
        <w:rPr>
          <w:rFonts w:ascii="Arial" w:cs="Arial" w:eastAsia="Arial" w:hAnsi="Arial"/>
          <w:sz w:val="20"/>
          <w:szCs w:val="20"/>
        </w:rPr>
        <w:t xml:space="preserve">Email's share of revenue</w:t>
      </w:r>
    </w:p>
    <w:p>
      <w:pPr>
        <w:pStyle w:val="ListParagraph"/>
        <w:numPr>
          <w:ilvl w:val="0"/>
          <w:numId w:val="5"/>
        </w:numPr>
        <w:spacing w:after="60"/>
      </w:pPr>
      <w:r>
        <w:rPr>
          <w:rFonts w:ascii="Arial" w:cs="Arial" w:eastAsia="Arial" w:hAnsi="Arial"/>
          <w:sz w:val="20"/>
          <w:szCs w:val="20"/>
        </w:rPr>
        <w:t xml:space="preserve">Holdout test lift vs. our fees</w:t>
      </w:r>
    </w:p>
    <w:p>
      <w:pPr>
        <w:pStyle w:val="ListParagraph"/>
        <w:numPr>
          <w:ilvl w:val="0"/>
          <w:numId w:val="5"/>
        </w:numPr>
        <w:spacing w:after="60"/>
      </w:pPr>
      <w:r>
        <w:rPr>
          <w:rFonts w:ascii="Arial" w:cs="Arial" w:eastAsia="Arial" w:hAnsi="Arial"/>
          <w:sz w:val="20"/>
          <w:szCs w:val="20"/>
        </w:rPr>
        <w:t xml:space="preserve">Discount cost per order</w:t>
      </w:r>
    </w:p>
    <w:p>
      <w:pPr>
        <w:pStyle w:val="ListParagraph"/>
        <w:numPr>
          <w:ilvl w:val="0"/>
          <w:numId w:val="5"/>
        </w:numPr>
        <w:spacing w:after="60"/>
      </w:pPr>
      <w:r>
        <w:rPr>
          <w:rFonts w:ascii="Arial" w:cs="Arial" w:eastAsia="Arial" w:hAnsi="Arial"/>
          <w:sz w:val="20"/>
          <w:szCs w:val="20"/>
        </w:rPr>
        <w:t xml:space="preserve">Klaviyo subscription tier after removing inactive subscribers</w:t>
      </w:r>
    </w:p>
    <w:p>
      <w:pPr>
        <w:spacing w:after="60" w:before="0"/>
      </w:pPr>
    </w:p>
    <w:p>
      <w:r>
        <w:rPr>
          <w:rFonts w:ascii="Arial" w:cs="Arial" w:eastAsia="Arial" w:hAnsi="Arial"/>
          <w:sz w:val="20"/>
          <w:szCs w:val="20"/>
        </w:rPr>
        <w:t xml:space="preserve">In a food-led pet brand, we would expect the reorder reminder to become the top revenue sequence within one or two reorder cycles. Proving it with a holdout test is what turns a trial quarter into a long retainer.</w:t>
      </w:r>
    </w:p>
    <w:p>
      <w:pPr>
        <w:pStyle w:val="Heading1"/>
        <w:keepNext/>
        <w:pageBreakBefore/>
      </w:pPr>
      <w:bookmarkStart w:name="sec_11" w:id="62"/>
      <w:r>
        <w:rPr>
          <w:rFonts w:ascii="Arial" w:cs="Arial" w:eastAsia="Arial" w:hAnsi="Arial"/>
        </w:rPr>
        <w:t xml:space="preserve">11. Keeping the Email List Clean</w:t>
      </w:r>
      <w:bookmarkEnd w:id="62"/>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Klaviyo charges based on the number of active subscribers in the list. Inactive subscribers and fake sign-ups from bots cost a brand twice: once on the Klaviyo bill, and again because sending to them hurts inbox delivery. Engagement tiers, a sunset sequence, careful removal of dead subscribers, and bot protection answer the most common complaint from brand owners: a rising Klaviyo bill with flat email revenue.</w:t>
      </w:r>
    </w:p>
    <w:p>
      <w:pPr>
        <w:pStyle w:val="Heading2"/>
        <w:keepNext/>
      </w:pPr>
      <w:bookmarkStart w:name="sec_11_1" w:id="63"/>
      <w:r>
        <w:rPr>
          <w:rFonts w:ascii="Arial" w:cs="Arial" w:eastAsia="Arial" w:hAnsi="Arial"/>
        </w:rPr>
        <w:t xml:space="preserve">11.1 How Klaviyo charges</w:t>
      </w:r>
      <w:bookmarkEnd w:id="63"/>
    </w:p>
    <w:p>
      <w:r>
        <w:rPr>
          <w:rFonts w:ascii="Arial" w:cs="Arial" w:eastAsia="Arial" w:hAnsi="Arial"/>
          <w:sz w:val="20"/>
          <w:szCs w:val="20"/>
        </w:rPr>
        <w:t xml:space="preserve">Since February 2025, Klaviyo charges based on every "active" profile (subscriber). It automatically moves the account to the next pricing tier when the limit is exceeded.</w:t>
      </w:r>
    </w:p>
    <w:p>
      <w:r>
        <w:rPr>
          <w:rFonts w:ascii="Arial" w:cs="Arial" w:eastAsia="Arial" w:hAnsi="Arial"/>
          <w:sz w:val="20"/>
          <w:szCs w:val="20"/>
        </w:rPr>
        <w:t xml:space="preserve">Removed (suppressed) subscribers leave the bill. However, they can no longer receive any emails or enter any sequences, so removing someone is a marketing decision, not just a billing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8"/>
        <w:gridCol w:w="4032"/>
      </w:tblGrid>
      <w:tr>
        <w:trPr>
          <w:cantSplit/>
          <w:tblHeader/>
        </w:trPr>
        <w:tc>
          <w:tcPr>
            <w:tcW w:type="dxa" w:w="60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Active subscribers</w:t>
            </w:r>
          </w:p>
        </w:tc>
        <w:tc>
          <w:tcPr>
            <w:tcW w:type="dxa" w:w="40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Monthly cost</w:t>
            </w:r>
          </w:p>
        </w:tc>
      </w:tr>
      <w:tr>
        <w:trPr>
          <w:cantSplit/>
        </w:trPr>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w:t>
            </w:r>
          </w:p>
        </w:tc>
      </w:tr>
      <w:tr>
        <w:trPr>
          <w:cantSplit/>
        </w:trPr>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w:t>
            </w:r>
          </w:p>
        </w:tc>
      </w:tr>
      <w:tr>
        <w:trPr>
          <w:cantSplit/>
        </w:trPr>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10,000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$150</w:t>
            </w:r>
          </w:p>
        </w:tc>
      </w:tr>
      <w:tr>
        <w:trPr>
          <w:cantSplit/>
        </w:trPr>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25,000</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$400</w:t>
            </w:r>
          </w:p>
        </w:tc>
      </w:tr>
      <w:tr>
        <w:trPr>
          <w:cantSplit/>
        </w:trPr>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$700</w:t>
            </w:r>
          </w:p>
        </w:tc>
      </w:tr>
      <w:tr>
        <w:trPr>
          <w:cantSplit/>
        </w:trPr>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250,000</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$2,300</w:t>
            </w:r>
          </w:p>
        </w:tc>
      </w:tr>
    </w:tbl>
    <w:p>
      <w:pPr>
        <w:spacing w:after="120" w:before="0"/>
      </w:pPr>
    </w:p>
    <w:p>
      <w:pPr>
        <w:spacing w:after="160" w:before="0"/>
      </w:pPr>
      <w:r>
        <w:rPr>
          <w:rFonts w:ascii="Arial" w:cs="Arial" w:eastAsia="Arial" w:hAnsi="Arial"/>
          <w:i/>
          <w:iCs/>
          <w:color w:val="5B6573"/>
          <w:sz w:val="16"/>
          <w:szCs w:val="16"/>
        </w:rPr>
        <w:t xml:space="preserve">Check Klaviyo's current prices before quoting any numbers to a client. A brand with 25,000 to 100,000 subscribers probably pays $400 to $1,400+ per month for email alone (our estimate).</w:t>
      </w:r>
    </w:p>
    <w:p>
      <w:pPr>
        <w:pStyle w:val="Heading3"/>
        <w:keepNext/>
      </w:pPr>
      <w:r>
        <w:rPr>
          <w:rFonts w:ascii="Arial" w:cs="Arial" w:eastAsia="Arial" w:hAnsi="Arial"/>
        </w:rPr>
        <w:t xml:space="preserve">A typical unmanaged list of 60,000 active subscribers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2"/>
        <w:gridCol w:w="1688"/>
        <w:gridCol w:w="1194"/>
        <w:gridCol w:w="1411"/>
        <w:gridCol w:w="3255"/>
      </w:tblGrid>
      <w:tr>
        <w:trPr>
          <w:cantSplit/>
          <w:tblHeader/>
        </w:trPr>
        <w:tc>
          <w:tcPr>
            <w:tcW w:type="dxa" w:w="25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Segment</w:t>
            </w:r>
          </w:p>
        </w:tc>
        <w:tc>
          <w:tcPr>
            <w:tcW w:type="dxa" w:w="16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Last activity</w:t>
            </w:r>
          </w:p>
        </w:tc>
        <w:tc>
          <w:tcPr>
            <w:tcW w:type="dxa" w:w="119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Subscribers</w:t>
            </w:r>
          </w:p>
        </w:tc>
        <w:tc>
          <w:tcPr>
            <w:tcW w:type="dxa" w:w="141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 of list</w:t>
            </w:r>
          </w:p>
        </w:tc>
        <w:tc>
          <w:tcPr>
            <w:tcW w:type="dxa" w:w="325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Effect on the brand</w:t>
            </w:r>
          </w:p>
        </w:tc>
      </w:tr>
      <w:tr>
        <w:trPr>
          <w:cantSplit/>
        </w:trPr>
        <w:tc>
          <w:tcPr>
            <w:tcW w:type="dxa" w:w="25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Engaged</w:t>
            </w:r>
          </w:p>
        </w:tc>
        <w:tc>
          <w:tcPr>
            <w:tcW w:type="dxa" w:w="1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Within 30 days</w:t>
            </w:r>
          </w:p>
        </w:tc>
        <w:tc>
          <w:tcPr>
            <w:tcW w:type="dxa" w:w="11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12,000</w:t>
            </w:r>
          </w:p>
        </w:tc>
        <w:tc>
          <w:tcPr>
            <w:tcW w:type="dxa" w:w="14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c>
          <w:tcPr>
            <w:tcW w:type="dxa" w:w="32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Earns almost all revenue</w:t>
            </w:r>
          </w:p>
        </w:tc>
      </w:tr>
      <w:tr>
        <w:trPr>
          <w:cantSplit/>
        </w:trPr>
        <w:tc>
          <w:tcPr>
            <w:tcW w:type="dxa" w:w="25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Warm</w:t>
            </w:r>
          </w:p>
        </w:tc>
        <w:tc>
          <w:tcPr>
            <w:tcW w:type="dxa" w:w="1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31–90 days</w:t>
            </w:r>
          </w:p>
        </w:tc>
        <w:tc>
          <w:tcPr>
            <w:tcW w:type="dxa" w:w="11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9,000</w:t>
            </w:r>
          </w:p>
        </w:tc>
        <w:tc>
          <w:tcPr>
            <w:tcW w:type="dxa" w:w="14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w:t>
            </w:r>
          </w:p>
        </w:tc>
        <w:tc>
          <w:tcPr>
            <w:tcW w:type="dxa" w:w="32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25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Cool</w:t>
            </w:r>
          </w:p>
        </w:tc>
        <w:tc>
          <w:tcPr>
            <w:tcW w:type="dxa" w:w="1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91–180 days</w:t>
            </w:r>
          </w:p>
        </w:tc>
        <w:tc>
          <w:tcPr>
            <w:tcW w:type="dxa" w:w="11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6,000</w:t>
            </w:r>
          </w:p>
        </w:tc>
        <w:tc>
          <w:tcPr>
            <w:tcW w:type="dxa" w:w="14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w:t>
            </w:r>
          </w:p>
        </w:tc>
        <w:tc>
          <w:tcPr>
            <w:tcW w:type="dxa" w:w="32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25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Inactive</w:t>
            </w:r>
          </w:p>
        </w:tc>
        <w:tc>
          <w:tcPr>
            <w:tcW w:type="dxa" w:w="1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180+ days</w:t>
            </w:r>
          </w:p>
        </w:tc>
        <w:tc>
          <w:tcPr>
            <w:tcW w:type="dxa" w:w="11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30,000</w:t>
            </w:r>
          </w:p>
        </w:tc>
        <w:tc>
          <w:tcPr>
            <w:tcW w:type="dxa" w:w="14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w:t>
            </w:r>
          </w:p>
        </w:tc>
        <w:tc>
          <w:tcPr>
            <w:tcW w:type="dxa" w:w="32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Costs money, hurts delivery</w:t>
            </w:r>
          </w:p>
        </w:tc>
      </w:tr>
      <w:tr>
        <w:trPr>
          <w:cantSplit/>
        </w:trPr>
        <w:tc>
          <w:tcPr>
            <w:tcW w:type="dxa" w:w="25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Bots / fake addresses</w:t>
            </w:r>
          </w:p>
        </w:tc>
        <w:tc>
          <w:tcPr>
            <w:tcW w:type="dxa" w:w="1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applicable</w:t>
            </w:r>
          </w:p>
        </w:tc>
        <w:tc>
          <w:tcPr>
            <w:tcW w:type="dxa" w:w="11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3,000</w:t>
            </w:r>
          </w:p>
        </w:tc>
        <w:tc>
          <w:tcPr>
            <w:tcW w:type="dxa" w:w="14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32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Costs money, causes bounces</w:t>
            </w:r>
          </w:p>
        </w:tc>
      </w:tr>
    </w:tbl>
    <w:p>
      <w:pPr>
        <w:spacing w:after="120" w:before="0"/>
      </w:pPr>
    </w:p>
    <w:p>
      <w:r>
        <w:rPr>
          <w:rFonts w:ascii="Arial" w:cs="Arial" w:eastAsia="Arial" w:hAnsi="Arial"/>
          <w:sz w:val="20"/>
          <w:szCs w:val="20"/>
        </w:rPr>
        <w:t xml:space="preserve">One brand owner publicly described this exact situation: paying for 50,000+ subscribers while only about 15,000 engaged with anything, with flat revenue and a rising bill.</w:t>
      </w:r>
    </w:p>
    <w:p>
      <w:r>
        <w:rPr>
          <w:rFonts w:ascii="Arial" w:cs="Arial" w:eastAsia="Arial" w:hAnsi="Arial"/>
          <w:sz w:val="20"/>
          <w:szCs w:val="20"/>
        </w:rPr>
        <w:t xml:space="preserve">Removing the inactive and bot segments would bring this list to about 27,000 real subscribers. That cuts the email bill by roughly $300 per month, and all remaining emails go to people who actually respond.</w:t>
      </w:r>
    </w:p>
    <w:p>
      <w:pPr>
        <w:pStyle w:val="Heading2"/>
        <w:keepNext/>
      </w:pPr>
      <w:bookmarkStart w:name="sec_11_2" w:id="64"/>
      <w:r>
        <w:rPr>
          <w:rFonts w:ascii="Arial" w:cs="Arial" w:eastAsia="Arial" w:hAnsi="Arial"/>
        </w:rPr>
        <w:t xml:space="preserve">11.2 How to categorize subscribers</w:t>
      </w:r>
      <w:bookmarkEnd w:id="64"/>
    </w:p>
    <w:p>
      <w:r>
        <w:rPr>
          <w:rFonts w:ascii="Arial" w:cs="Arial" w:eastAsia="Arial" w:hAnsi="Arial"/>
          <w:sz w:val="20"/>
          <w:szCs w:val="20"/>
        </w:rPr>
        <w:t xml:space="preserve">Categories are based on clicks, website visits, and orders, </w:t>
      </w:r>
      <w:r>
        <w:rPr>
          <w:rFonts w:ascii="Arial" w:cs="Arial" w:eastAsia="Arial" w:hAnsi="Arial"/>
          <w:b/>
          <w:bCs/>
          <w:sz w:val="20"/>
          <w:szCs w:val="20"/>
        </w:rPr>
        <w:t xml:space="preserve">not opens</w:t>
      </w:r>
      <w:r>
        <w:rPr>
          <w:rFonts w:ascii="Arial" w:cs="Arial" w:eastAsia="Arial" w:hAnsi="Arial"/>
          <w:sz w:val="20"/>
          <w:szCs w:val="20"/>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572"/>
        <w:gridCol w:w="4608"/>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Category</w:t>
            </w:r>
          </w:p>
        </w:tc>
        <w:tc>
          <w:tcPr>
            <w:tcW w:type="dxa" w:w="457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Definition</w:t>
            </w:r>
          </w:p>
        </w:tc>
        <w:tc>
          <w:tcPr>
            <w:tcW w:type="dxa" w:w="46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we treat them</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Engaged</w:t>
            </w:r>
          </w:p>
        </w:tc>
        <w:tc>
          <w:tcPr>
            <w:tcW w:type="dxa" w:w="45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Clicked, visited, or ordered in the last 30 days, or signed up in the last 30 days</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campaign</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Warm</w:t>
            </w:r>
          </w:p>
        </w:tc>
        <w:tc>
          <w:tcPr>
            <w:tcW w:type="dxa" w:w="45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Same actions, 31–90 days ago</w:t>
            </w:r>
          </w:p>
        </w:tc>
        <w:tc>
          <w:tcPr>
            <w:tcW w:type="dxa" w:w="46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campaigns per week</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Cool</w:t>
            </w:r>
          </w:p>
        </w:tc>
        <w:tc>
          <w:tcPr>
            <w:tcW w:type="dxa" w:w="45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Same actions, 91–180 days ago</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Strongest monthly send; targeted win-back</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Inactive</w:t>
            </w:r>
          </w:p>
        </w:tc>
        <w:tc>
          <w:tcPr>
            <w:tcW w:type="dxa" w:w="45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Nothing in 180+ days</w:t>
            </w:r>
          </w:p>
        </w:tc>
        <w:tc>
          <w:tcPr>
            <w:tcW w:type="dxa" w:w="46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Sunset sequence, then remove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Protected</w:t>
            </w:r>
          </w:p>
        </w:tc>
        <w:tc>
          <w:tcPr>
            <w:tcW w:type="dxa" w:w="45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Ordered in last 12 months, active subscriber, VIP, or has an open order or support ticket</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Never remove automatically; keep in post-purchase and transactional emails</w:t>
            </w:r>
          </w:p>
        </w:tc>
      </w:tr>
    </w:tbl>
    <w:p>
      <w:pPr>
        <w:spacing w:after="120" w:before="0"/>
      </w:pPr>
    </w:p>
    <w:p>
      <w:pPr>
        <w:pStyle w:val="Heading3"/>
        <w:keepNext/>
      </w:pPr>
      <w:r>
        <w:rPr>
          <w:rFonts w:ascii="Arial" w:cs="Arial" w:eastAsia="Arial" w:hAnsi="Arial"/>
        </w:rPr>
        <w:t xml:space="preserve">Who to remove (suppress)</w:t>
      </w:r>
    </w:p>
    <w:p>
      <w:pPr>
        <w:pStyle w:val="ListParagraph"/>
        <w:numPr>
          <w:ilvl w:val="0"/>
          <w:numId w:val="5"/>
        </w:numPr>
        <w:spacing w:after="60"/>
      </w:pPr>
      <w:r>
        <w:rPr>
          <w:rFonts w:ascii="Arial" w:cs="Arial" w:eastAsia="Arial" w:hAnsi="Arial"/>
          <w:sz w:val="20"/>
          <w:szCs w:val="20"/>
        </w:rPr>
        <w:t xml:space="preserve">Hard bounces and spam complaints (Klaviyo does this automatically)</w:t>
      </w:r>
    </w:p>
    <w:p>
      <w:pPr>
        <w:pStyle w:val="ListParagraph"/>
        <w:numPr>
          <w:ilvl w:val="0"/>
          <w:numId w:val="5"/>
        </w:numPr>
        <w:spacing w:after="60"/>
      </w:pPr>
      <w:r>
        <w:rPr>
          <w:rFonts w:ascii="Arial" w:cs="Arial" w:eastAsia="Arial" w:hAnsi="Arial"/>
          <w:sz w:val="20"/>
          <w:szCs w:val="20"/>
        </w:rPr>
        <w:t xml:space="preserve">People who did not re-engage after the sunset sequence</w:t>
      </w:r>
    </w:p>
    <w:p>
      <w:pPr>
        <w:pStyle w:val="ListParagraph"/>
        <w:numPr>
          <w:ilvl w:val="0"/>
          <w:numId w:val="5"/>
        </w:numPr>
        <w:spacing w:after="60"/>
      </w:pPr>
      <w:r>
        <w:rPr>
          <w:rFonts w:ascii="Arial" w:cs="Arial" w:eastAsia="Arial" w:hAnsi="Arial"/>
          <w:sz w:val="20"/>
          <w:szCs w:val="20"/>
        </w:rPr>
        <w:t xml:space="preserve">Confirmed bots</w:t>
      </w:r>
    </w:p>
    <w:p>
      <w:pPr>
        <w:pStyle w:val="ListParagraph"/>
        <w:numPr>
          <w:ilvl w:val="0"/>
          <w:numId w:val="5"/>
        </w:numPr>
        <w:spacing w:after="60"/>
      </w:pPr>
      <w:r>
        <w:rPr>
          <w:rFonts w:ascii="Arial" w:cs="Arial" w:eastAsia="Arial" w:hAnsi="Arial"/>
          <w:sz w:val="20"/>
          <w:szCs w:val="20"/>
        </w:rPr>
        <w:t xml:space="preserve">Disposable email addresses and malformed addresses</w:t>
      </w:r>
    </w:p>
    <w:p>
      <w:pPr>
        <w:pStyle w:val="ListParagraph"/>
        <w:numPr>
          <w:ilvl w:val="0"/>
          <w:numId w:val="5"/>
        </w:numPr>
        <w:spacing w:after="60"/>
      </w:pPr>
      <w:r>
        <w:rPr>
          <w:rFonts w:ascii="Arial" w:cs="Arial" w:eastAsia="Arial" w:hAnsi="Arial"/>
          <w:sz w:val="20"/>
          <w:szCs w:val="20"/>
        </w:rPr>
        <w:t xml:space="preserve">People who received 3+ emails in 180 days with no click, website visit, or order</w:t>
      </w:r>
    </w:p>
    <w:p>
      <w:pPr>
        <w:spacing w:after="60" w:before="0"/>
      </w:pPr>
    </w:p>
    <w:p>
      <w:pPr>
        <w:pStyle w:val="Heading2"/>
        <w:keepNext/>
      </w:pPr>
      <w:bookmarkStart w:name="sec_11_3" w:id="65"/>
      <w:r>
        <w:rPr>
          <w:rFonts w:ascii="Arial" w:cs="Arial" w:eastAsia="Arial" w:hAnsi="Arial"/>
        </w:rPr>
        <w:t xml:space="preserve">11.3 Sunset sequence process</w:t>
      </w:r>
      <w:bookmarkEnd w:id="65"/>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
        <w:gridCol w:w="2688"/>
        <w:gridCol w:w="6451"/>
      </w:tblGrid>
      <w:tr>
        <w:trPr>
          <w:cantSplit/>
          <w:tblHeader/>
        </w:trPr>
        <w:tc>
          <w:tcPr>
            <w:tcW w:type="dxa" w:w="94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26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Stage</w:t>
            </w:r>
          </w:p>
        </w:tc>
        <w:tc>
          <w:tcPr>
            <w:tcW w:type="dxa" w:w="645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happens</w:t>
            </w:r>
          </w:p>
        </w:tc>
      </w:tr>
      <w:tr>
        <w:trPr>
          <w:cantSplit/>
        </w:trPr>
        <w:tc>
          <w:tcPr>
            <w:tcW w:type="dxa" w:w="9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2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Entry trigger</w:t>
            </w:r>
          </w:p>
        </w:tc>
        <w:tc>
          <w:tcPr>
            <w:tcW w:type="dxa" w:w="64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click, visit, or order in 180 days AND no order in 12 months. Use 270 days for products with long buying cycles.</w:t>
            </w:r>
          </w:p>
        </w:tc>
      </w:tr>
      <w:tr>
        <w:trPr>
          <w:cantSplit/>
        </w:trPr>
        <w:tc>
          <w:tcPr>
            <w:tcW w:type="dxa" w:w="9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2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Re-permission</w:t>
            </w:r>
          </w:p>
        </w:tc>
        <w:tc>
          <w:tcPr>
            <w:tcW w:type="dxa" w:w="64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emails over 7–10 days, with a one-click "yes, keep me subscribed" button</w:t>
            </w:r>
          </w:p>
        </w:tc>
      </w:tr>
      <w:tr>
        <w:trPr>
          <w:cantSplit/>
        </w:trPr>
        <w:tc>
          <w:tcPr>
            <w:tcW w:type="dxa" w:w="9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2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If they click</w:t>
            </w:r>
          </w:p>
        </w:tc>
        <w:tc>
          <w:tcPr>
            <w:tcW w:type="dxa" w:w="64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Move them back to the warm category</w:t>
            </w:r>
          </w:p>
        </w:tc>
      </w:tr>
      <w:tr>
        <w:trPr>
          <w:cantSplit/>
        </w:trPr>
        <w:tc>
          <w:tcPr>
            <w:tcW w:type="dxa" w:w="9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2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If they do not click</w:t>
            </w:r>
          </w:p>
        </w:tc>
        <w:tc>
          <w:tcPr>
            <w:tcW w:type="dxa" w:w="64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them with a reason tag (e.g., "sunset_2026Q4") so the removal can be tracked and undone if needed</w:t>
            </w:r>
          </w:p>
        </w:tc>
      </w:tr>
      <w:tr>
        <w:trPr>
          <w:cantSplit/>
        </w:trPr>
        <w:tc>
          <w:tcPr>
            <w:tcW w:type="dxa" w:w="94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2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Keep it running</w:t>
            </w:r>
          </w:p>
        </w:tc>
        <w:tc>
          <w:tcPr>
            <w:tcW w:type="dxa" w:w="64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 it as an ongoing automated sequence, not as an annual one-time purge</w:t>
            </w:r>
          </w:p>
        </w:tc>
      </w:tr>
      <w:tr>
        <w:trPr>
          <w:cantSplit/>
        </w:trPr>
        <w:tc>
          <w:tcPr>
            <w:tcW w:type="dxa" w:w="94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w:t>
            </w:r>
          </w:p>
        </w:tc>
        <w:tc>
          <w:tcPr>
            <w:tcW w:type="dxa" w:w="2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Report</w:t>
            </w:r>
          </w:p>
        </w:tc>
        <w:tc>
          <w:tcPr>
            <w:tcW w:type="dxa" w:w="64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many were removed, how category sizes changed, and how click and order rates changed</w:t>
            </w:r>
          </w:p>
        </w:tc>
      </w:tr>
    </w:tbl>
    <w:p>
      <w:pPr>
        <w:spacing w:after="120" w:before="0"/>
      </w:pPr>
    </w:p>
    <w:p>
      <w:r>
        <w:rPr>
          <w:rFonts w:ascii="Arial" w:cs="Arial" w:eastAsia="Arial" w:hAnsi="Arial"/>
          <w:sz w:val="20"/>
          <w:szCs w:val="20"/>
        </w:rPr>
        <w:t xml:space="preserve">One manufacturer who removed unengaged subscribers and added a sunset flow publicly reported their open rate rising from 45% to 55% up to 65% to 70%. Opens are not a great metric (Section 9), but the direction confirms the point: emailing fewer, more engaged people improves every other metric.</w:t>
      </w:r>
    </w:p>
    <w:p>
      <w:pPr>
        <w:pStyle w:val="Heading2"/>
        <w:keepNext/>
      </w:pPr>
      <w:bookmarkStart w:name="sec_11_4" w:id="66"/>
      <w:r>
        <w:rPr>
          <w:rFonts w:ascii="Arial" w:cs="Arial" w:eastAsia="Arial" w:hAnsi="Arial"/>
        </w:rPr>
        <w:t xml:space="preserve">11.4 Bots and list bombing</w:t>
      </w:r>
      <w:bookmarkEnd w:id="66"/>
    </w:p>
    <w:p>
      <w:r>
        <w:rPr>
          <w:rFonts w:ascii="Arial" w:cs="Arial" w:eastAsia="Arial" w:hAnsi="Arial"/>
          <w:b/>
          <w:bCs/>
          <w:sz w:val="20"/>
          <w:szCs w:val="20"/>
        </w:rPr>
        <w:t xml:space="preserve">List bombing</w:t>
      </w:r>
      <w:r>
        <w:rPr>
          <w:rFonts w:ascii="Arial" w:cs="Arial" w:eastAsia="Arial" w:hAnsi="Arial"/>
          <w:sz w:val="20"/>
          <w:szCs w:val="20"/>
        </w:rPr>
        <w:t xml:space="preserve"> happens when bots flood a sign-up form with real or fake email addresses. The brand then pays to store junk contacts, and its welcome emails bounce or land in spam.</w:t>
      </w:r>
    </w:p>
    <w:p>
      <w:pPr>
        <w:pStyle w:val="Heading3"/>
        <w:keepNext/>
      </w:pPr>
      <w:r>
        <w:rPr>
          <w:rFonts w:ascii="Arial" w:cs="Arial" w:eastAsia="Arial" w:hAnsi="Arial"/>
        </w:rPr>
        <w:t xml:space="preserve">Warning signs</w:t>
      </w:r>
    </w:p>
    <w:p>
      <w:pPr>
        <w:pStyle w:val="ListParagraph"/>
        <w:numPr>
          <w:ilvl w:val="0"/>
          <w:numId w:val="5"/>
        </w:numPr>
        <w:spacing w:after="60"/>
      </w:pPr>
      <w:r>
        <w:rPr>
          <w:rFonts w:ascii="Arial" w:cs="Arial" w:eastAsia="Arial" w:hAnsi="Arial"/>
          <w:sz w:val="20"/>
          <w:szCs w:val="20"/>
        </w:rPr>
        <w:t xml:space="preserve">Sign-up spikes at odd hours or all from one country</w:t>
      </w:r>
    </w:p>
    <w:p>
      <w:pPr>
        <w:pStyle w:val="ListParagraph"/>
        <w:numPr>
          <w:ilvl w:val="0"/>
          <w:numId w:val="5"/>
        </w:numPr>
        <w:spacing w:after="60"/>
      </w:pPr>
      <w:r>
        <w:rPr>
          <w:rFonts w:ascii="Arial" w:cs="Arial" w:eastAsia="Arial" w:hAnsi="Arial"/>
          <w:sz w:val="20"/>
          <w:szCs w:val="20"/>
        </w:rPr>
        <w:t xml:space="preserve">Random-string names or website URLs in the name field</w:t>
      </w:r>
    </w:p>
    <w:p>
      <w:pPr>
        <w:pStyle w:val="ListParagraph"/>
        <w:numPr>
          <w:ilvl w:val="0"/>
          <w:numId w:val="5"/>
        </w:numPr>
        <w:spacing w:after="60"/>
      </w:pPr>
      <w:r>
        <w:rPr>
          <w:rFonts w:ascii="Arial" w:cs="Arial" w:eastAsia="Arial" w:hAnsi="Arial"/>
          <w:sz w:val="20"/>
          <w:szCs w:val="20"/>
        </w:rPr>
        <w:t xml:space="preserve">High bounce rates on the very first welcome email</w:t>
      </w:r>
    </w:p>
    <w:p>
      <w:pPr>
        <w:pStyle w:val="ListParagraph"/>
        <w:numPr>
          <w:ilvl w:val="0"/>
          <w:numId w:val="5"/>
        </w:numPr>
        <w:spacing w:after="60"/>
      </w:pPr>
      <w:r>
        <w:rPr>
          <w:rFonts w:ascii="Arial" w:cs="Arial" w:eastAsia="Arial" w:hAnsi="Arial"/>
          <w:sz w:val="20"/>
          <w:szCs w:val="20"/>
        </w:rPr>
        <w:t xml:space="preserve">Clusters of unusual email domains</w:t>
      </w:r>
    </w:p>
    <w:p>
      <w:pPr>
        <w:spacing w:after="60" w:before="0"/>
      </w:pPr>
    </w:p>
    <w:p>
      <w:pPr>
        <w:pStyle w:val="Heading3"/>
        <w:keepNext/>
      </w:pPr>
      <w:r>
        <w:rPr>
          <w:rFonts w:ascii="Arial" w:cs="Arial" w:eastAsia="Arial" w:hAnsi="Arial"/>
        </w:rPr>
        <w:t xml:space="preserve">How to protect sign-up 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2"/>
        <w:gridCol w:w="6538"/>
      </w:tblGrid>
      <w:tr>
        <w:trPr>
          <w:cantSplit/>
          <w:tblHeader/>
        </w:trPr>
        <w:tc>
          <w:tcPr>
            <w:tcW w:type="dxa" w:w="35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Protection</w:t>
            </w:r>
          </w:p>
        </w:tc>
        <w:tc>
          <w:tcPr>
            <w:tcW w:type="dxa" w:w="653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does</w:t>
            </w:r>
          </w:p>
        </w:tc>
      </w:tr>
      <w:tr>
        <w:trPr>
          <w:cantSplit/>
        </w:trPr>
        <w:tc>
          <w:tcPr>
            <w:tcW w:type="dxa" w:w="3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CAPTCHA or bot protection</w:t>
            </w:r>
          </w:p>
        </w:tc>
        <w:tc>
          <w:tcPr>
            <w:tcW w:type="dxa" w:w="65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Added to every form</w:t>
            </w:r>
          </w:p>
        </w:tc>
      </w:tr>
      <w:tr>
        <w:trPr>
          <w:cantSplit/>
        </w:trPr>
        <w:tc>
          <w:tcPr>
            <w:tcW w:type="dxa" w:w="3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Honeypot field</w:t>
            </w:r>
          </w:p>
        </w:tc>
        <w:tc>
          <w:tcPr>
            <w:tcW w:type="dxa" w:w="65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hidden field that only bots fill in (real people never see it)</w:t>
            </w:r>
          </w:p>
        </w:tc>
      </w:tr>
      <w:tr>
        <w:trPr>
          <w:cantSplit/>
        </w:trPr>
        <w:tc>
          <w:tcPr>
            <w:tcW w:type="dxa" w:w="3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Double opt-in</w:t>
            </w:r>
          </w:p>
        </w:tc>
        <w:tc>
          <w:tcPr>
            <w:tcW w:type="dxa" w:w="65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Used for high-risk sign-up sources: footer forms, countries the brand does not ship to, API sign-ups</w:t>
            </w:r>
          </w:p>
        </w:tc>
      </w:tr>
      <w:tr>
        <w:trPr>
          <w:cantSplit/>
        </w:trPr>
        <w:tc>
          <w:tcPr>
            <w:tcW w:type="dxa" w:w="3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Disposable domain blocking</w:t>
            </w:r>
          </w:p>
        </w:tc>
        <w:tc>
          <w:tcPr>
            <w:tcW w:type="dxa" w:w="65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Blocks common disposable email domains</w:t>
            </w:r>
          </w:p>
        </w:tc>
      </w:tr>
      <w:tr>
        <w:trPr>
          <w:cantSplit/>
        </w:trPr>
        <w:tc>
          <w:tcPr>
            <w:tcW w:type="dxa" w:w="3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Sign-up alert</w:t>
            </w:r>
          </w:p>
        </w:tc>
        <w:tc>
          <w:tcPr>
            <w:tcW w:type="dxa" w:w="65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Triggers when daily sign-ups reach 3 times the usual daily average</w:t>
            </w:r>
          </w:p>
        </w:tc>
      </w:tr>
      <w:tr>
        <w:trPr>
          <w:cantSplit/>
        </w:trPr>
        <w:tc>
          <w:tcPr>
            <w:tcW w:type="dxa" w:w="3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Cohort removal</w:t>
            </w:r>
          </w:p>
        </w:tc>
        <w:tc>
          <w:tcPr>
            <w:tcW w:type="dxa" w:w="65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Removes any subscriber cohort affected by a bot attack</w:t>
            </w:r>
          </w:p>
        </w:tc>
      </w:tr>
    </w:tbl>
    <w:p>
      <w:pPr>
        <w:spacing w:after="120" w:before="0"/>
      </w:pPr>
    </w:p>
    <w:p>
      <w:pPr>
        <w:spacing w:after="160" w:before="0"/>
      </w:pPr>
      <w:r>
        <w:rPr>
          <w:rFonts w:ascii="Arial" w:cs="Arial" w:eastAsia="Arial" w:hAnsi="Arial"/>
          <w:i/>
          <w:iCs/>
          <w:color w:val="5B6573"/>
          <w:sz w:val="16"/>
          <w:szCs w:val="16"/>
        </w:rPr>
        <w:t xml:space="preserve">This matches Klaviyo's own guidance.</w:t>
      </w:r>
    </w:p>
    <w:p>
      <w:r>
        <w:rPr>
          <w:rFonts w:ascii="Arial" w:cs="Arial" w:eastAsia="Arial" w:hAnsi="Arial"/>
          <w:b/>
          <w:bCs/>
          <w:sz w:val="20"/>
          <w:szCs w:val="20"/>
        </w:rPr>
        <w:t xml:space="preserve">Never buy an email list.</w:t>
      </w:r>
      <w:r>
        <w:rPr>
          <w:rFonts w:ascii="Arial" w:cs="Arial" w:eastAsia="Arial" w:hAnsi="Arial"/>
          <w:sz w:val="20"/>
          <w:szCs w:val="20"/>
        </w:rPr>
        <w:t xml:space="preserve"> Purchased lists contain spam traps and dead addresses. One documented case bounced 12% on its very first send.</w:t>
      </w:r>
    </w:p>
    <w:p>
      <w:pPr>
        <w:pStyle w:val="Heading1"/>
        <w:keepNext/>
        <w:pageBreakBefore/>
      </w:pPr>
      <w:bookmarkStart w:name="sec_12" w:id="67"/>
      <w:r>
        <w:rPr>
          <w:rFonts w:ascii="Arial" w:cs="Arial" w:eastAsia="Arial" w:hAnsi="Arial"/>
        </w:rPr>
        <w:t xml:space="preserve">12. Email Security Settings Explained Simply</w:t>
      </w:r>
      <w:bookmarkEnd w:id="67"/>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Gmail, Yahoo, and Microsoft now require three email security settings (SPF, DKIM, and DMARC) from brands sending bulk email, and they reject email from bulk senders that do not meet these rules. Starting with a DMARC record that only monitors, without blocking anything, meets all current requirements, while moving to blocking mode step by step is best practice. </w:t>
      </w:r>
      <w:r>
        <w:rPr>
          <w:rFonts w:ascii="Arial" w:cs="Arial" w:eastAsia="Arial" w:hAnsi="Arial"/>
          <w:b/>
          <w:bCs/>
          <w:sz w:val="20"/>
          <w:szCs w:val="20"/>
        </w:rPr>
        <w:t xml:space="preserve">A missing DMARC record, or having two of them, is the most common and most actionable finding we make in a free audit.</w:t>
      </w:r>
    </w:p>
    <w:p>
      <w:pPr>
        <w:pStyle w:val="Heading2"/>
        <w:keepNext/>
      </w:pPr>
      <w:bookmarkStart w:name="sec_12_1" w:id="68"/>
      <w:r>
        <w:rPr>
          <w:rFonts w:ascii="Arial" w:cs="Arial" w:eastAsia="Arial" w:hAnsi="Arial"/>
        </w:rPr>
        <w:t xml:space="preserve">12.1 How the three settings work together</w:t>
      </w:r>
      <w:bookmarkEnd w:id="68"/>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483"/>
        <w:gridCol w:w="4697"/>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Setting</w:t>
            </w:r>
          </w:p>
        </w:tc>
        <w:tc>
          <w:tcPr>
            <w:tcW w:type="dxa" w:w="44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Plain-English meaning</w:t>
            </w:r>
          </w:p>
        </w:tc>
        <w:tc>
          <w:tcPr>
            <w:tcW w:type="dxa" w:w="46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does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SPF</w:t>
            </w:r>
          </w:p>
        </w:tc>
        <w:tc>
          <w:tcPr>
            <w:tcW w:type="dxa" w:w="44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list of computers allowed to send email for the domain</w:t>
            </w:r>
          </w:p>
        </w:tc>
        <w:tc>
          <w:tcPr>
            <w:tcW w:type="dxa" w:w="46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Checks whether the sending computer is authorized</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DKIM</w:t>
            </w:r>
          </w:p>
        </w:tc>
        <w:tc>
          <w:tcPr>
            <w:tcW w:type="dxa" w:w="44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digital signature that proves the email is really from the brand</w:t>
            </w:r>
          </w:p>
        </w:tc>
        <w:tc>
          <w:tcPr>
            <w:tcW w:type="dxa" w:w="46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Signs the email with a private key; the signature survives when the email is forwarded</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DMARC</w:t>
            </w:r>
          </w:p>
        </w:tc>
        <w:tc>
          <w:tcPr>
            <w:tcW w:type="dxa" w:w="44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rule that ties SPF and DKIM together</w:t>
            </w:r>
          </w:p>
        </w:tc>
        <w:tc>
          <w:tcPr>
            <w:tcW w:type="dxa" w:w="46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Links both checks back to the visible "From" address and tells providers what to do with failures: monitor, send to spam, or block entirely</w:t>
            </w:r>
          </w:p>
        </w:tc>
      </w:tr>
    </w:tbl>
    <w:p>
      <w:pPr>
        <w:spacing w:after="120" w:before="0"/>
      </w:pPr>
    </w:p>
    <w:p>
      <w:r>
        <w:rPr>
          <w:rFonts w:ascii="Arial" w:cs="Arial" w:eastAsia="Arial" w:hAnsi="Arial"/>
          <w:sz w:val="20"/>
          <w:szCs w:val="20"/>
        </w:rPr>
        <w:t xml:space="preserve">When an email arrives, the email provider looks at three header lines: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From: hello@brand.com</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Return-Path: bounces@send.brand.com</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DKIM-Signature: d=send.brand.com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5"/>
        <w:gridCol w:w="3070"/>
        <w:gridCol w:w="1382"/>
        <w:gridCol w:w="4093"/>
      </w:tblGrid>
      <w:tr>
        <w:trPr>
          <w:cantSplit/>
          <w:tblHeader/>
        </w:trPr>
        <w:tc>
          <w:tcPr>
            <w:tcW w:type="dxa" w:w="153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Header line</w:t>
            </w:r>
          </w:p>
        </w:tc>
        <w:tc>
          <w:tcPr>
            <w:tcW w:type="dxa" w:w="307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is</w:t>
            </w:r>
          </w:p>
        </w:tc>
        <w:tc>
          <w:tcPr>
            <w:tcW w:type="dxa" w:w="13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Check that uses it</w:t>
            </w:r>
          </w:p>
        </w:tc>
        <w:tc>
          <w:tcPr>
            <w:tcW w:type="dxa" w:w="409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Question the check asks</w:t>
            </w:r>
          </w:p>
        </w:tc>
      </w:tr>
      <w:tr>
        <w:trPr>
          <w:cantSplit/>
        </w:trPr>
        <w:tc>
          <w:tcPr>
            <w:tcW w:type="dxa" w:w="153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From:</w:t>
            </w:r>
          </w:p>
        </w:tc>
        <w:tc>
          <w:tcPr>
            <w:tcW w:type="dxa" w:w="30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visible sender the customer sees</w:t>
            </w:r>
          </w:p>
        </w:tc>
        <w:tc>
          <w:tcPr>
            <w:tcW w:type="dxa" w:w="13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w:t>
            </w:r>
          </w:p>
        </w:tc>
        <w:tc>
          <w:tcPr>
            <w:tcW w:type="dxa" w:w="4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Did SPF or DKIM pass AND match this domain?</w:t>
            </w:r>
          </w:p>
        </w:tc>
      </w:tr>
      <w:tr>
        <w:trPr>
          <w:cantSplit/>
        </w:trPr>
        <w:tc>
          <w:tcPr>
            <w:tcW w:type="dxa" w:w="153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Return-Path:</w:t>
            </w:r>
          </w:p>
        </w:tc>
        <w:tc>
          <w:tcPr>
            <w:tcW w:type="dxa" w:w="307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technical sender</w:t>
            </w:r>
          </w:p>
        </w:tc>
        <w:tc>
          <w:tcPr>
            <w:tcW w:type="dxa" w:w="13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w:t>
            </w:r>
          </w:p>
        </w:tc>
        <w:tc>
          <w:tcPr>
            <w:tcW w:type="dxa" w:w="409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Is this computer allowed to send for this domain?</w:t>
            </w:r>
          </w:p>
        </w:tc>
      </w:tr>
      <w:tr>
        <w:trPr>
          <w:cantSplit/>
        </w:trPr>
        <w:tc>
          <w:tcPr>
            <w:tcW w:type="dxa" w:w="153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DKIM-Signature: d=</w:t>
            </w:r>
          </w:p>
        </w:tc>
        <w:tc>
          <w:tcPr>
            <w:tcW w:type="dxa" w:w="30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domain that signed the email</w:t>
            </w:r>
          </w:p>
        </w:tc>
        <w:tc>
          <w:tcPr>
            <w:tcW w:type="dxa" w:w="13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DKIM</w:t>
            </w:r>
          </w:p>
        </w:tc>
        <w:tc>
          <w:tcPr>
            <w:tcW w:type="dxa" w:w="4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Does the digital signature match the public key in DNS?</w:t>
            </w:r>
          </w:p>
        </w:tc>
      </w:tr>
    </w:tbl>
    <w:p>
      <w:pPr>
        <w:spacing w:after="120" w:before="0"/>
      </w:pPr>
    </w:p>
    <w:p>
      <w:r>
        <w:rPr>
          <w:rFonts w:ascii="Arial" w:cs="Arial" w:eastAsia="Arial" w:hAnsi="Arial"/>
          <w:b/>
          <w:bCs/>
          <w:sz w:val="20"/>
          <w:szCs w:val="20"/>
        </w:rPr>
        <w:t xml:space="preserve">Alignment:</w:t>
      </w:r>
      <w:r>
        <w:rPr>
          <w:rFonts w:ascii="Arial" w:cs="Arial" w:eastAsia="Arial" w:hAnsi="Arial"/>
          <w:sz w:val="20"/>
          <w:szCs w:val="20"/>
        </w:rPr>
        <w:t xml:space="preserve"> </w:t>
      </w:r>
      <w:r>
        <w:rPr>
          <w:rFonts w:ascii="Courier New" w:cs="Courier New" w:eastAsia="Courier New" w:hAnsi="Courier New"/>
          <w:color w:val="8A2B2B"/>
          <w:sz w:val="19"/>
          <w:szCs w:val="19"/>
        </w:rPr>
        <w:t xml:space="preserve">send.brand.com</w:t>
      </w:r>
      <w:r>
        <w:rPr>
          <w:rFonts w:ascii="Arial" w:cs="Arial" w:eastAsia="Arial" w:hAnsi="Arial"/>
          <w:sz w:val="20"/>
          <w:szCs w:val="20"/>
        </w:rPr>
        <w:t xml:space="preserve"> and </w:t>
      </w:r>
      <w:r>
        <w:rPr>
          <w:rFonts w:ascii="Courier New" w:cs="Courier New" w:eastAsia="Courier New" w:hAnsi="Courier New"/>
          <w:color w:val="8A2B2B"/>
          <w:sz w:val="19"/>
          <w:szCs w:val="19"/>
        </w:rPr>
        <w:t xml:space="preserve">brand.com</w:t>
      </w:r>
      <w:r>
        <w:rPr>
          <w:rFonts w:ascii="Arial" w:cs="Arial" w:eastAsia="Arial" w:hAnsi="Arial"/>
          <w:sz w:val="20"/>
          <w:szCs w:val="20"/>
        </w:rPr>
        <w:t xml:space="preserve"> share an organizational domain, so they count as aligned.</w:t>
      </w:r>
    </w:p>
    <w:p>
      <w:pPr>
        <w:pStyle w:val="Heading2"/>
        <w:keepNext/>
      </w:pPr>
      <w:bookmarkStart w:name="sec_12_2" w:id="69"/>
      <w:r>
        <w:rPr>
          <w:rFonts w:ascii="Arial" w:cs="Arial" w:eastAsia="Arial" w:hAnsi="Arial"/>
        </w:rPr>
        <w:t xml:space="preserve">12.2 SPF: who is allowed to send email for this domain</w:t>
      </w:r>
      <w:bookmarkEnd w:id="69"/>
    </w:p>
    <w:p>
      <w:r>
        <w:rPr>
          <w:rFonts w:ascii="Arial" w:cs="Arial" w:eastAsia="Arial" w:hAnsi="Arial"/>
          <w:sz w:val="20"/>
          <w:szCs w:val="20"/>
        </w:rPr>
        <w:t xml:space="preserve">An SPF record is a text record in the domain's DNS (the phone book of the internet). It lists every tool allowed to send email as that brand.</w:t>
      </w:r>
    </w:p>
    <w:p>
      <w:r>
        <w:rPr>
          <w:rFonts w:ascii="Arial" w:cs="Arial" w:eastAsia="Arial" w:hAnsi="Arial"/>
          <w:sz w:val="20"/>
          <w:szCs w:val="20"/>
        </w:rPr>
        <w:t xml:space="preserve">Example:</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120" w:line="240"/>
        <w:ind w:left="100" w:right="100"/>
      </w:pPr>
      <w:r>
        <w:rPr>
          <w:rFonts w:ascii="Courier New" w:cs="Courier New" w:eastAsia="Courier New" w:hAnsi="Courier New"/>
          <w:color w:val="1E2733"/>
          <w:sz w:val="16"/>
          <w:szCs w:val="16"/>
        </w:rPr>
        <w:t xml:space="preserve">brand.com.  IN TXT  "v=spf1 include:_spf.google.com include:mail.helpdesk-vendor.example ~all"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0"/>
        <w:gridCol w:w="5600"/>
      </w:tblGrid>
      <w:tr>
        <w:trPr>
          <w:cantSplit/>
          <w:tblHeader/>
        </w:trPr>
        <w:tc>
          <w:tcPr>
            <w:tcW w:type="dxa" w:w="44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Part of the record</w:t>
            </w:r>
          </w:p>
        </w:tc>
        <w:tc>
          <w:tcPr>
            <w:tcW w:type="dxa" w:w="56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r>
      <w:tr>
        <w:trPr>
          <w:cantSplit/>
        </w:trPr>
        <w:tc>
          <w:tcPr>
            <w:tcW w:type="dxa" w:w="44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brand.com.  IN TXT</w:t>
            </w:r>
          </w:p>
        </w:tc>
        <w:tc>
          <w:tcPr>
            <w:tcW w:type="dxa" w:w="56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text record published on the brand's domain</w:t>
            </w:r>
          </w:p>
        </w:tc>
      </w:tr>
      <w:tr>
        <w:trPr>
          <w:cantSplit/>
        </w:trPr>
        <w:tc>
          <w:tcPr>
            <w:tcW w:type="dxa" w:w="44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v=spf1</w:t>
            </w:r>
          </w:p>
        </w:tc>
        <w:tc>
          <w:tcPr>
            <w:tcW w:type="dxa" w:w="56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Version (marks this as an SPF record)</w:t>
            </w:r>
          </w:p>
        </w:tc>
      </w:tr>
      <w:tr>
        <w:trPr>
          <w:cantSplit/>
        </w:trPr>
        <w:tc>
          <w:tcPr>
            <w:tcW w:type="dxa" w:w="44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include:_spf.google.com</w:t>
            </w:r>
          </w:p>
        </w:tc>
        <w:tc>
          <w:tcPr>
            <w:tcW w:type="dxa" w:w="56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Allows Google Workspace to send</w:t>
            </w:r>
          </w:p>
        </w:tc>
      </w:tr>
      <w:tr>
        <w:trPr>
          <w:cantSplit/>
        </w:trPr>
        <w:tc>
          <w:tcPr>
            <w:tcW w:type="dxa" w:w="44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include:mail.helpdesk-vendor.example</w:t>
            </w:r>
          </w:p>
        </w:tc>
        <w:tc>
          <w:tcPr>
            <w:tcW w:type="dxa" w:w="56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Allows a helpdesk tool to send as @brand.com</w:t>
            </w:r>
          </w:p>
        </w:tc>
      </w:tr>
      <w:tr>
        <w:trPr>
          <w:cantSplit/>
        </w:trPr>
        <w:tc>
          <w:tcPr>
            <w:tcW w:type="dxa" w:w="44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~all</w:t>
            </w:r>
          </w:p>
        </w:tc>
        <w:tc>
          <w:tcPr>
            <w:tcW w:type="dxa" w:w="56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Soft-fail everything else</w:t>
            </w:r>
          </w:p>
        </w:tc>
      </w:tr>
    </w:tbl>
    <w:p>
      <w:pPr>
        <w:spacing w:after="120" w:before="0"/>
      </w:pPr>
    </w:p>
    <w:p>
      <w:pPr>
        <w:pStyle w:val="Heading3"/>
        <w:keepNext/>
      </w:pPr>
      <w:r>
        <w:rPr>
          <w:rFonts w:ascii="Arial" w:cs="Arial" w:eastAsia="Arial" w:hAnsi="Arial"/>
        </w:rPr>
        <w:t xml:space="preserve">SPF rules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goes wrong if broken</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Only one SPF record per domain.</w:t>
            </w:r>
            <w:r>
              <w:rPr>
                <w:rFonts w:ascii="Arial" w:cs="Arial" w:eastAsia="Arial" w:hAnsi="Arial"/>
                <w:sz w:val="16"/>
                <w:szCs w:val="16"/>
              </w:rPr>
              <w:t xml:space="preserve"> Having two makes SPF completely invalid.</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fails for everyone</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Maximum 10 DNS lookups.</w:t>
            </w:r>
            <w:r>
              <w:rPr>
                <w:rFonts w:ascii="Arial" w:cs="Arial" w:eastAsia="Arial" w:hAnsi="Arial"/>
                <w:sz w:val="16"/>
                <w:szCs w:val="16"/>
              </w:rPr>
              <w:t xml:space="preserve"> Each </w:t>
            </w:r>
            <w:r>
              <w:rPr>
                <w:rFonts w:ascii="Courier New" w:cs="Courier New" w:eastAsia="Courier New" w:hAnsi="Courier New"/>
                <w:color w:val="8A2B2B"/>
                <w:sz w:val="15"/>
                <w:szCs w:val="15"/>
              </w:rPr>
              <w:t xml:space="preserve">include:</w:t>
            </w:r>
            <w:r>
              <w:rPr>
                <w:rFonts w:ascii="Arial" w:cs="Arial" w:eastAsia="Arial" w:hAnsi="Arial"/>
                <w:sz w:val="16"/>
                <w:szCs w:val="16"/>
              </w:rPr>
              <w:t xml:space="preserve">, </w:t>
            </w:r>
            <w:r>
              <w:rPr>
                <w:rFonts w:ascii="Courier New" w:cs="Courier New" w:eastAsia="Courier New" w:hAnsi="Courier New"/>
                <w:color w:val="8A2B2B"/>
                <w:sz w:val="15"/>
                <w:szCs w:val="15"/>
              </w:rPr>
              <w:t xml:space="preserve">a</w:t>
            </w:r>
            <w:r>
              <w:rPr>
                <w:rFonts w:ascii="Arial" w:cs="Arial" w:eastAsia="Arial" w:hAnsi="Arial"/>
                <w:sz w:val="16"/>
                <w:szCs w:val="16"/>
              </w:rPr>
              <w:t xml:space="preserve">, </w:t>
            </w:r>
            <w:r>
              <w:rPr>
                <w:rFonts w:ascii="Courier New" w:cs="Courier New" w:eastAsia="Courier New" w:hAnsi="Courier New"/>
                <w:color w:val="8A2B2B"/>
                <w:sz w:val="15"/>
                <w:szCs w:val="15"/>
              </w:rPr>
              <w:t xml:space="preserve">mx</w:t>
            </w:r>
            <w:r>
              <w:rPr>
                <w:rFonts w:ascii="Arial" w:cs="Arial" w:eastAsia="Arial" w:hAnsi="Arial"/>
                <w:sz w:val="16"/>
                <w:szCs w:val="16"/>
              </w:rPr>
              <w:t xml:space="preserve">, etc. counts as one, including lookups inside lookups.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Permanent error, usually when an 11th tool is added</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SPF checks the technical sender,</w:t>
            </w:r>
            <w:r>
              <w:rPr>
                <w:rFonts w:ascii="Arial" w:cs="Arial" w:eastAsia="Arial" w:hAnsi="Arial"/>
                <w:sz w:val="16"/>
                <w:szCs w:val="16"/>
              </w:rPr>
              <w:t xml:space="preserve"> not what the customer sees in "From:"</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can pass while the DMARC check still fails</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SPF breaks when emails are forwarded</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This is why DKIM is more reliable</w:t>
            </w:r>
          </w:p>
        </w:tc>
      </w:tr>
    </w:tbl>
    <w:p>
      <w:pPr>
        <w:spacing w:after="120" w:before="0"/>
      </w:pPr>
    </w:p>
    <w:p>
      <w:pPr>
        <w:pStyle w:val="Heading3"/>
        <w:keepNext/>
      </w:pPr>
      <w:r>
        <w:rPr>
          <w:rFonts w:ascii="Arial" w:cs="Arial" w:eastAsia="Arial" w:hAnsi="Arial"/>
        </w:rPr>
        <w:t xml:space="preserve">SPF qualifiers (the ending of the record)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7"/>
        <w:gridCol w:w="2550"/>
        <w:gridCol w:w="6443"/>
      </w:tblGrid>
      <w:tr>
        <w:trPr>
          <w:cantSplit/>
          <w:tblHeader/>
        </w:trPr>
        <w:tc>
          <w:tcPr>
            <w:tcW w:type="dxa" w:w="108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Qualifier</w:t>
            </w:r>
          </w:p>
        </w:tc>
        <w:tc>
          <w:tcPr>
            <w:tcW w:type="dxa" w:w="255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Meaning</w:t>
            </w:r>
          </w:p>
        </w:tc>
        <w:tc>
          <w:tcPr>
            <w:tcW w:type="dxa" w:w="644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Use</w:t>
            </w:r>
          </w:p>
        </w:tc>
      </w:tr>
      <w:tr>
        <w:trPr>
          <w:cantSplit/>
        </w:trPr>
        <w:tc>
          <w:tcPr>
            <w:tcW w:type="dxa" w:w="10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~all</w:t>
            </w:r>
          </w:p>
        </w:tc>
        <w:tc>
          <w:tcPr>
            <w:tcW w:type="dxa" w:w="25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Soft fail</w:t>
            </w:r>
          </w:p>
        </w:tc>
        <w:tc>
          <w:tcPr>
            <w:tcW w:type="dxa" w:w="644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Normal</w:t>
            </w:r>
          </w:p>
        </w:tc>
      </w:tr>
      <w:tr>
        <w:trPr>
          <w:cantSplit/>
        </w:trPr>
        <w:tc>
          <w:tcPr>
            <w:tcW w:type="dxa" w:w="10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-all</w:t>
            </w:r>
          </w:p>
        </w:tc>
        <w:tc>
          <w:tcPr>
            <w:tcW w:type="dxa" w:w="255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Hard fail</w:t>
            </w:r>
          </w:p>
        </w:tc>
        <w:tc>
          <w:tcPr>
            <w:tcW w:type="dxa" w:w="644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Strict</w:t>
            </w:r>
          </w:p>
        </w:tc>
      </w:tr>
      <w:tr>
        <w:trPr>
          <w:cantSplit/>
        </w:trPr>
        <w:tc>
          <w:tcPr>
            <w:tcW w:type="dxa" w:w="10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+all</w:t>
            </w:r>
          </w:p>
        </w:tc>
        <w:tc>
          <w:tcPr>
            <w:tcW w:type="dxa" w:w="255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Authorizes everyone</w:t>
            </w:r>
          </w:p>
        </w:tc>
        <w:tc>
          <w:tcPr>
            <w:tcW w:type="dxa" w:w="644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Never use: anyone in the world can send as the brand</w:t>
            </w:r>
          </w:p>
        </w:tc>
      </w:tr>
    </w:tbl>
    <w:p>
      <w:pPr>
        <w:spacing w:after="120" w:before="0"/>
      </w:pPr>
    </w:p>
    <w:p>
      <w:r>
        <w:rPr>
          <w:rFonts w:ascii="Arial" w:cs="Arial" w:eastAsia="Arial" w:hAnsi="Arial"/>
          <w:sz w:val="20"/>
          <w:szCs w:val="20"/>
        </w:rPr>
        <w:t xml:space="preserve">Klaviyo's sending domain lives on a subdomain (like </w:t>
      </w:r>
      <w:r>
        <w:rPr>
          <w:rFonts w:ascii="Courier New" w:cs="Courier New" w:eastAsia="Courier New" w:hAnsi="Courier New"/>
          <w:color w:val="8A2B2B"/>
          <w:sz w:val="19"/>
          <w:szCs w:val="19"/>
        </w:rPr>
        <w:t xml:space="preserve">send.brand.com</w:t>
      </w:r>
      <w:r>
        <w:rPr>
          <w:rFonts w:ascii="Arial" w:cs="Arial" w:eastAsia="Arial" w:hAnsi="Arial"/>
          <w:sz w:val="20"/>
          <w:szCs w:val="20"/>
        </w:rPr>
        <w:t xml:space="preserve">) and handles its own SPF and DKIM. Do not add Klaviyo to the main SPF record unless Klaviyo's setup screen asks for it. Shopify handles its own SPF for Shopify-sent emails.</w:t>
      </w:r>
    </w:p>
    <w:p>
      <w:pPr>
        <w:pStyle w:val="Heading2"/>
        <w:keepNext/>
      </w:pPr>
      <w:bookmarkStart w:name="sec_12_3" w:id="70"/>
      <w:r>
        <w:rPr>
          <w:rFonts w:ascii="Arial" w:cs="Arial" w:eastAsia="Arial" w:hAnsi="Arial"/>
        </w:rPr>
        <w:t xml:space="preserve">12.3 DKIM: proving the email is really from you</w:t>
      </w:r>
      <w:bookmarkEnd w:id="70"/>
    </w:p>
    <w:p>
      <w:r>
        <w:rPr>
          <w:rFonts w:ascii="Arial" w:cs="Arial" w:eastAsia="Arial" w:hAnsi="Arial"/>
          <w:sz w:val="20"/>
          <w:szCs w:val="20"/>
        </w:rPr>
        <w:t xml:space="preserve">DKIM adds a digital signature to every email. The signature header says which domain signed it (</w:t>
      </w:r>
      <w:r>
        <w:rPr>
          <w:rFonts w:ascii="Courier New" w:cs="Courier New" w:eastAsia="Courier New" w:hAnsi="Courier New"/>
          <w:color w:val="8A2B2B"/>
          <w:sz w:val="19"/>
          <w:szCs w:val="19"/>
        </w:rPr>
        <w:t xml:space="preserve">d=</w:t>
      </w:r>
      <w:r>
        <w:rPr>
          <w:rFonts w:ascii="Arial" w:cs="Arial" w:eastAsia="Arial" w:hAnsi="Arial"/>
          <w:sz w:val="20"/>
          <w:szCs w:val="20"/>
        </w:rPr>
        <w:t xml:space="preserve">) and which key to use (</w:t>
      </w:r>
      <w:r>
        <w:rPr>
          <w:rFonts w:ascii="Courier New" w:cs="Courier New" w:eastAsia="Courier New" w:hAnsi="Courier New"/>
          <w:color w:val="8A2B2B"/>
          <w:sz w:val="19"/>
          <w:szCs w:val="19"/>
        </w:rPr>
        <w:t xml:space="preserve">s=</w:t>
      </w:r>
      <w:r>
        <w:rPr>
          <w:rFonts w:ascii="Arial" w:cs="Arial" w:eastAsia="Arial" w:hAnsi="Arial"/>
          <w:sz w:val="20"/>
          <w:szCs w:val="20"/>
        </w:rPr>
        <w:t xml:space="preserve">). The public key lives in DNS and can be checked by anyone.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8342"/>
      </w:tblGrid>
      <w:tr>
        <w:trPr>
          <w:cantSplit/>
          <w:tblHeader/>
        </w:trPr>
        <w:tc>
          <w:tcPr>
            <w:tcW w:type="dxa" w:w="173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Standard</w:t>
            </w:r>
          </w:p>
        </w:tc>
        <w:tc>
          <w:tcPr>
            <w:tcW w:type="dxa" w:w="83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r>
      <w:tr>
        <w:trPr>
          <w:cantSplit/>
        </w:trPr>
        <w:tc>
          <w:tcPr>
            <w:tcW w:type="dxa" w:w="1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Key length</w:t>
            </w:r>
          </w:p>
        </w:tc>
        <w:tc>
          <w:tcPr>
            <w:tcW w:type="dxa" w:w="83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2048-bit recommended; 1024-bit minimum</w:t>
            </w:r>
          </w:p>
        </w:tc>
      </w:tr>
      <w:tr>
        <w:trPr>
          <w:cantSplit/>
        </w:trPr>
        <w:tc>
          <w:tcPr>
            <w:tcW w:type="dxa" w:w="1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Alignment</w:t>
            </w:r>
          </w:p>
        </w:tc>
        <w:tc>
          <w:tcPr>
            <w:tcW w:type="dxa" w:w="83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signing domain must be the From domain or a subdomain of it</w:t>
            </w:r>
          </w:p>
        </w:tc>
      </w:tr>
      <w:tr>
        <w:trPr>
          <w:cantSplit/>
        </w:trPr>
        <w:tc>
          <w:tcPr>
            <w:tcW w:type="dxa" w:w="1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Coverage</w:t>
            </w:r>
          </w:p>
        </w:tc>
        <w:tc>
          <w:tcPr>
            <w:tcW w:type="dxa" w:w="83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tool that sends as @brand.com needs a DKIM signature: email service (Google/Microsoft), Klaviyo, help desk, review app, subscriptions</w:t>
            </w:r>
          </w:p>
        </w:tc>
      </w:tr>
      <w:tr>
        <w:trPr>
          <w:cantSplit/>
        </w:trPr>
        <w:tc>
          <w:tcPr>
            <w:tcW w:type="dxa" w:w="1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Rotation</w:t>
            </w:r>
          </w:p>
        </w:tc>
        <w:tc>
          <w:tcPr>
            <w:tcW w:type="dxa" w:w="83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Keys managed through Klaviyo rotate automatically. Rotate self-managed keys at least yearly, keeping the old key live for 7+ days.</w:t>
            </w:r>
          </w:p>
        </w:tc>
      </w:tr>
    </w:tbl>
    <w:p>
      <w:pPr>
        <w:spacing w:after="120" w:before="0"/>
      </w:pPr>
    </w:p>
    <w:p>
      <w:pPr>
        <w:pStyle w:val="Heading2"/>
        <w:keepNext/>
      </w:pPr>
      <w:bookmarkStart w:name="sec_12_4" w:id="71"/>
      <w:r>
        <w:rPr>
          <w:rFonts w:ascii="Arial" w:cs="Arial" w:eastAsia="Arial" w:hAnsi="Arial"/>
        </w:rPr>
        <w:t xml:space="preserve">12.4 DMARC: tying it all together and setting a policy</w:t>
      </w:r>
      <w:bookmarkEnd w:id="71"/>
    </w:p>
    <w:p>
      <w:r>
        <w:rPr>
          <w:rFonts w:ascii="Arial" w:cs="Arial" w:eastAsia="Arial" w:hAnsi="Arial"/>
          <w:sz w:val="20"/>
          <w:szCs w:val="20"/>
        </w:rPr>
        <w:t xml:space="preserve">A basic starting DMARC record at </w:t>
      </w:r>
      <w:r>
        <w:rPr>
          <w:rFonts w:ascii="Courier New" w:cs="Courier New" w:eastAsia="Courier New" w:hAnsi="Courier New"/>
          <w:color w:val="8A2B2B"/>
          <w:sz w:val="19"/>
          <w:szCs w:val="19"/>
        </w:rPr>
        <w:t xml:space="preserve">_dmarc.brand.com</w:t>
      </w:r>
      <w:r>
        <w:rPr>
          <w:rFonts w:ascii="Arial" w:cs="Arial" w:eastAsia="Arial" w:hAnsi="Arial"/>
          <w:sz w:val="20"/>
          <w:szCs w:val="20"/>
        </w:rPr>
        <w:t xml:space="preserve">:</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120" w:line="240"/>
        <w:ind w:left="100" w:right="100"/>
      </w:pPr>
      <w:r>
        <w:rPr>
          <w:rFonts w:ascii="Courier New" w:cs="Courier New" w:eastAsia="Courier New" w:hAnsi="Courier New"/>
          <w:color w:val="1E2733"/>
          <w:sz w:val="17"/>
          <w:szCs w:val="17"/>
        </w:rPr>
        <w:t xml:space="preserve">v=DMARC1; p=none; rua=mailto:dmarc-reports@brand.com; adkim=r; aspf=r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7"/>
        <w:gridCol w:w="5391"/>
        <w:gridCol w:w="3282"/>
      </w:tblGrid>
      <w:tr>
        <w:trPr>
          <w:cantSplit/>
          <w:tblHeader/>
        </w:trPr>
        <w:tc>
          <w:tcPr>
            <w:tcW w:type="dxa" w:w="140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Setting</w:t>
            </w:r>
          </w:p>
        </w:tc>
        <w:tc>
          <w:tcPr>
            <w:tcW w:type="dxa" w:w="53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32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Starting recommendation</w:t>
            </w:r>
          </w:p>
        </w:tc>
      </w:tr>
      <w:tr>
        <w:trPr>
          <w:cantSplit/>
        </w:trPr>
        <w:tc>
          <w:tcPr>
            <w:tcW w:type="dxa" w:w="14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v=DMARC1</w:t>
            </w:r>
          </w:p>
        </w:tc>
        <w:tc>
          <w:tcPr>
            <w:tcW w:type="dxa" w:w="53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Marks this as a DMARC record</w:t>
            </w:r>
          </w:p>
        </w:tc>
        <w:tc>
          <w:tcPr>
            <w:tcW w:type="dxa" w:w="3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Always first</w:t>
            </w:r>
          </w:p>
        </w:tc>
      </w:tr>
      <w:tr>
        <w:trPr>
          <w:cantSplit/>
        </w:trPr>
        <w:tc>
          <w:tcPr>
            <w:tcW w:type="dxa" w:w="14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p>
        </w:tc>
        <w:tc>
          <w:tcPr>
            <w:tcW w:type="dxa" w:w="53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Monitor only; take no action on failing emails</w:t>
            </w:r>
          </w:p>
        </w:tc>
        <w:tc>
          <w:tcPr>
            <w:tcW w:type="dxa" w:w="3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here</w:t>
            </w:r>
          </w:p>
        </w:tc>
      </w:tr>
      <w:tr>
        <w:trPr>
          <w:cantSplit/>
        </w:trPr>
        <w:tc>
          <w:tcPr>
            <w:tcW w:type="dxa" w:w="14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p=quarantine</w:t>
            </w:r>
          </w:p>
        </w:tc>
        <w:tc>
          <w:tcPr>
            <w:tcW w:type="dxa" w:w="53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 failing emails to spam</w:t>
            </w:r>
          </w:p>
        </w:tc>
        <w:tc>
          <w:tcPr>
            <w:tcW w:type="dxa" w:w="3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Step 3</w:t>
            </w:r>
          </w:p>
        </w:tc>
      </w:tr>
      <w:tr>
        <w:trPr>
          <w:cantSplit/>
        </w:trPr>
        <w:tc>
          <w:tcPr>
            <w:tcW w:type="dxa" w:w="14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p=reject</w:t>
            </w:r>
          </w:p>
        </w:tc>
        <w:tc>
          <w:tcPr>
            <w:tcW w:type="dxa" w:w="53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Block failing emails entirely</w:t>
            </w:r>
          </w:p>
        </w:tc>
        <w:tc>
          <w:tcPr>
            <w:tcW w:type="dxa" w:w="3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Step 4</w:t>
            </w:r>
          </w:p>
        </w:tc>
      </w:tr>
      <w:tr>
        <w:trPr>
          <w:cantSplit/>
        </w:trPr>
        <w:tc>
          <w:tcPr>
            <w:tcW w:type="dxa" w:w="14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rua=</w:t>
            </w:r>
          </w:p>
        </w:tc>
        <w:tc>
          <w:tcPr>
            <w:tcW w:type="dxa" w:w="53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Where to send reports</w:t>
            </w:r>
          </w:p>
        </w:tc>
        <w:tc>
          <w:tcPr>
            <w:tcW w:type="dxa" w:w="3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Always set this</w:t>
            </w:r>
          </w:p>
        </w:tc>
      </w:tr>
      <w:tr>
        <w:trPr>
          <w:cantSplit/>
        </w:trPr>
        <w:tc>
          <w:tcPr>
            <w:tcW w:type="dxa" w:w="14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adkim=r</w:t>
            </w:r>
          </w:p>
        </w:tc>
        <w:tc>
          <w:tcPr>
            <w:tcW w:type="dxa" w:w="53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Relaxed DKIM matching (subdomains count)</w:t>
            </w:r>
          </w:p>
        </w:tc>
        <w:tc>
          <w:tcPr>
            <w:tcW w:type="dxa" w:w="3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 relaxed</w:t>
            </w:r>
          </w:p>
        </w:tc>
      </w:tr>
      <w:tr>
        <w:trPr>
          <w:cantSplit/>
        </w:trPr>
        <w:tc>
          <w:tcPr>
            <w:tcW w:type="dxa" w:w="14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aspf=r</w:t>
            </w:r>
          </w:p>
        </w:tc>
        <w:tc>
          <w:tcPr>
            <w:tcW w:type="dxa" w:w="53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Relaxed SPF matching (subdomains count)</w:t>
            </w:r>
          </w:p>
        </w:tc>
        <w:tc>
          <w:tcPr>
            <w:tcW w:type="dxa" w:w="3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 relaxed</w:t>
            </w:r>
          </w:p>
        </w:tc>
      </w:tr>
      <w:tr>
        <w:trPr>
          <w:cantSplit/>
        </w:trPr>
        <w:tc>
          <w:tcPr>
            <w:tcW w:type="dxa" w:w="14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t=y</w:t>
            </w:r>
          </w:p>
        </w:tc>
        <w:tc>
          <w:tcPr>
            <w:tcW w:type="dxa" w:w="53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Testing flag (new in the 2026 standard)</w:t>
            </w:r>
          </w:p>
        </w:tc>
        <w:tc>
          <w:tcPr>
            <w:tcW w:type="dxa" w:w="3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 while testing quarantine</w:t>
            </w:r>
          </w:p>
        </w:tc>
      </w:tr>
    </w:tbl>
    <w:p>
      <w:pPr>
        <w:spacing w:after="120" w:before="0"/>
      </w:pPr>
    </w:p>
    <w:p>
      <w:r>
        <w:rPr>
          <w:rFonts w:ascii="Arial" w:cs="Arial" w:eastAsia="Arial" w:hAnsi="Arial"/>
          <w:b/>
          <w:bCs/>
          <w:sz w:val="20"/>
          <w:szCs w:val="20"/>
        </w:rPr>
        <w:t xml:space="preserve">The 2026 DMARC standard removed `pct` (percentage).</w:t>
      </w:r>
      <w:r>
        <w:rPr>
          <w:rFonts w:ascii="Arial" w:cs="Arial" w:eastAsia="Arial" w:hAnsi="Arial"/>
          <w:sz w:val="20"/>
          <w:szCs w:val="20"/>
        </w:rPr>
        <w:t xml:space="preserve"> Do not raise a missing </w:t>
      </w:r>
      <w:r>
        <w:rPr>
          <w:rFonts w:ascii="Courier New" w:cs="Courier New" w:eastAsia="Courier New" w:hAnsi="Courier New"/>
          <w:color w:val="8A2B2B"/>
          <w:sz w:val="19"/>
          <w:szCs w:val="19"/>
        </w:rPr>
        <w:t xml:space="preserve">pct=100</w:t>
      </w:r>
      <w:r>
        <w:rPr>
          <w:rFonts w:ascii="Arial" w:cs="Arial" w:eastAsia="Arial" w:hAnsi="Arial"/>
          <w:sz w:val="20"/>
          <w:szCs w:val="20"/>
        </w:rPr>
        <w:t xml:space="preserve"> as a finding, because it is not one. Bringing it up with a technical buyer tells them we are out of date.</w:t>
      </w:r>
    </w:p>
    <w:p>
      <w:pPr>
        <w:pStyle w:val="Heading3"/>
        <w:keepNext/>
      </w:pPr>
      <w:r>
        <w:rPr>
          <w:rFonts w:ascii="Arial" w:cs="Arial" w:eastAsia="Arial" w:hAnsi="Arial"/>
        </w:rPr>
        <w:t xml:space="preserve">The four-step path to full protection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2"/>
        <w:gridCol w:w="3607"/>
        <w:gridCol w:w="900"/>
        <w:gridCol w:w="4371"/>
      </w:tblGrid>
      <w:tr>
        <w:trPr>
          <w:cantSplit/>
          <w:tblHeader/>
        </w:trPr>
        <w:tc>
          <w:tcPr>
            <w:tcW w:type="dxa" w:w="12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360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DMARC record</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long</w:t>
            </w:r>
          </w:p>
        </w:tc>
        <w:tc>
          <w:tcPr>
            <w:tcW w:type="dxa" w:w="437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When to move on</w:t>
            </w:r>
          </w:p>
        </w:tc>
      </w:tr>
      <w:tr>
        <w:trPr>
          <w:cantSplit/>
        </w:trPr>
        <w:tc>
          <w:tcPr>
            <w:tcW w:type="dxa" w:w="12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0. Publish</w:t>
            </w:r>
          </w:p>
        </w:tc>
        <w:tc>
          <w:tcPr>
            <w:tcW w:type="dxa" w:w="36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r>
              <w:rPr>
                <w:rFonts w:ascii="Arial" w:cs="Arial" w:eastAsia="Arial" w:hAnsi="Arial"/>
                <w:sz w:val="16"/>
                <w:szCs w:val="16"/>
              </w:rPr>
              <w:t xml:space="preserve"> + reports address</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Day 0</w:t>
            </w:r>
          </w:p>
        </w:tc>
        <w:tc>
          <w:tcPr>
            <w:tcW w:type="dxa" w:w="43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Reports are arriving</w:t>
            </w:r>
          </w:p>
        </w:tc>
      </w:tr>
      <w:tr>
        <w:trPr>
          <w:cantSplit/>
        </w:trPr>
        <w:tc>
          <w:tcPr>
            <w:tcW w:type="dxa" w:w="12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 Discover</w:t>
            </w:r>
          </w:p>
        </w:tc>
        <w:tc>
          <w:tcPr>
            <w:tcW w:type="dxa" w:w="36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 weeks</w:t>
            </w:r>
          </w:p>
        </w:tc>
        <w:tc>
          <w:tcPr>
            <w:tcW w:type="dxa" w:w="43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tool sending email is identified</w:t>
            </w:r>
          </w:p>
        </w:tc>
      </w:tr>
      <w:tr>
        <w:trPr>
          <w:cantSplit/>
        </w:trPr>
        <w:tc>
          <w:tcPr>
            <w:tcW w:type="dxa" w:w="12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 Align</w:t>
            </w:r>
          </w:p>
        </w:tc>
        <w:tc>
          <w:tcPr>
            <w:tcW w:type="dxa" w:w="36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2–6 weeks</w:t>
            </w:r>
          </w:p>
        </w:tc>
        <w:tc>
          <w:tcPr>
            <w:tcW w:type="dxa" w:w="43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legitimate tool passes aligned SPF or DKIM; 98%+ passing for 2 weeks in a row</w:t>
            </w:r>
          </w:p>
        </w:tc>
      </w:tr>
      <w:tr>
        <w:trPr>
          <w:cantSplit/>
        </w:trPr>
        <w:tc>
          <w:tcPr>
            <w:tcW w:type="dxa" w:w="12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 Quarantine</w:t>
            </w:r>
          </w:p>
        </w:tc>
        <w:tc>
          <w:tcPr>
            <w:tcW w:type="dxa" w:w="36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p=quarantine</w:t>
            </w:r>
            <w:r>
              <w:rPr>
                <w:rFonts w:ascii="Arial" w:cs="Arial" w:eastAsia="Arial" w:hAnsi="Arial"/>
                <w:sz w:val="16"/>
                <w:szCs w:val="16"/>
              </w:rPr>
              <w:t xml:space="preserve"> (optionally add </w:t>
            </w:r>
            <w:r>
              <w:rPr>
                <w:rFonts w:ascii="Courier New" w:cs="Courier New" w:eastAsia="Courier New" w:hAnsi="Courier New"/>
                <w:color w:val="8A2B2B"/>
                <w:sz w:val="15"/>
                <w:szCs w:val="15"/>
              </w:rPr>
              <w:t xml:space="preserve">t=y</w:t>
            </w:r>
            <w:r>
              <w:rPr>
                <w:rFonts w:ascii="Arial" w:cs="Arial" w:eastAsia="Arial" w:hAnsi="Arial"/>
                <w:sz w:val="16"/>
                <w:szCs w:val="16"/>
              </w:rPr>
              <w:t xml:space="preserve"> first)</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 weeks</w:t>
            </w:r>
          </w:p>
        </w:tc>
        <w:tc>
          <w:tcPr>
            <w:tcW w:type="dxa" w:w="43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legitimate failures; no reports of missing mail</w:t>
            </w:r>
          </w:p>
        </w:tc>
      </w:tr>
      <w:tr>
        <w:trPr>
          <w:cantSplit/>
        </w:trPr>
        <w:tc>
          <w:tcPr>
            <w:tcW w:type="dxa" w:w="12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 Block</w:t>
            </w:r>
          </w:p>
        </w:tc>
        <w:tc>
          <w:tcPr>
            <w:tcW w:type="dxa" w:w="36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p=reject</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Ongoing</w:t>
            </w:r>
          </w:p>
        </w:tc>
        <w:tc>
          <w:tcPr>
            <w:tcW w:type="dxa" w:w="43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Weekly review of reports; every new tool added goes through a change request</w:t>
            </w:r>
          </w:p>
        </w:tc>
      </w:tr>
    </w:tbl>
    <w:p>
      <w:pPr>
        <w:spacing w:after="120" w:before="0"/>
      </w:pPr>
    </w:p>
    <w:p>
      <w:pPr>
        <w:pStyle w:val="Heading3"/>
        <w:keepNext/>
      </w:pPr>
      <w:r>
        <w:rPr>
          <w:rFonts w:ascii="Arial" w:cs="Arial" w:eastAsia="Arial" w:hAnsi="Arial"/>
        </w:rPr>
        <w:t xml:space="preserve">Who sends email as @brand.com on a Shopify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6"/>
        <w:gridCol w:w="7444"/>
      </w:tblGrid>
      <w:tr>
        <w:trPr>
          <w:cantSplit/>
          <w:tblHeader/>
        </w:trPr>
        <w:tc>
          <w:tcPr>
            <w:tcW w:type="dxa" w:w="26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Type of tool</w:t>
            </w:r>
          </w:p>
        </w:tc>
        <w:tc>
          <w:tcPr>
            <w:tcW w:type="dxa" w:w="74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Examples</w:t>
            </w:r>
          </w:p>
        </w:tc>
      </w:tr>
      <w:tr>
        <w:trPr>
          <w:cantSplit/>
        </w:trPr>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Company email</w:t>
            </w:r>
          </w:p>
        </w:tc>
        <w:tc>
          <w:tcPr>
            <w:tcW w:type="dxa" w:w="74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Google Workspace or Microsoft 365</w:t>
            </w:r>
          </w:p>
        </w:tc>
      </w:tr>
      <w:tr>
        <w:trPr>
          <w:cantSplit/>
        </w:trPr>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Marketing</w:t>
            </w:r>
          </w:p>
        </w:tc>
        <w:tc>
          <w:tcPr>
            <w:tcW w:type="dxa" w:w="74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Shopify Email</w:t>
            </w:r>
          </w:p>
        </w:tc>
      </w:tr>
      <w:tr>
        <w:trPr>
          <w:cantSplit/>
        </w:trPr>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Store</w:t>
            </w:r>
          </w:p>
        </w:tc>
        <w:tc>
          <w:tcPr>
            <w:tcW w:type="dxa" w:w="74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notifications</w:t>
            </w:r>
          </w:p>
        </w:tc>
      </w:tr>
      <w:tr>
        <w:trPr>
          <w:cantSplit/>
        </w:trPr>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Customer service</w:t>
            </w:r>
          </w:p>
        </w:tc>
        <w:tc>
          <w:tcPr>
            <w:tcW w:type="dxa" w:w="74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help desk tool</w:t>
            </w:r>
          </w:p>
        </w:tc>
      </w:tr>
      <w:tr>
        <w:trPr>
          <w:cantSplit/>
        </w:trPr>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Subscriptions</w:t>
            </w:r>
          </w:p>
        </w:tc>
        <w:tc>
          <w:tcPr>
            <w:tcW w:type="dxa" w:w="74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ReCharge</w:t>
            </w:r>
          </w:p>
        </w:tc>
      </w:tr>
      <w:tr>
        <w:trPr>
          <w:cantSplit/>
        </w:trPr>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Customer programs</w:t>
            </w:r>
          </w:p>
        </w:tc>
        <w:tc>
          <w:tcPr>
            <w:tcW w:type="dxa" w:w="74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reviews app, the loyalty app</w:t>
            </w:r>
          </w:p>
        </w:tc>
      </w:tr>
      <w:tr>
        <w:trPr>
          <w:cantSplit/>
        </w:trPr>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Back office</w:t>
            </w:r>
          </w:p>
        </w:tc>
        <w:tc>
          <w:tcPr>
            <w:tcW w:type="dxa" w:w="74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Invoicing tools, HR tools, warehouse notifications</w:t>
            </w:r>
          </w:p>
        </w:tc>
      </w:tr>
    </w:tbl>
    <w:p>
      <w:pPr>
        <w:spacing w:after="120" w:before="0"/>
      </w:pPr>
    </w:p>
    <w:p>
      <w:r>
        <w:rPr>
          <w:rFonts w:ascii="Arial" w:cs="Arial" w:eastAsia="Arial" w:hAnsi="Arial"/>
          <w:sz w:val="20"/>
          <w:szCs w:val="20"/>
        </w:rPr>
        <w:t xml:space="preserve">The tools that break full blocking are always the ones nobody remembers exist.</w:t>
      </w:r>
    </w:p>
    <w:p>
      <w:pPr>
        <w:pStyle w:val="Heading3"/>
        <w:keepNext/>
      </w:pPr>
      <w:r>
        <w:rPr>
          <w:rFonts w:ascii="Arial" w:cs="Arial" w:eastAsia="Arial" w:hAnsi="Arial"/>
        </w:rPr>
        <w:t xml:space="preserve">Why Shopify brands specifically are at risk</w:t>
      </w:r>
    </w:p>
    <w:p>
      <w:r>
        <w:rPr>
          <w:rFonts w:ascii="Arial" w:cs="Arial" w:eastAsia="Arial" w:hAnsi="Arial"/>
          <w:sz w:val="20"/>
          <w:szCs w:val="20"/>
        </w:rPr>
        <w:t xml:space="preserve">Shopify rewrites the sender address to shopifyemail.com when a brand has either </w:t>
      </w:r>
      <w:r>
        <w:rPr>
          <w:rFonts w:ascii="Arial" w:cs="Arial" w:eastAsia="Arial" w:hAnsi="Arial"/>
          <w:i/>
          <w:iCs/>
          <w:sz w:val="20"/>
          <w:szCs w:val="20"/>
        </w:rPr>
        <w:t xml:space="preserve">no</w:t>
      </w:r>
      <w:r>
        <w:rPr>
          <w:rFonts w:ascii="Arial" w:cs="Arial" w:eastAsia="Arial" w:hAnsi="Arial"/>
          <w:sz w:val="20"/>
          <w:szCs w:val="20"/>
        </w:rPr>
        <w:t xml:space="preserve"> DMARC record </w:t>
      </w:r>
      <w:r>
        <w:rPr>
          <w:rFonts w:ascii="Arial" w:cs="Arial" w:eastAsia="Arial" w:hAnsi="Arial"/>
          <w:i/>
          <w:iCs/>
          <w:sz w:val="20"/>
          <w:szCs w:val="20"/>
        </w:rPr>
        <w:t xml:space="preserve">or two of them</w:t>
      </w:r>
      <w:r>
        <w:rPr>
          <w:rFonts w:ascii="Arial" w:cs="Arial" w:eastAsia="Arial" w:hAnsi="Arial"/>
          <w:sz w:val="20"/>
          <w:szCs w:val="20"/>
        </w:rPr>
        <w:t xml:space="preserve">. This is visible from outside and is a clean, easy-to-demonstrate finding for our free audit.</w:t>
      </w:r>
    </w:p>
    <w:p>
      <w:pPr>
        <w:pStyle w:val="Heading2"/>
        <w:keepNext/>
      </w:pPr>
      <w:bookmarkStart w:name="sec_12_5" w:id="72"/>
      <w:r>
        <w:rPr>
          <w:rFonts w:ascii="Arial" w:cs="Arial" w:eastAsia="Arial" w:hAnsi="Arial"/>
        </w:rPr>
        <w:t xml:space="preserve">12.5 What email providers now require</w:t>
      </w:r>
      <w:bookmarkEnd w:id="72"/>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0"/>
        <w:gridCol w:w="2880"/>
        <w:gridCol w:w="2040"/>
        <w:gridCol w:w="2880"/>
      </w:tblGrid>
      <w:tr>
        <w:trPr>
          <w:cantSplit/>
          <w:tblHeader/>
        </w:trPr>
        <w:tc>
          <w:tcPr>
            <w:tcW w:type="dxa" w:w="22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c>
          <w:tcPr>
            <w:tcW w:type="dxa" w:w="28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Gmail</w:t>
            </w:r>
          </w:p>
        </w:tc>
        <w:tc>
          <w:tcPr>
            <w:tcW w:type="dxa" w:w="2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Yahoo / AOL</w:t>
            </w:r>
          </w:p>
        </w:tc>
        <w:tc>
          <w:tcPr>
            <w:tcW w:type="dxa" w:w="28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Microsoft</w:t>
            </w:r>
          </w:p>
        </w:tc>
      </w:tr>
      <w:tr>
        <w:trPr>
          <w:cantSplit/>
        </w:trPr>
        <w:tc>
          <w:tcPr>
            <w:tcW w:type="dxa" w:w="2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Minimum volume for bulk rules to apply</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5,000+ emails/day to Gmail addresses; permanent once reached</w:t>
            </w:r>
          </w:p>
        </w:tc>
        <w:tc>
          <w:tcPr>
            <w:tcW w:type="dxa" w:w="2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Bulk senders (no published number)</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5,000+/day</w:t>
            </w:r>
          </w:p>
        </w:tc>
      </w:tr>
      <w:tr>
        <w:trPr>
          <w:cantSplit/>
        </w:trPr>
        <w:tc>
          <w:tcPr>
            <w:tcW w:type="dxa" w:w="2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 DKIM</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c>
          <w:tcPr>
            <w:tcW w:type="dxa" w:w="2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r>
      <w:tr>
        <w:trPr>
          <w:cantSplit/>
        </w:trPr>
        <w:tc>
          <w:tcPr>
            <w:tcW w:type="dxa" w:w="2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monitoring-only (</w:t>
            </w:r>
            <w:r>
              <w:rPr>
                <w:rFonts w:ascii="Courier New" w:cs="Courier New" w:eastAsia="Courier New" w:hAnsi="Courier New"/>
                <w:color w:val="8A2B2B"/>
                <w:sz w:val="15"/>
                <w:szCs w:val="15"/>
              </w:rPr>
              <w:t xml:space="preserve">p=none</w:t>
            </w:r>
            <w:r>
              <w:rPr>
                <w:rFonts w:ascii="Arial" w:cs="Arial" w:eastAsia="Arial" w:hAnsi="Arial"/>
                <w:sz w:val="16"/>
                <w:szCs w:val="16"/>
              </w:rPr>
              <w:t xml:space="preserve">) is enough</w:t>
            </w:r>
          </w:p>
        </w:tc>
        <w:tc>
          <w:tcPr>
            <w:tcW w:type="dxa" w:w="2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At least monitoring-only</w:t>
            </w:r>
          </w:p>
        </w:tc>
      </w:tr>
      <w:tr>
        <w:trPr>
          <w:cantSplit/>
        </w:trPr>
        <w:tc>
          <w:tcPr>
            <w:tcW w:type="dxa" w:w="2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One-click unsubscribe button</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for marketing emails</w:t>
            </w:r>
          </w:p>
        </w:tc>
        <w:tc>
          <w:tcPr>
            <w:tcW w:type="dxa" w:w="2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honor within 2 days</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Expected</w:t>
            </w:r>
          </w:p>
        </w:tc>
      </w:tr>
      <w:tr>
        <w:trPr>
          <w:cantSplit/>
        </w:trPr>
        <w:tc>
          <w:tcPr>
            <w:tcW w:type="dxa" w:w="2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Spam rate</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0.1%; never above 0.3%</w:t>
            </w:r>
          </w:p>
        </w:tc>
        <w:tc>
          <w:tcPr>
            <w:tcW w:type="dxa" w:w="2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0.3%</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 complaints expected</w:t>
            </w:r>
          </w:p>
        </w:tc>
      </w:tr>
      <w:tr>
        <w:trPr>
          <w:cantSplit/>
        </w:trPr>
        <w:tc>
          <w:tcPr>
            <w:tcW w:type="dxa" w:w="2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Enforcement</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Rejects some failing emails (since November 2025). Above 0.3% spam rate, Gmail stops helping until the rate is below 0.3% for 7 straight days.</w:t>
            </w:r>
          </w:p>
        </w:tc>
        <w:tc>
          <w:tcPr>
            <w:tcW w:type="dxa" w:w="2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Rejects or filters</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Rejects with specific error code (since May 2025)</w:t>
            </w:r>
          </w:p>
        </w:tc>
      </w:tr>
    </w:tbl>
    <w:p>
      <w:pPr>
        <w:spacing w:after="120" w:before="0"/>
      </w:pPr>
    </w:p>
    <w:p>
      <w:r>
        <w:rPr>
          <w:rFonts w:ascii="Arial" w:cs="Arial" w:eastAsia="Arial" w:hAnsi="Arial"/>
          <w:b/>
          <w:bCs/>
          <w:sz w:val="20"/>
          <w:szCs w:val="20"/>
        </w:rPr>
        <w:t xml:space="preserve">Every brand we target qualifies as a bulk sender.</w:t>
      </w:r>
      <w:r>
        <w:rPr>
          <w:rFonts w:ascii="Arial" w:cs="Arial" w:eastAsia="Arial" w:hAnsi="Arial"/>
          <w:sz w:val="20"/>
          <w:szCs w:val="20"/>
        </w:rPr>
        <w:t xml:space="preserve"> Gmail holds 54.4% of US inboxes, so one campaign to about 9,200 US subscribers probably crosses Gmail's bulk threshold.</w:t>
      </w:r>
    </w:p>
    <w:p>
      <w:r>
        <w:rPr>
          <w:rFonts w:ascii="Arial" w:cs="Arial" w:eastAsia="Arial" w:hAnsi="Arial"/>
          <w:b/>
          <w:bCs/>
          <w:sz w:val="20"/>
          <w:szCs w:val="20"/>
        </w:rPr>
        <w:t xml:space="preserve">Rejected email shows up as bounces in Klaviyo, not in a test inbox screenshot.</w:t>
      </w:r>
      <w:r>
        <w:rPr>
          <w:rFonts w:ascii="Arial" w:cs="Arial" w:eastAsia="Arial" w:hAnsi="Arial"/>
          <w:sz w:val="20"/>
          <w:szCs w:val="20"/>
        </w:rPr>
        <w:t xml:space="preserve"> Always read the bounce reason codes.</w:t>
      </w:r>
    </w:p>
    <w:p>
      <w:pPr>
        <w:pStyle w:val="Heading2"/>
        <w:keepNext/>
      </w:pPr>
      <w:bookmarkStart w:name="sec_12_6" w:id="73"/>
      <w:r>
        <w:rPr>
          <w:rFonts w:ascii="Arial" w:cs="Arial" w:eastAsia="Arial" w:hAnsi="Arial"/>
        </w:rPr>
        <w:t xml:space="preserve">12.6 Klaviyo's sending setup</w:t>
      </w:r>
      <w:bookmarkEnd w:id="73"/>
    </w:p>
    <w:p>
      <w:r>
        <w:rPr>
          <w:rFonts w:ascii="Arial" w:cs="Arial" w:eastAsia="Arial" w:hAnsi="Arial"/>
          <w:sz w:val="20"/>
          <w:szCs w:val="20"/>
        </w:rPr>
        <w:t xml:space="preserve">New Klaviyo accounts start on a shared sending domain with shared reputation. Gmail shows these emails as "via klaviyomail.com", meaning the email looks like it came from a Klaviyo computer, not the brand's own domain. Klaviyo requires bulk senders to set up a branded sending domain.</w:t>
      </w:r>
    </w:p>
    <w:p>
      <w:r>
        <w:rPr>
          <w:rFonts w:ascii="Arial" w:cs="Arial" w:eastAsia="Arial" w:hAnsi="Arial"/>
          <w:sz w:val="20"/>
          <w:szCs w:val="20"/>
        </w:rPr>
        <w:t xml:space="preserve">Klaviyo's own warning thresholds are stricter than Gmail's: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4"/>
        <w:gridCol w:w="3688"/>
        <w:gridCol w:w="3278"/>
      </w:tblGrid>
      <w:tr>
        <w:trPr>
          <w:cantSplit/>
          <w:tblHeader/>
        </w:trPr>
        <w:tc>
          <w:tcPr>
            <w:tcW w:type="dxa" w:w="311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36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warning threshold</w:t>
            </w:r>
          </w:p>
        </w:tc>
        <w:tc>
          <w:tcPr>
            <w:tcW w:type="dxa" w:w="327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Gmail limit</w:t>
            </w:r>
          </w:p>
        </w:tc>
      </w:tr>
      <w:tr>
        <w:trPr>
          <w:cantSplit/>
        </w:trPr>
        <w:tc>
          <w:tcPr>
            <w:tcW w:type="dxa" w:w="31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Spam complaint rate</w:t>
            </w:r>
          </w:p>
        </w:tc>
        <w:tc>
          <w:tcPr>
            <w:tcW w:type="dxa" w:w="3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0.05%</w:t>
            </w:r>
          </w:p>
        </w:tc>
        <w:tc>
          <w:tcPr>
            <w:tcW w:type="dxa" w:w="32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0.1%</w:t>
            </w:r>
          </w:p>
        </w:tc>
      </w:tr>
      <w:tr>
        <w:trPr>
          <w:cantSplit/>
        </w:trPr>
        <w:tc>
          <w:tcPr>
            <w:tcW w:type="dxa" w:w="31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rate</w:t>
            </w:r>
          </w:p>
        </w:tc>
        <w:tc>
          <w:tcPr>
            <w:tcW w:type="dxa" w:w="3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2%</w:t>
            </w:r>
          </w:p>
        </w:tc>
        <w:tc>
          <w:tcPr>
            <w:tcW w:type="dxa" w:w="32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equivalent listed</w:t>
            </w:r>
          </w:p>
        </w:tc>
      </w:tr>
    </w:tbl>
    <w:p>
      <w:pPr>
        <w:spacing w:after="120" w:before="0"/>
      </w:pPr>
    </w:p>
    <w:p>
      <w:r>
        <w:rPr>
          <w:rFonts w:ascii="Arial" w:cs="Arial" w:eastAsia="Arial" w:hAnsi="Arial"/>
          <w:b/>
          <w:bCs/>
          <w:sz w:val="20"/>
          <w:szCs w:val="20"/>
        </w:rPr>
        <w:t xml:space="preserve">Blocks on Klaviyo's shared sending pool are Klaviyo's problem to fix.</w:t>
      </w:r>
      <w:r>
        <w:rPr>
          <w:rFonts w:ascii="Arial" w:cs="Arial" w:eastAsia="Arial" w:hAnsi="Arial"/>
          <w:sz w:val="20"/>
          <w:szCs w:val="20"/>
        </w:rPr>
        <w:t xml:space="preserve"> Every Ascent contract must say this clearly so there are no misunderstandings.</w:t>
      </w:r>
    </w:p>
    <w:p>
      <w:pPr>
        <w:pStyle w:val="Heading2"/>
        <w:keepNext/>
      </w:pPr>
      <w:bookmarkStart w:name="sec_12_7" w:id="74"/>
      <w:r>
        <w:rPr>
          <w:rFonts w:ascii="Arial" w:cs="Arial" w:eastAsia="Arial" w:hAnsi="Arial"/>
        </w:rPr>
        <w:t xml:space="preserve">12.7 What is NOT a real finding</w:t>
      </w:r>
      <w:bookmarkEnd w:id="74"/>
    </w:p>
    <w:p>
      <w:r>
        <w:rPr>
          <w:rFonts w:ascii="Arial" w:cs="Arial" w:eastAsia="Arial" w:hAnsi="Arial"/>
          <w:sz w:val="20"/>
          <w:szCs w:val="20"/>
        </w:rPr>
        <w:t xml:space="preserve">Do not use these as a reason to pitch Ascent. They are not real problems.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77"/>
        <w:gridCol w:w="5203"/>
      </w:tblGrid>
      <w:tr>
        <w:trPr>
          <w:cantSplit/>
          <w:tblHeader/>
        </w:trPr>
        <w:tc>
          <w:tcPr>
            <w:tcW w:type="dxa" w:w="48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False finding</w:t>
            </w:r>
          </w:p>
        </w:tc>
        <w:tc>
          <w:tcPr>
            <w:tcW w:type="dxa" w:w="520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it is not a problem</w:t>
            </w:r>
          </w:p>
        </w:tc>
      </w:tr>
      <w:tr>
        <w:trPr>
          <w:cantSplit/>
        </w:trPr>
        <w:tc>
          <w:tcPr>
            <w:tcW w:type="dxa" w:w="4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is only p=none"</w:t>
            </w:r>
          </w:p>
        </w:tc>
        <w:tc>
          <w:tcPr>
            <w:tcW w:type="dxa" w:w="5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Monitoring-only DMARC satisfies all three major providers</w:t>
            </w:r>
          </w:p>
        </w:tc>
      </w:tr>
      <w:tr>
        <w:trPr>
          <w:cantSplit/>
        </w:trPr>
        <w:tc>
          <w:tcPr>
            <w:tcW w:type="dxa" w:w="4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"You're missing pct=100"</w:t>
            </w:r>
          </w:p>
        </w:tc>
        <w:tc>
          <w:tcPr>
            <w:tcW w:type="dxa" w:w="5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That tag was removed from the DMARC standard in 2026</w:t>
            </w:r>
          </w:p>
        </w:tc>
      </w:tr>
      <w:tr>
        <w:trPr>
          <w:cantSplit/>
        </w:trPr>
        <w:tc>
          <w:tcPr>
            <w:tcW w:type="dxa" w:w="4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BIMI is hurting delivery"</w:t>
            </w:r>
          </w:p>
        </w:tc>
        <w:tc>
          <w:tcPr>
            <w:tcW w:type="dxa" w:w="5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BIMI adds a logo in Gmail; it has zero effect on whether emails reach the inbox</w:t>
            </w:r>
          </w:p>
        </w:tc>
      </w:tr>
      <w:tr>
        <w:trPr>
          <w:cantSplit/>
        </w:trPr>
        <w:tc>
          <w:tcPr>
            <w:tcW w:type="dxa" w:w="4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"Promotions tab = deliverability problem"</w:t>
            </w:r>
          </w:p>
        </w:tc>
        <w:tc>
          <w:tcPr>
            <w:tcW w:type="dxa" w:w="5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treats the Promotions tab as part of the inbox</w:t>
            </w:r>
          </w:p>
        </w:tc>
      </w:tr>
      <w:tr>
        <w:trPr>
          <w:cantSplit/>
        </w:trPr>
        <w:tc>
          <w:tcPr>
            <w:tcW w:type="dxa" w:w="4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seed test shows spam, so you're blocked"</w:t>
            </w:r>
          </w:p>
        </w:tc>
        <w:tc>
          <w:tcPr>
            <w:tcW w:type="dxa" w:w="5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Seed test accounts have no email history, so providers treat them differently</w:t>
            </w:r>
          </w:p>
        </w:tc>
      </w:tr>
    </w:tbl>
    <w:p>
      <w:pPr>
        <w:spacing w:after="120" w:before="0"/>
      </w:pPr>
    </w:p>
    <w:p>
      <w:r>
        <w:rPr>
          <w:rFonts w:ascii="Arial" w:cs="Arial" w:eastAsia="Arial" w:hAnsi="Arial"/>
          <w:b/>
          <w:bCs/>
          <w:sz w:val="20"/>
          <w:szCs w:val="20"/>
        </w:rPr>
        <w:t xml:space="preserve">Lead with real findings instead:</w:t>
      </w:r>
    </w:p>
    <w:p>
      <w:pPr>
        <w:pStyle w:val="ListParagraph"/>
        <w:numPr>
          <w:ilvl w:val="0"/>
          <w:numId w:val="5"/>
        </w:numPr>
        <w:spacing w:after="60"/>
      </w:pPr>
      <w:r>
        <w:rPr>
          <w:rFonts w:ascii="Arial" w:cs="Arial" w:eastAsia="Arial" w:hAnsi="Arial"/>
          <w:sz w:val="20"/>
          <w:szCs w:val="20"/>
        </w:rPr>
        <w:t xml:space="preserve">No DMARC record at all</w:t>
      </w:r>
    </w:p>
    <w:p>
      <w:pPr>
        <w:pStyle w:val="ListParagraph"/>
        <w:numPr>
          <w:ilvl w:val="0"/>
          <w:numId w:val="5"/>
        </w:numPr>
        <w:spacing w:after="60"/>
      </w:pPr>
      <w:r>
        <w:rPr>
          <w:rFonts w:ascii="Arial" w:cs="Arial" w:eastAsia="Arial" w:hAnsi="Arial"/>
          <w:sz w:val="20"/>
          <w:szCs w:val="20"/>
        </w:rPr>
        <w:t xml:space="preserve">Two DMARC records</w:t>
      </w:r>
    </w:p>
    <w:p>
      <w:pPr>
        <w:pStyle w:val="ListParagraph"/>
        <w:numPr>
          <w:ilvl w:val="0"/>
          <w:numId w:val="5"/>
        </w:numPr>
        <w:spacing w:after="60"/>
      </w:pPr>
      <w:r>
        <w:rPr>
          <w:rFonts w:ascii="Arial" w:cs="Arial" w:eastAsia="Arial" w:hAnsi="Arial"/>
          <w:sz w:val="20"/>
          <w:szCs w:val="20"/>
        </w:rPr>
        <w:t xml:space="preserve">Failed alignment</w:t>
      </w:r>
    </w:p>
    <w:p>
      <w:pPr>
        <w:pStyle w:val="ListParagraph"/>
        <w:numPr>
          <w:ilvl w:val="0"/>
          <w:numId w:val="5"/>
        </w:numPr>
        <w:spacing w:after="60"/>
      </w:pPr>
      <w:r>
        <w:rPr>
          <w:rFonts w:ascii="Arial" w:cs="Arial" w:eastAsia="Arial" w:hAnsi="Arial"/>
          <w:sz w:val="20"/>
          <w:szCs w:val="20"/>
        </w:rPr>
        <w:t xml:space="preserve">Shared Klaviyo domain on a big list</w:t>
      </w:r>
    </w:p>
    <w:p>
      <w:pPr>
        <w:pStyle w:val="ListParagraph"/>
        <w:numPr>
          <w:ilvl w:val="0"/>
          <w:numId w:val="5"/>
        </w:numPr>
        <w:spacing w:after="60"/>
      </w:pPr>
      <w:r>
        <w:rPr>
          <w:rFonts w:ascii="Arial" w:cs="Arial" w:eastAsia="Arial" w:hAnsi="Arial"/>
          <w:sz w:val="20"/>
          <w:szCs w:val="20"/>
        </w:rPr>
        <w:t xml:space="preserve">Shopify sender rewrite</w:t>
      </w:r>
    </w:p>
    <w:p>
      <w:pPr>
        <w:pStyle w:val="ListParagraph"/>
        <w:numPr>
          <w:ilvl w:val="0"/>
          <w:numId w:val="5"/>
        </w:numPr>
        <w:spacing w:after="60"/>
      </w:pPr>
      <w:r>
        <w:rPr>
          <w:rFonts w:ascii="Arial" w:cs="Arial" w:eastAsia="Arial" w:hAnsi="Arial"/>
          <w:sz w:val="20"/>
          <w:szCs w:val="20"/>
        </w:rPr>
        <w:t xml:space="preserve">SPF over its lookup limit</w:t>
      </w:r>
    </w:p>
    <w:p>
      <w:pPr>
        <w:pStyle w:val="ListParagraph"/>
        <w:numPr>
          <w:ilvl w:val="0"/>
          <w:numId w:val="5"/>
        </w:numPr>
        <w:spacing w:after="60"/>
      </w:pPr>
      <w:r>
        <w:rPr>
          <w:rFonts w:ascii="Arial" w:cs="Arial" w:eastAsia="Arial" w:hAnsi="Arial"/>
          <w:sz w:val="20"/>
          <w:szCs w:val="20"/>
        </w:rPr>
        <w:t xml:space="preserve">Missing one-click unsubscribe</w:t>
      </w:r>
    </w:p>
    <w:p>
      <w:pPr>
        <w:pStyle w:val="ListParagraph"/>
        <w:numPr>
          <w:ilvl w:val="0"/>
          <w:numId w:val="5"/>
        </w:numPr>
        <w:spacing w:after="60"/>
      </w:pPr>
      <w:r>
        <w:rPr>
          <w:rFonts w:ascii="Arial" w:cs="Arial" w:eastAsia="Arial" w:hAnsi="Arial"/>
          <w:sz w:val="20"/>
          <w:szCs w:val="20"/>
        </w:rPr>
        <w:t xml:space="preserve">Order confirmation emails landing in spam</w:t>
      </w:r>
    </w:p>
    <w:p>
      <w:pPr>
        <w:spacing w:after="60" w:before="0"/>
      </w:pPr>
    </w:p>
    <w:p>
      <w:pPr>
        <w:pStyle w:val="Heading2"/>
        <w:keepNext/>
      </w:pPr>
      <w:bookmarkStart w:name="sec_12_8" w:id="75"/>
      <w:r>
        <w:rPr>
          <w:rFonts w:ascii="Arial" w:cs="Arial" w:eastAsia="Arial" w:hAnsi="Arial"/>
        </w:rPr>
        <w:t xml:space="preserve">12.8 Ascent repair process: no disruption to sending</w:t>
      </w:r>
      <w:bookmarkEnd w:id="75"/>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61"/>
        <w:gridCol w:w="3597"/>
        <w:gridCol w:w="3722"/>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Day</w:t>
            </w:r>
          </w:p>
        </w:tc>
        <w:tc>
          <w:tcPr>
            <w:tcW w:type="dxa" w:w="18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Work</w:t>
            </w:r>
          </w:p>
        </w:tc>
        <w:tc>
          <w:tcPr>
            <w:tcW w:type="dxa" w:w="35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Actions</w:t>
            </w:r>
          </w:p>
        </w:tc>
        <w:tc>
          <w:tcPr>
            <w:tcW w:type="dxa" w:w="37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Safety guardrail</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w:t>
            </w:r>
          </w:p>
        </w:tc>
        <w:tc>
          <w:tcPr>
            <w:tcW w:type="dxa" w:w="18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Access and baseline</w:t>
            </w:r>
          </w:p>
        </w:tc>
        <w:tc>
          <w:tcPr>
            <w:tcW w:type="dxa" w:w="35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Read-only Klaviyo access; DNS contact info; Google Postmaster Tools setup; DMARC report inbox; record current metrics</w:t>
            </w:r>
          </w:p>
        </w:tc>
        <w:tc>
          <w:tcPr>
            <w:tcW w:type="dxa" w:w="37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DNS changes yet</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w:t>
            </w:r>
          </w:p>
        </w:tc>
        <w:tc>
          <w:tcPr>
            <w:tcW w:type="dxa" w:w="18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Inventory and quick wins</w:t>
            </w:r>
          </w:p>
        </w:tc>
        <w:tc>
          <w:tcPr>
            <w:tcW w:type="dxa" w:w="35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every tool sending email; fix SPF to under 10 lookups; remove duplicate records; publish DMARC monitoring-only if missing</w:t>
            </w:r>
          </w:p>
        </w:tc>
        <w:tc>
          <w:tcPr>
            <w:tcW w:type="dxa" w:w="37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records before removing any; one change at a time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w:t>
            </w:r>
          </w:p>
        </w:tc>
        <w:tc>
          <w:tcPr>
            <w:tcW w:type="dxa" w:w="18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Alignment</w:t>
            </w:r>
          </w:p>
        </w:tc>
        <w:tc>
          <w:tcPr>
            <w:tcW w:type="dxa" w:w="35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Set up branded Klaviyo sending domain; add DKIM for Google, help desk, reviews, subscriptions; verify one-click unsubscribe</w:t>
            </w:r>
          </w:p>
        </w:tc>
        <w:tc>
          <w:tcPr>
            <w:tcW w:type="dxa" w:w="37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Old sending path stays live until new one is verified</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5–10</w:t>
            </w:r>
          </w:p>
        </w:tc>
        <w:tc>
          <w:tcPr>
            <w:tcW w:type="dxa" w:w="18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cleanup</w:t>
            </w:r>
          </w:p>
        </w:tc>
        <w:tc>
          <w:tcPr>
            <w:tcW w:type="dxa" w:w="35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bounces, bots, and inactive profiles; build engagement tiers; launch sunset sequence; add bot protection to forms</w:t>
            </w:r>
          </w:p>
        </w:tc>
        <w:tc>
          <w:tcPr>
            <w:tcW w:type="dxa" w:w="37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Removals are tagged and reversible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10–14</w:t>
            </w:r>
          </w:p>
        </w:tc>
        <w:tc>
          <w:tcPr>
            <w:tcW w:type="dxa" w:w="18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Warm-up and repair</w:t>
            </w:r>
          </w:p>
        </w:tc>
        <w:tc>
          <w:tcPr>
            <w:tcW w:type="dxa" w:w="35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the warm-up schedule (Section 13); fix Microsoft-specific problems first in UK/Canada/Australia; write handover document</w:t>
            </w:r>
          </w:p>
        </w:tc>
        <w:tc>
          <w:tcPr>
            <w:tcW w:type="dxa" w:w="37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Automated sequences keep sending throughout</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Weeks 3–12</w:t>
            </w:r>
          </w:p>
        </w:tc>
        <w:tc>
          <w:tcPr>
            <w:tcW w:type="dxa" w:w="18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Monitor and enforce</w:t>
            </w:r>
          </w:p>
        </w:tc>
        <w:tc>
          <w:tcPr>
            <w:tcW w:type="dxa" w:w="35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Weekly metrics check; move DMARC toward blocking as reports confirm it is safe; 30-day review; Lhotse proposal if the brand fits</w:t>
            </w:r>
          </w:p>
        </w:tc>
        <w:tc>
          <w:tcPr>
            <w:tcW w:type="dxa" w:w="37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Rollback plan for every DNS change</w:t>
            </w:r>
          </w:p>
        </w:tc>
      </w:tr>
    </w:tbl>
    <w:p>
      <w:pPr>
        <w:spacing w:after="120" w:before="0"/>
      </w:pPr>
    </w:p>
    <w:p>
      <w:r>
        <w:rPr>
          <w:rFonts w:ascii="Arial" w:cs="Arial" w:eastAsia="Arial" w:hAnsi="Arial"/>
          <w:b/>
          <w:bCs/>
          <w:sz w:val="20"/>
          <w:szCs w:val="20"/>
        </w:rPr>
        <w:t xml:space="preserve">For large enterprise clients (A3):</w:t>
      </w:r>
      <w:r>
        <w:rPr>
          <w:rFonts w:ascii="Arial" w:cs="Arial" w:eastAsia="Arial" w:hAnsi="Arial"/>
          <w:sz w:val="20"/>
          <w:szCs w:val="20"/>
        </w:rPr>
        <w:t xml:space="preserve"> they usually want their own IT team to make DNS changes. For each step, give them a change request document that lists:</w:t>
      </w:r>
    </w:p>
    <w:p>
      <w:pPr>
        <w:pStyle w:val="ListParagraph"/>
        <w:numPr>
          <w:ilvl w:val="0"/>
          <w:numId w:val="5"/>
        </w:numPr>
        <w:spacing w:after="60"/>
      </w:pPr>
      <w:r>
        <w:rPr>
          <w:rFonts w:ascii="Arial" w:cs="Arial" w:eastAsia="Arial" w:hAnsi="Arial"/>
          <w:sz w:val="20"/>
          <w:szCs w:val="20"/>
        </w:rPr>
        <w:t xml:space="preserve">The exact records to add</w:t>
      </w:r>
    </w:p>
    <w:p>
      <w:pPr>
        <w:pStyle w:val="ListParagraph"/>
        <w:numPr>
          <w:ilvl w:val="0"/>
          <w:numId w:val="5"/>
        </w:numPr>
        <w:spacing w:after="60"/>
      </w:pPr>
      <w:r>
        <w:rPr>
          <w:rFonts w:ascii="Arial" w:cs="Arial" w:eastAsia="Arial" w:hAnsi="Arial"/>
          <w:sz w:val="20"/>
          <w:szCs w:val="20"/>
        </w:rPr>
        <w:t xml:space="preserve">Why each one is needed</w:t>
      </w:r>
    </w:p>
    <w:p>
      <w:pPr>
        <w:pStyle w:val="ListParagraph"/>
        <w:numPr>
          <w:ilvl w:val="0"/>
          <w:numId w:val="5"/>
        </w:numPr>
        <w:spacing w:after="60"/>
      </w:pPr>
      <w:r>
        <w:rPr>
          <w:rFonts w:ascii="Arial" w:cs="Arial" w:eastAsia="Arial" w:hAnsi="Arial"/>
          <w:sz w:val="20"/>
          <w:szCs w:val="20"/>
        </w:rPr>
        <w:t xml:space="preserve">How to verify it</w:t>
      </w:r>
    </w:p>
    <w:p>
      <w:pPr>
        <w:pStyle w:val="ListParagraph"/>
        <w:numPr>
          <w:ilvl w:val="0"/>
          <w:numId w:val="5"/>
        </w:numPr>
        <w:spacing w:after="60"/>
      </w:pPr>
      <w:r>
        <w:rPr>
          <w:rFonts w:ascii="Arial" w:cs="Arial" w:eastAsia="Arial" w:hAnsi="Arial"/>
          <w:sz w:val="20"/>
          <w:szCs w:val="20"/>
        </w:rPr>
        <w:t xml:space="preserve">How to undo it if needed</w:t>
      </w:r>
    </w:p>
    <w:p>
      <w:pPr>
        <w:spacing w:after="60" w:before="0"/>
      </w:pPr>
    </w:p>
    <w:p>
      <w:pPr>
        <w:pStyle w:val="Heading1"/>
        <w:keepNext/>
        <w:pageBreakBefore/>
      </w:pPr>
      <w:bookmarkStart w:name="sec_13" w:id="76"/>
      <w:r>
        <w:rPr>
          <w:rFonts w:ascii="Arial" w:cs="Arial" w:eastAsia="Arial" w:hAnsi="Arial"/>
        </w:rPr>
        <w:t xml:space="preserve">13. How to Test Whether Emails Actually Reach the Inbox</w:t>
      </w:r>
      <w:bookmarkEnd w:id="76"/>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A "seed test" (sending a test email to a panel of fake test accounts) shows how an email provider treats a stranger with no history, while Google Postmaster Tools shows how the provider actually treats the brand's real customers. Sender reputation is protected by only emailing people who engaged recently, measured with real data, and dedicated sending IP addresses are only for very large, consistent senders. The industry average inbox rate is already above 80%, so "80% inbox rate" is too weak a success bar for Ascent. We use a full scorecard instead.</w:t>
      </w:r>
    </w:p>
    <w:p>
      <w:pPr>
        <w:pStyle w:val="Heading2"/>
        <w:keepNext/>
      </w:pPr>
      <w:bookmarkStart w:name="sec_13_1" w:id="77"/>
      <w:r>
        <w:rPr>
          <w:rFonts w:ascii="Arial" w:cs="Arial" w:eastAsia="Arial" w:hAnsi="Arial"/>
        </w:rPr>
        <w:t xml:space="preserve">13.1 Where emails end up (industry data)</w:t>
      </w:r>
      <w:bookmarkEnd w:id="77"/>
    </w:p>
    <w:p>
      <w:r>
        <w:rPr>
          <w:rFonts w:ascii="Arial" w:cs="Arial" w:eastAsia="Arial" w:hAnsi="Arial"/>
          <w:sz w:val="20"/>
          <w:szCs w:val="20"/>
        </w:rPr>
        <w:t xml:space="preserve">According to Validity's 2025 benchmark report, 83.5% of marketing emails reached the inbox, so about 1 in 6 missed. Spam placement rose from 4.5% in Q1 to 8.6% in Q4.</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1"/>
        <w:gridCol w:w="2208"/>
        <w:gridCol w:w="2577"/>
        <w:gridCol w:w="2208"/>
        <w:gridCol w:w="1656"/>
      </w:tblGrid>
      <w:tr>
        <w:trPr>
          <w:cantSplit/>
          <w:tblHeader/>
        </w:trPr>
        <w:tc>
          <w:tcPr>
            <w:tcW w:type="dxa" w:w="14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22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Gmail share (inbox rate)</w:t>
            </w:r>
          </w:p>
        </w:tc>
        <w:tc>
          <w:tcPr>
            <w:tcW w:type="dxa" w:w="25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Microsoft share (inbox rate)</w:t>
            </w:r>
          </w:p>
        </w:tc>
        <w:tc>
          <w:tcPr>
            <w:tcW w:type="dxa" w:w="22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Yahoo share (inbox rate)</w:t>
            </w:r>
          </w:p>
        </w:tc>
        <w:tc>
          <w:tcPr>
            <w:tcW w:type="dxa" w:w="165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Overall inbox rate</w:t>
            </w:r>
          </w:p>
        </w:tc>
      </w:tr>
      <w:tr>
        <w:trPr>
          <w:cantSplit/>
        </w:trPr>
        <w:tc>
          <w:tcPr>
            <w:tcW w:type="dxa" w:w="14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2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54.4% (88.8%)</w:t>
            </w:r>
          </w:p>
        </w:tc>
        <w:tc>
          <w:tcPr>
            <w:tcW w:type="dxa" w:w="25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10.8% (75.8%)</w:t>
            </w:r>
          </w:p>
        </w:tc>
        <w:tc>
          <w:tcPr>
            <w:tcW w:type="dxa" w:w="2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21.8% (86.4%)</w:t>
            </w:r>
          </w:p>
        </w:tc>
        <w:tc>
          <w:tcPr>
            <w:tcW w:type="dxa" w:w="165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85.0%</w:t>
            </w:r>
          </w:p>
        </w:tc>
      </w:tr>
      <w:tr>
        <w:trPr>
          <w:cantSplit/>
        </w:trPr>
        <w:tc>
          <w:tcPr>
            <w:tcW w:type="dxa" w:w="14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2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45.5% (94.4%)</w:t>
            </w:r>
          </w:p>
        </w:tc>
        <w:tc>
          <w:tcPr>
            <w:tcW w:type="dxa" w:w="25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27.9% (78.9%)</w:t>
            </w:r>
          </w:p>
        </w:tc>
        <w:tc>
          <w:tcPr>
            <w:tcW w:type="dxa" w:w="2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12.2% (88.6%)</w:t>
            </w:r>
          </w:p>
        </w:tc>
        <w:tc>
          <w:tcPr>
            <w:tcW w:type="dxa" w:w="165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86.7%</w:t>
            </w:r>
          </w:p>
        </w:tc>
      </w:tr>
      <w:tr>
        <w:trPr>
          <w:cantSplit/>
        </w:trPr>
        <w:tc>
          <w:tcPr>
            <w:tcW w:type="dxa" w:w="14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2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41.1% (91.8%)</w:t>
            </w:r>
          </w:p>
        </w:tc>
        <w:tc>
          <w:tcPr>
            <w:tcW w:type="dxa" w:w="25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32.3% (86.9%)</w:t>
            </w:r>
          </w:p>
        </w:tc>
        <w:tc>
          <w:tcPr>
            <w:tcW w:type="dxa" w:w="2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 (90.2%)</w:t>
            </w:r>
          </w:p>
        </w:tc>
        <w:tc>
          <w:tcPr>
            <w:tcW w:type="dxa" w:w="165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87.8%</w:t>
            </w:r>
          </w:p>
        </w:tc>
      </w:tr>
      <w:tr>
        <w:trPr>
          <w:cantSplit/>
        </w:trPr>
        <w:tc>
          <w:tcPr>
            <w:tcW w:type="dxa" w:w="14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2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47.3% (92.6%)</w:t>
            </w:r>
          </w:p>
        </w:tc>
        <w:tc>
          <w:tcPr>
            <w:tcW w:type="dxa" w:w="25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30.2% (77.7%)</w:t>
            </w:r>
          </w:p>
        </w:tc>
        <w:tc>
          <w:tcPr>
            <w:tcW w:type="dxa" w:w="2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7.5% (86.4%)</w:t>
            </w:r>
          </w:p>
        </w:tc>
        <w:tc>
          <w:tcPr>
            <w:tcW w:type="dxa" w:w="165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85.0%</w:t>
            </w:r>
          </w:p>
        </w:tc>
      </w:tr>
    </w:tbl>
    <w:p>
      <w:pPr>
        <w:spacing w:after="120" w:before="0"/>
      </w:pPr>
    </w:p>
    <w:p>
      <w:pPr>
        <w:spacing w:after="160" w:before="0"/>
      </w:pPr>
      <w:r>
        <w:rPr>
          <w:rFonts w:ascii="Arial" w:cs="Arial" w:eastAsia="Arial" w:hAnsi="Arial"/>
          <w:i/>
          <w:iCs/>
          <w:color w:val="5B6573"/>
          <w:sz w:val="16"/>
          <w:szCs w:val="16"/>
        </w:rPr>
        <w:t xml:space="preserve">Source: Validity. "Share" is the provider's share of inboxes in that country. No data for Ireland or New Zealand.</w:t>
      </w:r>
    </w:p>
    <w:p>
      <w:r>
        <w:rPr>
          <w:rFonts w:ascii="Arial" w:cs="Arial" w:eastAsia="Arial" w:hAnsi="Arial"/>
          <w:b/>
          <w:bCs/>
          <w:sz w:val="20"/>
          <w:szCs w:val="20"/>
        </w:rPr>
        <w:t xml:space="preserve">Microsoft is the weak spot outside the US.</w:t>
      </w:r>
      <w:r>
        <w:rPr>
          <w:rFonts w:ascii="Arial" w:cs="Arial" w:eastAsia="Arial" w:hAnsi="Arial"/>
          <w:sz w:val="20"/>
          <w:szCs w:val="20"/>
        </w:rPr>
        <w:t xml:space="preserve"> It holds about a third of inboxes in Canada, the UK, and Australia. Brands have reported months of emails going to Hotmail's spam folder even when they were only emailing 30-day-engaged subscribers, so for non-US brands we check Microsoft first.</w:t>
      </w:r>
    </w:p>
    <w:p>
      <w:r>
        <w:rPr>
          <w:rFonts w:ascii="Arial" w:cs="Arial" w:eastAsia="Arial" w:hAnsi="Arial"/>
          <w:b/>
          <w:bCs/>
          <w:sz w:val="20"/>
          <w:szCs w:val="20"/>
        </w:rPr>
        <w:t xml:space="preserve">Gmail's "Promotions" tab is not spam.</w:t>
      </w:r>
      <w:r>
        <w:rPr>
          <w:rFonts w:ascii="Arial" w:cs="Arial" w:eastAsia="Arial" w:hAnsi="Arial"/>
          <w:sz w:val="20"/>
          <w:szCs w:val="20"/>
        </w:rPr>
        <w:t xml:space="preserve"> Klaviyo calls it "a type of inbox," and no sender can choose which tab a message lands in. Since September 2025, Gmail has sorted the Promotions tab by relevance, so low-engagement senders sink within it.</w:t>
      </w:r>
    </w:p>
    <w:p>
      <w:r>
        <w:rPr>
          <w:rFonts w:ascii="Arial" w:cs="Arial" w:eastAsia="Arial" w:hAnsi="Arial"/>
          <w:sz w:val="20"/>
          <w:szCs w:val="20"/>
        </w:rPr>
        <w:t xml:space="preserve">The honest pitch is about staying visible inside Promotions. That is an engagement argument, not a claim to "get you out of Promotions."</w:t>
      </w:r>
    </w:p>
    <w:p>
      <w:pPr>
        <w:pStyle w:val="Heading2"/>
        <w:keepNext/>
      </w:pPr>
      <w:bookmarkStart w:name="sec_13_2" w:id="78"/>
      <w:r>
        <w:rPr>
          <w:rFonts w:ascii="Arial" w:cs="Arial" w:eastAsia="Arial" w:hAnsi="Arial"/>
        </w:rPr>
        <w:t xml:space="preserve">13.2 The measurement toolkit</w:t>
      </w:r>
      <w:bookmarkEnd w:id="78"/>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8"/>
        <w:gridCol w:w="4066"/>
        <w:gridCol w:w="4066"/>
      </w:tblGrid>
      <w:tr>
        <w:trPr>
          <w:cantSplit/>
          <w:tblHeader/>
        </w:trPr>
        <w:tc>
          <w:tcPr>
            <w:tcW w:type="dxa" w:w="19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Tool</w:t>
            </w:r>
          </w:p>
        </w:tc>
        <w:tc>
          <w:tcPr>
            <w:tcW w:type="dxa" w:w="40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shows</w:t>
            </w:r>
          </w:p>
        </w:tc>
        <w:tc>
          <w:tcPr>
            <w:tcW w:type="dxa" w:w="40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Limitations</w:t>
            </w:r>
          </w:p>
        </w:tc>
      </w:tr>
      <w:tr>
        <w:trPr>
          <w:cantSplit/>
        </w:trPr>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Google Postmaster Tools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spam rate, compliance status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Needs enough daily Gmail volume to show data</w:t>
            </w:r>
          </w:p>
        </w:tc>
      </w:tr>
      <w:tr>
        <w:trPr>
          <w:cantSplit/>
        </w:trPr>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Sender Hub</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sender data and complaints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only</w:t>
            </w:r>
          </w:p>
        </w:tc>
      </w:tr>
      <w:tr>
        <w:trPr>
          <w:cantSplit/>
        </w:trPr>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SNDS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Outlook-level data by IP address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useful with a dedicated sending IP</w:t>
            </w:r>
          </w:p>
        </w:tc>
      </w:tr>
      <w:tr>
        <w:trPr>
          <w:cantSplit/>
        </w:trPr>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reports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Bounces, complaints, engagement by provider</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Opens distorted by Apple auto-opens</w:t>
            </w:r>
          </w:p>
        </w:tc>
      </w:tr>
      <w:tr>
        <w:trPr>
          <w:cantSplit/>
        </w:trPr>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aggregate reports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source sending as the brand's domain</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Needs a report processing tool at larger volumes</w:t>
            </w:r>
          </w:p>
        </w:tc>
      </w:tr>
      <w:tr>
        <w:trPr>
          <w:cantSplit/>
        </w:trPr>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Seed tests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Where a test email lands across a panel of fake accounts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engagement history; panel mix skews the score</w:t>
            </w:r>
          </w:p>
        </w:tc>
      </w:tr>
    </w:tbl>
    <w:p>
      <w:pPr>
        <w:spacing w:after="120" w:before="0"/>
      </w:pPr>
    </w:p>
    <w:p>
      <w:pPr>
        <w:pStyle w:val="Heading2"/>
        <w:keepNext/>
      </w:pPr>
      <w:bookmarkStart w:name="sec_13_3" w:id="79"/>
      <w:r>
        <w:rPr>
          <w:rFonts w:ascii="Arial" w:cs="Arial" w:eastAsia="Arial" w:hAnsi="Arial"/>
        </w:rPr>
        <w:t xml:space="preserve">13.3 How to use seed tests correctly</w:t>
      </w:r>
      <w:bookmarkEnd w:id="79"/>
    </w:p>
    <w:p>
      <w:r>
        <w:rPr>
          <w:rFonts w:ascii="Arial" w:cs="Arial" w:eastAsia="Arial" w:hAnsi="Arial"/>
          <w:sz w:val="20"/>
          <w:szCs w:val="20"/>
        </w:rPr>
        <w:t xml:space="preserve">Seed test accounts do not behave like real people, because email providers treat new accounts differently. The mix of accounts in the panel also moves the score.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4"/>
        <w:gridCol w:w="5256"/>
      </w:tblGrid>
      <w:tr>
        <w:trPr>
          <w:cantSplit/>
          <w:tblHeader/>
        </w:trPr>
        <w:tc>
          <w:tcPr>
            <w:tcW w:type="dxa" w:w="482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Seed accounts at</w:t>
            </w:r>
          </w:p>
        </w:tc>
        <w:tc>
          <w:tcPr>
            <w:tcW w:type="dxa" w:w="525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Typical inbox placement</w:t>
            </w:r>
          </w:p>
        </w:tc>
      </w:tr>
      <w:tr>
        <w:trPr>
          <w:cantSplit/>
        </w:trPr>
        <w:tc>
          <w:tcPr>
            <w:tcW w:type="dxa" w:w="48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and Apple</w:t>
            </w:r>
          </w:p>
        </w:tc>
        <w:tc>
          <w:tcPr>
            <w:tcW w:type="dxa" w:w="525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Around 75% to 76%</w:t>
            </w:r>
          </w:p>
        </w:tc>
      </w:tr>
      <w:tr>
        <w:trPr>
          <w:cantSplit/>
        </w:trPr>
        <w:tc>
          <w:tcPr>
            <w:tcW w:type="dxa" w:w="48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and Yahoo</w:t>
            </w:r>
          </w:p>
        </w:tc>
        <w:tc>
          <w:tcPr>
            <w:tcW w:type="dxa" w:w="525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86% to 87%</w:t>
            </w:r>
          </w:p>
        </w:tc>
      </w:tr>
    </w:tbl>
    <w:p>
      <w:pPr>
        <w:spacing w:after="120" w:before="0"/>
      </w:pPr>
    </w:p>
    <w:p>
      <w:r>
        <w:rPr>
          <w:rFonts w:ascii="Arial" w:cs="Arial" w:eastAsia="Arial" w:hAnsi="Arial"/>
          <w:sz w:val="20"/>
          <w:szCs w:val="20"/>
        </w:rPr>
        <w:t xml:space="preserve">The right way to use a seed test:</w:t>
      </w:r>
    </w:p>
    <w:p>
      <w:pPr>
        <w:pStyle w:val="ListParagraph"/>
        <w:numPr>
          <w:ilvl w:val="0"/>
          <w:numId w:val="5"/>
        </w:numPr>
        <w:spacing w:after="60"/>
      </w:pPr>
      <w:r>
        <w:rPr>
          <w:rFonts w:ascii="Arial" w:cs="Arial" w:eastAsia="Arial" w:hAnsi="Arial"/>
          <w:sz w:val="20"/>
          <w:szCs w:val="20"/>
        </w:rPr>
        <w:t xml:space="preserve">Weight the panel to match the brand's actual mix of subscribers (how many Gmail, how many Microsoft, etc.)</w:t>
      </w:r>
    </w:p>
    <w:p>
      <w:pPr>
        <w:pStyle w:val="ListParagraph"/>
        <w:numPr>
          <w:ilvl w:val="0"/>
          <w:numId w:val="5"/>
        </w:numPr>
        <w:spacing w:after="60"/>
      </w:pPr>
      <w:r>
        <w:rPr>
          <w:rFonts w:ascii="Arial" w:cs="Arial" w:eastAsia="Arial" w:hAnsi="Arial"/>
          <w:sz w:val="20"/>
          <w:szCs w:val="20"/>
        </w:rPr>
        <w:t xml:space="preserve">Read the results as a trend across several sends, not a one-time score</w:t>
      </w:r>
    </w:p>
    <w:p>
      <w:pPr>
        <w:pStyle w:val="ListParagraph"/>
        <w:numPr>
          <w:ilvl w:val="0"/>
          <w:numId w:val="5"/>
        </w:numPr>
        <w:spacing w:after="60"/>
      </w:pPr>
      <w:r>
        <w:rPr>
          <w:rFonts w:ascii="Arial" w:cs="Arial" w:eastAsia="Arial" w:hAnsi="Arial"/>
          <w:sz w:val="20"/>
          <w:szCs w:val="20"/>
        </w:rPr>
        <w:t xml:space="preserve">Always pair seed test results with Google Postmaster spam rate data, bounce reasons, and DMARC data</w:t>
      </w:r>
    </w:p>
    <w:p>
      <w:pPr>
        <w:spacing w:after="60" w:before="0"/>
      </w:pPr>
    </w:p>
    <w:p>
      <w:r>
        <w:rPr>
          <w:rFonts w:ascii="Arial" w:cs="Arial" w:eastAsia="Arial" w:hAnsi="Arial"/>
          <w:sz w:val="20"/>
          <w:szCs w:val="20"/>
        </w:rPr>
        <w:t xml:space="preserve">The real warning signs are spam placement at multiple providers at the same time, or order confirmation emails landing in spam.</w:t>
      </w:r>
    </w:p>
    <w:p>
      <w:pPr>
        <w:pStyle w:val="Heading3"/>
        <w:keepNext/>
      </w:pPr>
      <w:r>
        <w:rPr>
          <w:rFonts w:ascii="Arial" w:cs="Arial" w:eastAsia="Arial" w:hAnsi="Arial"/>
        </w:rPr>
        <w:t xml:space="preserve">The Ascent Health Scorecard</w:t>
      </w:r>
    </w:p>
    <w:p>
      <w:r>
        <w:rPr>
          <w:rFonts w:ascii="Arial" w:cs="Arial" w:eastAsia="Arial" w:hAnsi="Arial"/>
          <w:sz w:val="20"/>
          <w:szCs w:val="20"/>
        </w:rPr>
        <w:t xml:space="preserve">This scorecard replaces the simple "80% inbox rate" pass bar.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9"/>
        <w:gridCol w:w="3582"/>
        <w:gridCol w:w="3999"/>
      </w:tblGrid>
      <w:tr>
        <w:trPr>
          <w:cantSplit/>
          <w:tblHeader/>
        </w:trPr>
        <w:tc>
          <w:tcPr>
            <w:tcW w:type="dxa" w:w="249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35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Target at 30 days</w:t>
            </w:r>
          </w:p>
        </w:tc>
        <w:tc>
          <w:tcPr>
            <w:tcW w:type="dxa" w:w="399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Where to check</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pass rate on real emails</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98%+</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reports</w:t>
            </w:r>
          </w:p>
        </w:tc>
      </w:tr>
      <w:tr>
        <w:trPr>
          <w:cantSplit/>
        </w:trPr>
        <w:tc>
          <w:tcPr>
            <w:tcW w:type="dxa" w:w="2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spam rate</w:t>
            </w:r>
          </w:p>
        </w:tc>
        <w:tc>
          <w:tcPr>
            <w:tcW w:type="dxa" w:w="3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0.1% (aim for below 0.05%)</w:t>
            </w:r>
          </w:p>
        </w:tc>
        <w:tc>
          <w:tcPr>
            <w:tcW w:type="dxa" w:w="39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Google Postmaster Tools</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rate</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1%</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r>
      <w:tr>
        <w:trPr>
          <w:cantSplit/>
        </w:trPr>
        <w:tc>
          <w:tcPr>
            <w:tcW w:type="dxa" w:w="2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inbox rate</w:t>
            </w:r>
          </w:p>
        </w:tc>
        <w:tc>
          <w:tcPr>
            <w:tcW w:type="dxa" w:w="3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Measurably better than before Ascent</w:t>
            </w:r>
          </w:p>
        </w:tc>
        <w:tc>
          <w:tcPr>
            <w:tcW w:type="dxa" w:w="39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Weighted seed test trend + provider engagement data</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 confirmation emails</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Landing in inbox at all major providers</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Seed tests and real order tests</w:t>
            </w:r>
          </w:p>
        </w:tc>
      </w:tr>
      <w:tr>
        <w:trPr>
          <w:cantSplit/>
        </w:trPr>
        <w:tc>
          <w:tcPr>
            <w:tcW w:type="dxa" w:w="2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One-click unsubscribe</w:t>
            </w:r>
          </w:p>
        </w:tc>
        <w:tc>
          <w:tcPr>
            <w:tcW w:type="dxa" w:w="3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Present on all marketing emails</w:t>
            </w:r>
          </w:p>
        </w:tc>
        <w:tc>
          <w:tcPr>
            <w:tcW w:type="dxa" w:w="39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email headers</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Revenue per email sent</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Flat or better vs. the same weeks last year</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r>
    </w:tbl>
    <w:p>
      <w:pPr>
        <w:spacing w:after="120" w:before="0"/>
      </w:pPr>
    </w:p>
    <w:p>
      <w:pPr>
        <w:pStyle w:val="Heading2"/>
        <w:keepNext/>
      </w:pPr>
      <w:bookmarkStart w:name="sec_13_4" w:id="80"/>
      <w:r>
        <w:rPr>
          <w:rFonts w:ascii="Arial" w:cs="Arial" w:eastAsia="Arial" w:hAnsi="Arial"/>
        </w:rPr>
        <w:t xml:space="preserve">13.4 Shared IP vs. dedicated sending IP</w:t>
      </w:r>
      <w:bookmarkEnd w:id="80"/>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2"/>
        <w:gridCol w:w="4359"/>
        <w:gridCol w:w="4359"/>
      </w:tblGrid>
      <w:tr>
        <w:trPr>
          <w:cantSplit/>
          <w:tblHeader/>
        </w:trPr>
        <w:tc>
          <w:tcPr>
            <w:tcW w:type="dxa" w:w="136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Factor</w:t>
            </w:r>
          </w:p>
        </w:tc>
        <w:tc>
          <w:tcPr>
            <w:tcW w:type="dxa" w:w="43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Shared IP (Klaviyo default)</w:t>
            </w:r>
          </w:p>
        </w:tc>
        <w:tc>
          <w:tcPr>
            <w:tcW w:type="dxa" w:w="43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Dedicated IP</w:t>
            </w:r>
          </w:p>
        </w:tc>
      </w:tr>
      <w:tr>
        <w:trPr>
          <w:cantSplit/>
        </w:trPr>
        <w:tc>
          <w:tcPr>
            <w:tcW w:type="dxa" w:w="13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Reputation</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Shared with other Klaviyo senders</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brand's alone</w:t>
            </w:r>
          </w:p>
        </w:tc>
      </w:tr>
      <w:tr>
        <w:trPr>
          <w:cantSplit/>
        </w:trPr>
        <w:tc>
          <w:tcPr>
            <w:tcW w:type="dxa" w:w="13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Volume required</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 and consistent; gaps in sending let it go cold</w:t>
            </w:r>
          </w:p>
        </w:tc>
      </w:tr>
      <w:tr>
        <w:trPr>
          <w:cantSplit/>
        </w:trPr>
        <w:tc>
          <w:tcPr>
            <w:tcW w:type="dxa" w:w="13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Cost</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Included in Klaviyo</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Extra fee plus warm-up effort</w:t>
            </w:r>
          </w:p>
        </w:tc>
      </w:tr>
      <w:tr>
        <w:trPr>
          <w:cantSplit/>
        </w:trPr>
        <w:tc>
          <w:tcPr>
            <w:tcW w:type="dxa" w:w="13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Main risk</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If another brand on the same pool gets blocked, the brand might be affected</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mistake is purely the brand's own problem</w:t>
            </w:r>
          </w:p>
        </w:tc>
      </w:tr>
      <w:tr>
        <w:trPr>
          <w:cantSplit/>
        </w:trPr>
        <w:tc>
          <w:tcPr>
            <w:tcW w:type="dxa" w:w="13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for</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Almost every brand we target</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A3 brands with large, consistent daily sending volume</w:t>
            </w:r>
          </w:p>
        </w:tc>
      </w:tr>
    </w:tbl>
    <w:p>
      <w:pPr>
        <w:spacing w:after="120" w:before="0"/>
      </w:pPr>
    </w:p>
    <w:p>
      <w:r>
        <w:rPr>
          <w:rFonts w:ascii="Arial" w:cs="Arial" w:eastAsia="Arial" w:hAnsi="Arial"/>
          <w:sz w:val="20"/>
          <w:szCs w:val="20"/>
        </w:rPr>
        <w:t xml:space="preserve">At Gmail, </w:t>
      </w:r>
      <w:r>
        <w:rPr>
          <w:rFonts w:ascii="Arial" w:cs="Arial" w:eastAsia="Arial" w:hAnsi="Arial"/>
          <w:b/>
          <w:bCs/>
          <w:sz w:val="20"/>
          <w:szCs w:val="20"/>
        </w:rPr>
        <w:t xml:space="preserve">domain reputation</w:t>
      </w:r>
      <w:r>
        <w:rPr>
          <w:rFonts w:ascii="Arial" w:cs="Arial" w:eastAsia="Arial" w:hAnsi="Arial"/>
          <w:sz w:val="20"/>
          <w:szCs w:val="20"/>
        </w:rPr>
        <w:t xml:space="preserve"> now carries most of the weight, not the IP address. For almost every brand we target, authenticated email and an engaged list matter far more than having its own IP address.</w:t>
      </w:r>
    </w:p>
    <w:p>
      <w:r>
        <w:rPr>
          <w:rFonts w:ascii="Arial" w:cs="Arial" w:eastAsia="Arial" w:hAnsi="Arial"/>
          <w:sz w:val="20"/>
          <w:szCs w:val="20"/>
        </w:rPr>
        <w:t xml:space="preserve">Shared sending pools do fail. One merchant reported Gmail blocking Klaviyo's shared IPs, bouncing 22.5% and 60% of two Black Friday 2025 campaigns. Even then, the fix was escalating to Klaviyo and tightening targeting, not switching to a dedicated IP.</w:t>
      </w:r>
    </w:p>
    <w:p>
      <w:pPr>
        <w:pStyle w:val="Heading2"/>
        <w:keepNext/>
      </w:pPr>
      <w:bookmarkStart w:name="sec_13_5" w:id="81"/>
      <w:r>
        <w:rPr>
          <w:rFonts w:ascii="Arial" w:cs="Arial" w:eastAsia="Arial" w:hAnsi="Arial"/>
        </w:rPr>
        <w:t xml:space="preserve">13.5 Warm-up schedule for a new sending domain</w:t>
      </w:r>
      <w:bookmarkEnd w:id="81"/>
    </w:p>
    <w:p>
      <w:r>
        <w:rPr>
          <w:rFonts w:ascii="Arial" w:cs="Arial" w:eastAsia="Arial" w:hAnsi="Arial"/>
          <w:sz w:val="20"/>
          <w:szCs w:val="20"/>
        </w:rPr>
        <w:t xml:space="preserve">A brand that needs a new branded sending domain (e.g., moving from "via klaviyomail.com" to sending from "send.brand.com") must warm it up gradually. This schedule is based on Klaviyo's own guidance. Third-party "warm-up" services have no role 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6565"/>
        <w:gridCol w:w="2494"/>
      </w:tblGrid>
      <w:tr>
        <w:trPr>
          <w:cantSplit/>
          <w:tblHeader/>
        </w:trPr>
        <w:tc>
          <w:tcPr>
            <w:tcW w:type="dxa" w:w="102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Weeks</w:t>
            </w:r>
          </w:p>
        </w:tc>
        <w:tc>
          <w:tcPr>
            <w:tcW w:type="dxa" w:w="65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gets campaign emails</w:t>
            </w:r>
          </w:p>
        </w:tc>
        <w:tc>
          <w:tcPr>
            <w:tcW w:type="dxa" w:w="249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Automated sequences</w:t>
            </w:r>
          </w:p>
        </w:tc>
      </w:tr>
      <w:tr>
        <w:trPr>
          <w:cantSplit/>
        </w:trPr>
        <w:tc>
          <w:tcPr>
            <w:tcW w:type="dxa" w:w="10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c>
          <w:tcPr>
            <w:tcW w:type="dxa" w:w="65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People who clicked or ordered in last 30 days</w:t>
            </w:r>
          </w:p>
        </w:tc>
        <w:tc>
          <w:tcPr>
            <w:tcW w:type="dxa" w:w="24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w:t>
            </w:r>
          </w:p>
        </w:tc>
        <w:tc>
          <w:tcPr>
            <w:tcW w:type="dxa" w:w="65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60 days</w:t>
            </w:r>
          </w:p>
        </w:tc>
        <w:tc>
          <w:tcPr>
            <w:tcW w:type="dxa" w:w="24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5–6</w:t>
            </w:r>
          </w:p>
        </w:tc>
        <w:tc>
          <w:tcPr>
            <w:tcW w:type="dxa" w:w="65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90 days</w:t>
            </w:r>
          </w:p>
        </w:tc>
        <w:tc>
          <w:tcPr>
            <w:tcW w:type="dxa" w:w="24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w:t>
            </w:r>
          </w:p>
        </w:tc>
        <w:tc>
          <w:tcPr>
            <w:tcW w:type="dxa" w:w="65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120 days</w:t>
            </w:r>
          </w:p>
        </w:tc>
        <w:tc>
          <w:tcPr>
            <w:tcW w:type="dxa" w:w="24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9–10</w:t>
            </w:r>
          </w:p>
        </w:tc>
        <w:tc>
          <w:tcPr>
            <w:tcW w:type="dxa" w:w="65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180 days</w:t>
            </w:r>
          </w:p>
        </w:tc>
        <w:tc>
          <w:tcPr>
            <w:tcW w:type="dxa" w:w="24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bl>
    <w:p>
      <w:pPr>
        <w:spacing w:after="120" w:before="0"/>
      </w:pPr>
    </w:p>
    <w:p>
      <w:r>
        <w:rPr>
          <w:rFonts w:ascii="Arial" w:cs="Arial" w:eastAsia="Arial" w:hAnsi="Arial"/>
          <w:sz w:val="20"/>
          <w:szCs w:val="20"/>
        </w:rPr>
        <w:t xml:space="preserve">Only step up if spam complaints stay below 0.05% and bounces below 1%. Otherwise, hold the current level for another week.</w:t>
      </w:r>
    </w:p>
    <w:p>
      <w:pPr>
        <w:pStyle w:val="Heading3"/>
        <w:keepNext/>
      </w:pPr>
      <w:r>
        <w:rPr>
          <w:rFonts w:ascii="Arial" w:cs="Arial" w:eastAsia="Arial" w:hAnsi="Arial"/>
        </w:rPr>
        <w:t xml:space="preserve">Important timing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8"/>
        <w:gridCol w:w="2417"/>
        <w:gridCol w:w="6255"/>
      </w:tblGrid>
      <w:tr>
        <w:trPr>
          <w:cantSplit/>
          <w:tblHeader/>
        </w:trPr>
        <w:tc>
          <w:tcPr>
            <w:tcW w:type="dxa" w:w="14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Peak season</w:t>
            </w:r>
          </w:p>
        </w:tc>
        <w:tc>
          <w:tcPr>
            <w:tcW w:type="dxa" w:w="241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Black Friday date</w:t>
            </w:r>
          </w:p>
        </w:tc>
        <w:tc>
          <w:tcPr>
            <w:tcW w:type="dxa" w:w="625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Start warm-up by</w:t>
            </w:r>
          </w:p>
        </w:tc>
      </w:tr>
      <w:tr>
        <w:trPr>
          <w:cantSplit/>
        </w:trPr>
        <w:tc>
          <w:tcPr>
            <w:tcW w:type="dxa" w:w="14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2026</w:t>
            </w:r>
          </w:p>
        </w:tc>
        <w:tc>
          <w:tcPr>
            <w:tcW w:type="dxa" w:w="24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November 27, 2026</w:t>
            </w:r>
          </w:p>
        </w:tc>
        <w:tc>
          <w:tcPr>
            <w:tcW w:type="dxa" w:w="62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September 18, 2026 (window has passed)</w:t>
            </w:r>
          </w:p>
        </w:tc>
      </w:tr>
      <w:tr>
        <w:trPr>
          <w:cantSplit/>
        </w:trPr>
        <w:tc>
          <w:tcPr>
            <w:tcW w:type="dxa" w:w="14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2027</w:t>
            </w:r>
          </w:p>
        </w:tc>
        <w:tc>
          <w:tcPr>
            <w:tcW w:type="dxa" w:w="241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November 26, 2027</w:t>
            </w:r>
          </w:p>
        </w:tc>
        <w:tc>
          <w:tcPr>
            <w:tcW w:type="dxa" w:w="62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About September 17, 2027</w:t>
            </w:r>
          </w:p>
        </w:tc>
      </w:tr>
    </w:tbl>
    <w:p>
      <w:pPr>
        <w:spacing w:after="120" w:before="0"/>
      </w:pPr>
    </w:p>
    <w:p>
      <w:r>
        <w:rPr>
          <w:rFonts w:ascii="Arial" w:cs="Arial" w:eastAsia="Arial" w:hAnsi="Arial"/>
          <w:sz w:val="20"/>
          <w:szCs w:val="20"/>
        </w:rPr>
        <w:t xml:space="preserve">Brands that missed the window should stay on their current authenticated path through peak season and migrate in January.</w:t>
      </w:r>
    </w:p>
    <w:p>
      <w:pPr>
        <w:pStyle w:val="Heading2"/>
        <w:keepNext/>
      </w:pPr>
      <w:bookmarkStart w:name="sec_13_6" w:id="82"/>
      <w:r>
        <w:rPr>
          <w:rFonts w:ascii="Arial" w:cs="Arial" w:eastAsia="Arial" w:hAnsi="Arial"/>
        </w:rPr>
        <w:t xml:space="preserve">13.6 How to handle delivery problems (incident runbook)</w:t>
      </w:r>
      <w:bookmarkEnd w:id="82"/>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7"/>
        <w:gridCol w:w="2145"/>
        <w:gridCol w:w="900"/>
        <w:gridCol w:w="2424"/>
        <w:gridCol w:w="2574"/>
      </w:tblGrid>
      <w:tr>
        <w:trPr>
          <w:cantSplit/>
          <w:tblHeader/>
        </w:trPr>
        <w:tc>
          <w:tcPr>
            <w:tcW w:type="dxa" w:w="203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Problem</w:t>
            </w:r>
          </w:p>
        </w:tc>
        <w:tc>
          <w:tcPr>
            <w:tcW w:type="dxa" w:w="214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you notice it</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Severity</w:t>
            </w:r>
          </w:p>
        </w:tc>
        <w:tc>
          <w:tcPr>
            <w:tcW w:type="dxa" w:w="242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First 24 hours</w:t>
            </w:r>
          </w:p>
        </w:tc>
        <w:tc>
          <w:tcPr>
            <w:tcW w:type="dxa" w:w="257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Recovery</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spam rate above 0.3%</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Google Postmaster Tools</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Critical</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send campaigns to 30-day-engaged subscribers; review recent list sources</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 clean days, then ramp back up tier by tier</w:t>
            </w:r>
          </w:p>
        </w:tc>
      </w:tr>
      <w:tr>
        <w:trPr>
          <w:cantSplit/>
        </w:trPr>
        <w:tc>
          <w:tcPr>
            <w:tcW w:type="dxa" w:w="20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rate above 2%</w:t>
            </w:r>
          </w:p>
        </w:tc>
        <w:tc>
          <w:tcPr>
            <w:tcW w:type="dxa" w:w="21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24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Read the bounce error codes; pause new sign-up sources; check forms for bots</w:t>
            </w:r>
          </w:p>
        </w:tc>
        <w:tc>
          <w:tcPr>
            <w:tcW w:type="dxa" w:w="25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the affected cohort; re-verify sources</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rejections</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reason codes</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SPF, DKIM, DMARC, and alignment on that sending path</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Fix, then retest</w:t>
            </w:r>
          </w:p>
        </w:tc>
      </w:tr>
      <w:tr>
        <w:trPr>
          <w:cantSplit/>
        </w:trPr>
        <w:tc>
          <w:tcPr>
            <w:tcW w:type="dxa" w:w="20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Shared IP blocked</w:t>
            </w:r>
          </w:p>
        </w:tc>
        <w:tc>
          <w:tcPr>
            <w:tcW w:type="dxa" w:w="21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error codes; Klaviyo notification</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 to high</w:t>
            </w:r>
          </w:p>
        </w:tc>
        <w:tc>
          <w:tcPr>
            <w:tcW w:type="dxa" w:w="24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Open Klaviyo support ticket; narrow sends to engaged-only</w:t>
            </w:r>
          </w:p>
        </w:tc>
        <w:tc>
          <w:tcPr>
            <w:tcW w:type="dxa" w:w="25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moves traffic; record this in the client report</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bombing (bot sign-ups)</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Sign-up spike</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CAPTCHA and double opt-in to affected forms</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the affected cohort</w:t>
            </w:r>
          </w:p>
        </w:tc>
      </w:tr>
      <w:tr>
        <w:trPr>
          <w:cantSplit/>
        </w:trPr>
        <w:tc>
          <w:tcPr>
            <w:tcW w:type="dxa" w:w="20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failures after adding a new tool</w:t>
            </w:r>
          </w:p>
        </w:tc>
        <w:tc>
          <w:tcPr>
            <w:tcW w:type="dxa" w:w="21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aggregate reports</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24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DKIM or SPF for the new tool</w:t>
            </w:r>
          </w:p>
        </w:tc>
        <w:tc>
          <w:tcPr>
            <w:tcW w:type="dxa" w:w="25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a change-request step for future tool additions</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Volume jump before peak</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Sending plan</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Preventive</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Ramp up over 4–6 weeks</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Follow the peak SOP (Section 14)</w:t>
            </w:r>
          </w:p>
        </w:tc>
      </w:tr>
    </w:tbl>
    <w:p>
      <w:pPr>
        <w:spacing w:after="120" w:before="0"/>
      </w:pPr>
    </w:p>
    <w:p>
      <w:pPr>
        <w:pStyle w:val="Heading2"/>
        <w:keepNext/>
      </w:pPr>
      <w:bookmarkStart w:name="sec_13_7" w:id="83"/>
      <w:r>
        <w:rPr>
          <w:rFonts w:ascii="Arial" w:cs="Arial" w:eastAsia="Arial" w:hAnsi="Arial"/>
        </w:rPr>
        <w:t xml:space="preserve">13.7 Validity's "Heatwave" blocklist</w:t>
      </w:r>
      <w:bookmarkEnd w:id="83"/>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5"/>
        <w:gridCol w:w="6815"/>
      </w:tblGrid>
      <w:tr>
        <w:trPr>
          <w:cantSplit/>
          <w:tblHeader/>
        </w:trPr>
        <w:tc>
          <w:tcPr>
            <w:tcW w:type="dxa" w:w="32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Item</w:t>
            </w:r>
          </w:p>
        </w:tc>
        <w:tc>
          <w:tcPr>
            <w:tcW w:type="dxa" w:w="68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Detail</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Announced</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September 3, 2026, by Validity</w:t>
            </w:r>
          </w:p>
        </w:tc>
      </w:tr>
      <w:tr>
        <w:trPr>
          <w:cantSplit/>
        </w:trPr>
        <w:tc>
          <w:tcPr>
            <w:tcW w:type="dxa" w:w="32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it targets</w:t>
            </w:r>
          </w:p>
        </w:tc>
        <w:tc>
          <w:tcPr>
            <w:tcW w:type="dxa" w:w="68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Domains that use fake warm-up networks (networks of fake accounts that artificially exchange emails, opens, and replies to build a reputation)</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Size at launch</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a million domains listed</w:t>
            </w:r>
          </w:p>
        </w:tc>
      </w:tr>
      <w:tr>
        <w:trPr>
          <w:cantSplit/>
        </w:trPr>
        <w:tc>
          <w:tcPr>
            <w:tcW w:type="dxa" w:w="32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Partners</w:t>
            </w:r>
          </w:p>
        </w:tc>
        <w:tc>
          <w:tcPr>
            <w:tcW w:type="dxa" w:w="68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Proofpoint, Spamhaus, SURBL, Comcast, and beehiiv</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 by Gmail or Outlook</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Unconfirmed</w:t>
            </w:r>
          </w:p>
        </w:tc>
      </w:tr>
    </w:tbl>
    <w:p>
      <w:pPr>
        <w:spacing w:after="120" w:before="0"/>
      </w:pPr>
    </w:p>
    <w:p>
      <w:r>
        <w:rPr>
          <w:rFonts w:ascii="Arial" w:cs="Arial" w:eastAsia="Arial" w:hAnsi="Arial"/>
          <w:sz w:val="20"/>
          <w:szCs w:val="20"/>
        </w:rPr>
        <w:t xml:space="preserve">Email specialists have separately noted that filtering of cold emails has increased.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9"/>
        <w:gridCol w:w="8201"/>
      </w:tblGrid>
      <w:tr>
        <w:trPr>
          <w:cantSplit/>
          <w:tblHeader/>
        </w:trPr>
        <w:tc>
          <w:tcPr>
            <w:tcW w:type="dxa" w:w="187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Audience</w:t>
            </w:r>
          </w:p>
        </w:tc>
        <w:tc>
          <w:tcPr>
            <w:tcW w:type="dxa" w:w="820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Action</w:t>
            </w:r>
          </w:p>
        </w:tc>
      </w:tr>
      <w:tr>
        <w:trPr>
          <w:cantSplit/>
        </w:trPr>
        <w:tc>
          <w:tcPr>
            <w:tcW w:type="dxa" w:w="187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Clients</w:t>
            </w:r>
          </w:p>
        </w:tc>
        <w:tc>
          <w:tcPr>
            <w:tcW w:type="dxa" w:w="82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Klaviyo's own warm-up process is the right method. No one should use warm-up networks.</w:t>
            </w:r>
          </w:p>
        </w:tc>
      </w:tr>
      <w:tr>
        <w:trPr>
          <w:cantSplit/>
        </w:trPr>
        <w:tc>
          <w:tcPr>
            <w:tcW w:type="dxa" w:w="187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GrowMailers</w:t>
            </w:r>
          </w:p>
        </w:tc>
        <w:tc>
          <w:tcPr>
            <w:tcW w:type="dxa" w:w="82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Stop all fake warm-up activity on GrowMailers' own outreach domains immediately. A deliverability agency whose own domain is on a blocklist has zero credibility.</w:t>
            </w:r>
          </w:p>
        </w:tc>
      </w:tr>
    </w:tbl>
    <w:p>
      <w:pPr>
        <w:spacing w:after="120" w:before="0"/>
      </w:pPr>
    </w:p>
    <w:p>
      <w:pPr>
        <w:pStyle w:val="Heading1"/>
        <w:keepNext/>
        <w:pageBreakBefore/>
      </w:pPr>
      <w:bookmarkStart w:name="sec_14" w:id="84"/>
      <w:r>
        <w:rPr>
          <w:rFonts w:ascii="Arial" w:cs="Arial" w:eastAsia="Arial" w:hAnsi="Arial"/>
        </w:rPr>
        <w:t xml:space="preserve">14. The Shopping Holiday Calendar</w:t>
      </w:r>
      <w:bookmarkEnd w:id="84"/>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Black Friday falls on November 27, 2026 in all six of our target markets, which is 60 days from the date of this document. The planning year runs from the early-October setup freeze to the following September, and market-specific events such as Boxing Day, Mothering Sunday and Australia's End of Financial Year shape both client calendars and GrowMailers' selling windows. In 2025, US peak grew while the UK, Canada and New Zealand were flat or down. Outside the US, peak revenue is therefore about taking share, not riding overall growth.</w:t>
      </w:r>
    </w:p>
    <w:p>
      <w:pPr>
        <w:pStyle w:val="Heading2"/>
        <w:keepNext/>
      </w:pPr>
      <w:bookmarkStart w:name="sec_14_1" w:id="85"/>
      <w:r>
        <w:rPr>
          <w:rFonts w:ascii="Arial" w:cs="Arial" w:eastAsia="Arial" w:hAnsi="Arial"/>
        </w:rPr>
        <w:t xml:space="preserve">14.1 Key dates: October 2026 to November 2027</w:t>
      </w:r>
      <w:bookmarkEnd w:id="85"/>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66"/>
        <w:gridCol w:w="3292"/>
        <w:gridCol w:w="2331"/>
        <w:gridCol w:w="3291"/>
      </w:tblGrid>
      <w:tr>
        <w:trPr>
          <w:cantSplit/>
          <w:tblHeader/>
        </w:trPr>
        <w:tc>
          <w:tcPr>
            <w:tcW w:type="dxa" w:w="11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Date</w:t>
            </w:r>
          </w:p>
        </w:tc>
        <w:tc>
          <w:tcPr>
            <w:tcW w:type="dxa" w:w="329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Event</w:t>
            </w:r>
          </w:p>
        </w:tc>
        <w:tc>
          <w:tcPr>
            <w:tcW w:type="dxa" w:w="23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Markets</w:t>
            </w:r>
          </w:p>
        </w:tc>
        <w:tc>
          <w:tcPr>
            <w:tcW w:type="dxa" w:w="32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it matters</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6–7,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Big Deal Days</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except NZ</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Counter with bundles and loyalty perks, not deeper discounts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12,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Thanksgiving</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31,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Halloween</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UK, Ireland</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Candy; pet costumes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 1,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Black Friday campaigns begin (Black Friday week is Nov 23–30)</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Month-long UK peak</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 11,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Singles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especially in Australia and NZ</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 26,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Thanksgiving</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 27,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Black Friday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Biggest day for all four product types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 30,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Cyber Monday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All six</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1,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Giving Tuesday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Cause-linked campaigns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14,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Green Monday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Last reliable ground shipping date</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19,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Super Saturday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UK</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Last-minute gifting; digital gift cards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26,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Boxing 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 UK, Ireland, Australia, NZ</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Major sale day outside the US</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 1,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Year</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Resolutions: supplements, health, food</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Feb 6,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Lunar New Year</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Feb 14,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Valentine's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food and drink</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 7,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Mothering Sunday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Ireland</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food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 17,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 Patrick's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 and diaspora</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 26–29,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Easter</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six</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Chocolate,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 9,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Australia, NZ</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Beauty's biggest non-Q4 moment</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June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Australian End of Financial Year sales</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month-long sale period; budgets reset July 1</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 20,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Father's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UK, Ireland</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Grooming, food and drink</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July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except NZ</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Counter-program</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Late Jul–Aug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Back-to-school</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Lunchbox food, routines, supplements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 5,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Father's 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 NZ</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 26,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Black Friday 2027</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bl>
    <w:p>
      <w:pPr>
        <w:spacing w:after="120" w:before="0"/>
      </w:pP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Calendar shift to flag with clients:</w:t>
      </w:r>
      <w:r>
        <w:rPr>
          <w:rFonts w:ascii="Arial" w:cs="Arial" w:eastAsia="Arial" w:hAnsi="Arial"/>
          <w:sz w:val="20"/>
          <w:szCs w:val="20"/>
        </w:rPr>
        <w:t xml:space="preserve"> Cyber Monday moves from December 1 (2025) to November 30 (2026). As a result, November 2026 will look stronger year-over-year and December 2026 will look weaker, purely because of the date change. Warn clients before they read too much into the comparison.</w:t>
      </w:r>
    </w:p>
    <w:p>
      <w:pPr>
        <w:pStyle w:val="Heading2"/>
        <w:keepNext/>
      </w:pPr>
      <w:bookmarkStart w:name="sec_14_2" w:id="86"/>
      <w:r>
        <w:rPr>
          <w:rFonts w:ascii="Arial" w:cs="Arial" w:eastAsia="Arial" w:hAnsi="Arial"/>
        </w:rPr>
        <w:t xml:space="preserve">14.2 How big peak season was in 2025</w:t>
      </w:r>
      <w:bookmarkEnd w:id="86"/>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1"/>
        <w:gridCol w:w="4826"/>
        <w:gridCol w:w="3753"/>
      </w:tblGrid>
      <w:tr>
        <w:trPr>
          <w:cantSplit/>
          <w:tblHeader/>
        </w:trPr>
        <w:tc>
          <w:tcPr>
            <w:tcW w:type="dxa" w:w="150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w:t>
            </w:r>
          </w:p>
        </w:tc>
        <w:tc>
          <w:tcPr>
            <w:tcW w:type="dxa" w:w="482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was measured</w:t>
            </w:r>
          </w:p>
        </w:tc>
        <w:tc>
          <w:tcPr>
            <w:tcW w:type="dxa" w:w="37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2025 result</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Cyber Week online spending</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$44.2B (+7.7%)</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Cyber Monday alone</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$14.25B (+7.1%)</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November–December total</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$257.8B (+6.8%)</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Global</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merchants, Black Friday weekend</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$14.6B (+27%)</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week online</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card payment volume</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online card spending (2024 data)</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€120M (+22%)</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weekend</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Parcels up 6.3%; about A$1.5B spent</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non-food spending</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NZ$55.6M (−6.2%)</w:t>
            </w:r>
          </w:p>
        </w:tc>
      </w:tr>
    </w:tbl>
    <w:p>
      <w:pPr>
        <w:spacing w:after="120" w:before="0"/>
      </w:pPr>
    </w:p>
    <w:p>
      <w:pPr>
        <w:pStyle w:val="Heading3"/>
        <w:keepNext/>
      </w:pPr>
      <w:r>
        <w:rPr>
          <w:rFonts w:ascii="Arial" w:cs="Arial" w:eastAsia="Arial" w:hAnsi="Arial"/>
        </w:rPr>
        <w:t xml:space="preserve">Why peak concentration matters for Ascent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Fact</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Implication</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Cyber Week (5 days) generated 17.1% of the entire US November–December season</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few days carry a large share of the season</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 in 6 US brands takes 30%+ of yearly orders in Black Friday week</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For these brands, a delivery failure that week damages the whole year</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activewear were the strongest 2025 peak categories in the US, UK and Australia</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These categories have the most to lose from delivery problems at peak</w:t>
            </w:r>
          </w:p>
        </w:tc>
      </w:tr>
    </w:tbl>
    <w:p>
      <w:pPr>
        <w:spacing w:after="120" w:before="0"/>
      </w:pPr>
    </w:p>
    <w:p>
      <w:pPr>
        <w:pStyle w:val="Heading3"/>
        <w:keepNext/>
      </w:pPr>
      <w:r>
        <w:rPr>
          <w:rFonts w:ascii="Arial" w:cs="Arial" w:eastAsia="Arial" w:hAnsi="Arial"/>
        </w:rPr>
        <w:t xml:space="preserve">Peak moments by product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3"/>
        <w:gridCol w:w="4398"/>
        <w:gridCol w:w="4399"/>
      </w:tblGrid>
      <w:tr>
        <w:trPr>
          <w:cantSplit/>
          <w:tblHeader/>
        </w:trPr>
        <w:tc>
          <w:tcPr>
            <w:tcW w:type="dxa" w:w="12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43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Biggest moments beyond Black Friday</w:t>
            </w:r>
          </w:p>
        </w:tc>
        <w:tc>
          <w:tcPr>
            <w:tcW w:type="dxa" w:w="439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 program implication</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Beauty</w:t>
            </w:r>
          </w:p>
        </w:tc>
        <w:tc>
          <w:tcPr>
            <w:tcW w:type="dxa" w:w="43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Valentine's Day, Mothering Sunday, Mother's Day, holiday gifting, Singles Day</w:t>
            </w:r>
          </w:p>
        </w:tc>
        <w:tc>
          <w:tcPr>
            <w:tcW w:type="dxa" w:w="43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Gift guides, gift-with-purchase, sets</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Supplements</w:t>
            </w:r>
          </w:p>
        </w:tc>
        <w:tc>
          <w:tcPr>
            <w:tcW w:type="dxa" w:w="43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January resolutions</w:t>
            </w:r>
            <w:r>
              <w:rPr>
                <w:rFonts w:ascii="Arial" w:cs="Arial" w:eastAsia="Arial" w:hAnsi="Arial"/>
                <w:sz w:val="16"/>
                <w:szCs w:val="16"/>
              </w:rPr>
              <w:t xml:space="preserve"> (the supplements "Black Friday"), September back-to-routine</w:t>
            </w:r>
          </w:p>
        </w:tc>
        <w:tc>
          <w:tcPr>
            <w:tcW w:type="dxa" w:w="43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Education series; subscription offers</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Food and drink</w:t>
            </w:r>
          </w:p>
        </w:tc>
        <w:tc>
          <w:tcPr>
            <w:tcW w:type="dxa" w:w="43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Thanksgiving, holiday hampers, Easter, Lunar New Year, summer BBQ</w:t>
            </w:r>
          </w:p>
        </w:tc>
        <w:tc>
          <w:tcPr>
            <w:tcW w:type="dxa" w:w="43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Shipping cut-offs; gifting; perishability</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Pet</w:t>
            </w:r>
          </w:p>
        </w:tc>
        <w:tc>
          <w:tcPr>
            <w:tcW w:type="dxa" w:w="43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Holiday gifting; flea and tick season (spring/summer); adoption anniversaries</w:t>
            </w:r>
          </w:p>
        </w:tc>
        <w:tc>
          <w:tcPr>
            <w:tcW w:type="dxa" w:w="43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Seasonal health sequences; "gotcha day" automations</w:t>
            </w:r>
          </w:p>
        </w:tc>
      </w:tr>
    </w:tbl>
    <w:p>
      <w:pPr>
        <w:spacing w:after="120" w:before="0"/>
      </w:pPr>
    </w:p>
    <w:p>
      <w:pPr>
        <w:pStyle w:val="Heading3"/>
        <w:keepNext/>
      </w:pPr>
      <w:r>
        <w:rPr>
          <w:rFonts w:ascii="Arial" w:cs="Arial" w:eastAsia="Arial" w:hAnsi="Arial"/>
        </w:rPr>
        <w:t xml:space="preserve">Regional notes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7"/>
        <w:gridCol w:w="3531"/>
        <w:gridCol w:w="3532"/>
      </w:tblGrid>
      <w:tr>
        <w:trPr>
          <w:cantSplit/>
          <w:tblHeader/>
        </w:trPr>
        <w:tc>
          <w:tcPr>
            <w:tcW w:type="dxa" w:w="301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w:t>
            </w:r>
          </w:p>
        </w:tc>
        <w:tc>
          <w:tcPr>
            <w:tcW w:type="dxa" w:w="35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Note</w:t>
            </w:r>
          </w:p>
        </w:tc>
        <w:tc>
          <w:tcPr>
            <w:tcW w:type="dxa" w:w="35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Action</w:t>
            </w:r>
          </w:p>
        </w:tc>
      </w:tr>
      <w:tr>
        <w:trPr>
          <w:cantSplit/>
        </w:trPr>
        <w:tc>
          <w:tcPr>
            <w:tcW w:type="dxa" w:w="30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w:t>
            </w:r>
          </w:p>
        </w:tc>
        <w:tc>
          <w:tcPr>
            <w:tcW w:type="dxa" w:w="3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runs all month</w:t>
            </w:r>
          </w:p>
        </w:tc>
        <w:tc>
          <w:tcPr>
            <w:tcW w:type="dxa" w:w="35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segments must be live by late October</w:t>
            </w:r>
          </w:p>
        </w:tc>
      </w:tr>
      <w:tr>
        <w:trPr>
          <w:cantSplit/>
        </w:trPr>
        <w:tc>
          <w:tcPr>
            <w:tcW w:type="dxa" w:w="301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Ireland vs. US, Canada, Australia, NZ</w:t>
            </w:r>
          </w:p>
        </w:tc>
        <w:tc>
          <w:tcPr>
            <w:tcW w:type="dxa" w:w="35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Mothering Sunday (March 7) and Mother's Day (May 9) are two months apart</w:t>
            </w:r>
          </w:p>
        </w:tc>
        <w:tc>
          <w:tcPr>
            <w:tcW w:type="dxa" w:w="35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Multi-market brands need two separate campaign tracks</w:t>
            </w:r>
          </w:p>
        </w:tc>
      </w:tr>
      <w:tr>
        <w:trPr>
          <w:cantSplit/>
        </w:trPr>
        <w:tc>
          <w:tcPr>
            <w:tcW w:type="dxa" w:w="301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Outside the US</w:t>
            </w:r>
          </w:p>
        </w:tc>
        <w:tc>
          <w:tcPr>
            <w:tcW w:type="dxa" w:w="3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Boxing Day is a major sale day</w:t>
            </w:r>
          </w:p>
        </w:tc>
        <w:tc>
          <w:tcPr>
            <w:tcW w:type="dxa" w:w="35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 December list capacity for it</w:t>
            </w:r>
          </w:p>
        </w:tc>
      </w:tr>
      <w:tr>
        <w:trPr>
          <w:cantSplit/>
        </w:trPr>
        <w:tc>
          <w:tcPr>
            <w:tcW w:type="dxa" w:w="301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 and NZ</w:t>
            </w:r>
          </w:p>
        </w:tc>
        <w:tc>
          <w:tcPr>
            <w:tcW w:type="dxa" w:w="35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Summer falls over Christmas</w:t>
            </w:r>
          </w:p>
        </w:tc>
        <w:tc>
          <w:tcPr>
            <w:tcW w:type="dxa" w:w="35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Plan seasonal creative accordingly</w:t>
            </w:r>
          </w:p>
        </w:tc>
      </w:tr>
    </w:tbl>
    <w:p>
      <w:pPr>
        <w:spacing w:after="120" w:before="0"/>
      </w:pPr>
    </w:p>
    <w:p>
      <w:pPr>
        <w:pStyle w:val="Heading2"/>
        <w:keepNext/>
      </w:pPr>
      <w:bookmarkStart w:name="sec_14_3" w:id="87"/>
      <w:r>
        <w:rPr>
          <w:rFonts w:ascii="Arial" w:cs="Arial" w:eastAsia="Arial" w:hAnsi="Arial"/>
        </w:rPr>
        <w:t xml:space="preserve">14.3 Peak season email preparation checklist</w:t>
      </w:r>
      <w:bookmarkEnd w:id="87"/>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4"/>
        <w:gridCol w:w="6366"/>
      </w:tblGrid>
      <w:tr>
        <w:trPr>
          <w:cantSplit/>
          <w:tblHeader/>
        </w:trPr>
        <w:tc>
          <w:tcPr>
            <w:tcW w:type="dxa" w:w="371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Timing</w:t>
            </w:r>
          </w:p>
        </w:tc>
        <w:tc>
          <w:tcPr>
            <w:tcW w:type="dxa" w:w="63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must be done</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weeks out (about mid-Sep)</w:t>
            </w:r>
          </w:p>
        </w:tc>
        <w:tc>
          <w:tcPr>
            <w:tcW w:type="dxa" w:w="63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Security settings final; any new sending domain already warming</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weeks out</w:t>
            </w:r>
          </w:p>
        </w:tc>
        <w:tc>
          <w:tcPr>
            <w:tcW w:type="dxa" w:w="63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clean: sunset run done, bots removed, engagement tiers rebuilt</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 weeks out</w:t>
            </w:r>
          </w:p>
        </w:tc>
        <w:tc>
          <w:tcPr>
            <w:tcW w:type="dxa" w:w="63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Peak calendar drafted; offers agreed with finance (minimum margin per product)</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 weeks out</w:t>
            </w:r>
          </w:p>
        </w:tc>
        <w:tc>
          <w:tcPr>
            <w:tcW w:type="dxa" w:w="63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Volume ramp begins: +1 send per week to engaged and warm tiers</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 weeks out</w:t>
            </w:r>
          </w:p>
        </w:tc>
        <w:tc>
          <w:tcPr>
            <w:tcW w:type="dxa" w:w="63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Segments, email creative and sequences locked; SMS consent list verified</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weeks out</w:t>
            </w:r>
          </w:p>
        </w:tc>
        <w:tc>
          <w:tcPr>
            <w:tcW w:type="dxa" w:w="63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Quality check: links, discount codes, one-click unsubscribe, mobile layout</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Peak week</w:t>
            </w:r>
          </w:p>
        </w:tc>
        <w:tc>
          <w:tcPr>
            <w:tcW w:type="dxa" w:w="63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engaged subscribers first, then wider tiers; check spam and bounces daily</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 week after</w:t>
            </w:r>
          </w:p>
        </w:tc>
        <w:tc>
          <w:tcPr>
            <w:tcW w:type="dxa" w:w="63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Move new buyers out of sale campaigns and into post-purchase sequences</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weeks after</w:t>
            </w:r>
          </w:p>
        </w:tc>
        <w:tc>
          <w:tcPr>
            <w:tcW w:type="dxa" w:w="63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peak-only subscribers who never engaged; plan January win-back</w:t>
            </w:r>
          </w:p>
        </w:tc>
      </w:tr>
    </w:tbl>
    <w:p>
      <w:pPr>
        <w:spacing w:after="120" w:before="0"/>
      </w:pP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The rule that prevents most peak problems:</w:t>
      </w:r>
      <w:r>
        <w:rPr>
          <w:rFonts w:ascii="Arial" w:cs="Arial" w:eastAsia="Arial" w:hAnsi="Arial"/>
          <w:sz w:val="20"/>
          <w:szCs w:val="20"/>
        </w:rPr>
        <w:t xml:space="preserve"> Never let send volume jump suddenly. A list that has been quiet for months and is then blasted on Black Friday will see some of that email land in spam. Brands that paused sending before peak have reported bounce spikes on their first sale email.</w:t>
      </w:r>
    </w:p>
    <w:p>
      <w:pPr>
        <w:pStyle w:val="Heading1"/>
        <w:keepNext/>
        <w:pageBreakBefore/>
      </w:pPr>
      <w:bookmarkStart w:name="sec_15" w:id="88"/>
      <w:r>
        <w:rPr>
          <w:rFonts w:ascii="Arial" w:cs="Arial" w:eastAsia="Arial" w:hAnsi="Arial"/>
        </w:rPr>
        <w:t xml:space="preserve">15. When to Pitch Which Service</w:t>
      </w:r>
      <w:bookmarkEnd w:id="88"/>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Pitch Lhotse when budgets have just reset and there is time to build: January to February, and June to mid-September. From mid-October to year-end, sell only low-risk quick Ascent fixes and book January conversations. As of September 28, 2026, GrowMailers has about three weeks of safe Ascent selling time left before the Black Friday setup freeze, and the next Lhotse window opens January 4, 2027.</w:t>
      </w:r>
    </w:p>
    <w:p>
      <w:pPr>
        <w:pStyle w:val="Heading2"/>
        <w:keepNext/>
      </w:pPr>
      <w:bookmarkStart w:name="sec_15_1" w:id="89"/>
      <w:r>
        <w:rPr>
          <w:rFonts w:ascii="Arial" w:cs="Arial" w:eastAsia="Arial" w:hAnsi="Arial"/>
        </w:rPr>
        <w:t xml:space="preserve">15.1 The master selling calendar</w:t>
      </w:r>
      <w:bookmarkEnd w:id="89"/>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0"/>
        <w:gridCol w:w="1086"/>
        <w:gridCol w:w="930"/>
        <w:gridCol w:w="2482"/>
        <w:gridCol w:w="2481"/>
        <w:gridCol w:w="2171"/>
      </w:tblGrid>
      <w:tr>
        <w:trPr>
          <w:cantSplit/>
          <w:tblHeader/>
        </w:trPr>
        <w:tc>
          <w:tcPr>
            <w:tcW w:type="dxa" w:w="93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Window</w:t>
            </w:r>
          </w:p>
        </w:tc>
        <w:tc>
          <w:tcPr>
            <w:tcW w:type="dxa" w:w="108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Dates</w:t>
            </w:r>
          </w:p>
        </w:tc>
        <w:tc>
          <w:tcPr>
            <w:tcW w:type="dxa" w:w="93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Lead offer</w:t>
            </w:r>
          </w:p>
        </w:tc>
        <w:tc>
          <w:tcPr>
            <w:tcW w:type="dxa" w:w="24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Ascent can cover</w:t>
            </w:r>
          </w:p>
        </w:tc>
        <w:tc>
          <w:tcPr>
            <w:tcW w:type="dxa" w:w="24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w:t>
            </w:r>
          </w:p>
        </w:tc>
        <w:tc>
          <w:tcPr>
            <w:tcW w:type="dxa" w:w="217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Message</w:t>
            </w:r>
          </w:p>
        </w:tc>
      </w:tr>
      <w:tr>
        <w:trPr>
          <w:cantSplit/>
        </w:trPr>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Pre-freeze sprint</w:t>
            </w:r>
          </w:p>
        </w:tc>
        <w:tc>
          <w:tcPr>
            <w:tcW w:type="dxa" w:w="1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Now to Oct 16, 2026</w:t>
            </w:r>
          </w:p>
        </w:tc>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quick fixes</w:t>
            </w:r>
          </w:p>
        </w:tc>
        <w:tc>
          <w:tcPr>
            <w:tcW w:type="dxa" w:w="24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on current domain; alignment; list cleaning; bot removal; spam triage</w:t>
            </w:r>
          </w:p>
        </w:tc>
        <w:tc>
          <w:tcPr>
            <w:tcW w:type="dxa" w:w="24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Book January starts only</w:t>
            </w:r>
          </w:p>
        </w:tc>
        <w:tc>
          <w:tcPr>
            <w:tcW w:type="dxa" w:w="21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"Protect peak without changing your setup"</w:t>
            </w:r>
          </w:p>
        </w:tc>
      </w:tr>
      <w:tr>
        <w:trPr>
          <w:cantSplit/>
        </w:trPr>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Freeze</w:t>
            </w:r>
          </w:p>
        </w:tc>
        <w:tc>
          <w:tcPr>
            <w:tcW w:type="dxa" w:w="1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16–Dec 31, 2026</w:t>
            </w:r>
          </w:p>
        </w:tc>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c>
          <w:tcPr>
            <w:tcW w:type="dxa" w:w="24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Emergency repairs only</w:t>
            </w:r>
          </w:p>
        </w:tc>
        <w:tc>
          <w:tcPr>
            <w:tcW w:type="dxa" w:w="24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 for January</w:t>
            </w:r>
          </w:p>
        </w:tc>
        <w:tc>
          <w:tcPr>
            <w:tcW w:type="dxa" w:w="21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"Let's review your peak data in January"</w:t>
            </w:r>
          </w:p>
        </w:tc>
      </w:tr>
      <w:tr>
        <w:trPr>
          <w:cantSplit/>
        </w:trPr>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Best window</w:t>
            </w:r>
          </w:p>
        </w:tc>
        <w:tc>
          <w:tcPr>
            <w:tcW w:type="dxa" w:w="1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 4–end of Feb 2027</w:t>
            </w:r>
          </w:p>
        </w:tc>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w:t>
            </w:r>
          </w:p>
        </w:tc>
        <w:tc>
          <w:tcPr>
            <w:tcW w:type="dxa" w:w="24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including new sending domains</w:t>
            </w:r>
          </w:p>
        </w:tc>
        <w:tc>
          <w:tcPr>
            <w:tcW w:type="dxa" w:w="24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pitch</w:t>
            </w:r>
          </w:p>
        </w:tc>
        <w:tc>
          <w:tcPr>
            <w:tcW w:type="dxa" w:w="21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budget; here's what peak revealed"</w:t>
            </w:r>
          </w:p>
        </w:tc>
      </w:tr>
      <w:tr>
        <w:trPr>
          <w:cantSplit/>
        </w:trPr>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Steady window</w:t>
            </w:r>
          </w:p>
        </w:tc>
        <w:tc>
          <w:tcPr>
            <w:tcW w:type="dxa" w:w="1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Mar–May 2027</w:t>
            </w:r>
          </w:p>
        </w:tc>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w:t>
            </w:r>
          </w:p>
        </w:tc>
        <w:tc>
          <w:tcPr>
            <w:tcW w:type="dxa" w:w="24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w:t>
            </w:r>
          </w:p>
        </w:tc>
        <w:tc>
          <w:tcPr>
            <w:tcW w:type="dxa" w:w="24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non-gifting brands; Australia before EOFY</w:t>
            </w:r>
          </w:p>
        </w:tc>
        <w:tc>
          <w:tcPr>
            <w:tcW w:type="dxa" w:w="21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 the system before summer"</w:t>
            </w:r>
          </w:p>
        </w:tc>
      </w:tr>
      <w:tr>
        <w:trPr>
          <w:cantSplit/>
        </w:trPr>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Second-best window</w:t>
            </w:r>
          </w:p>
        </w:tc>
        <w:tc>
          <w:tcPr>
            <w:tcW w:type="dxa" w:w="1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Jun–mid-Sep 2027</w:t>
            </w:r>
          </w:p>
        </w:tc>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w:t>
            </w:r>
          </w:p>
        </w:tc>
        <w:tc>
          <w:tcPr>
            <w:tcW w:type="dxa" w:w="24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new domains warming by ~Sep 17</w:t>
            </w:r>
          </w:p>
        </w:tc>
        <w:tc>
          <w:tcPr>
            <w:tcW w:type="dxa" w:w="24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Aim for starts by early August</w:t>
            </w:r>
          </w:p>
        </w:tc>
        <w:tc>
          <w:tcPr>
            <w:tcW w:type="dxa" w:w="21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is won in summer"</w:t>
            </w:r>
          </w:p>
        </w:tc>
      </w:tr>
    </w:tbl>
    <w:p>
      <w:pPr>
        <w:spacing w:after="120" w:before="0"/>
      </w:pPr>
    </w:p>
    <w:p>
      <w:pPr>
        <w:pStyle w:val="Heading3"/>
        <w:keepNext/>
      </w:pPr>
      <w:r>
        <w:rPr>
          <w:rFonts w:ascii="Arial" w:cs="Arial" w:eastAsia="Arial" w:hAnsi="Arial"/>
        </w:rPr>
        <w:t xml:space="preserve">Why this rhythm matters</w:t>
      </w:r>
    </w:p>
    <w:p>
      <w:r>
        <w:rPr>
          <w:rFonts w:ascii="Arial" w:cs="Arial" w:eastAsia="Arial" w:hAnsi="Arial"/>
          <w:sz w:val="20"/>
          <w:szCs w:val="20"/>
        </w:rPr>
        <w:t xml:space="preserve">Klaviyo's own checklist says Black Friday is won in summer, with setup, segments and automated sequences final by early October. Email agencies advise brands to hire email partners 8 to 12 weeks before Black Friday.</w:t>
      </w:r>
    </w:p>
    <w:p>
      <w:r>
        <w:rPr>
          <w:rFonts w:ascii="Arial" w:cs="Arial" w:eastAsia="Arial" w:hAnsi="Arial"/>
          <w:sz w:val="20"/>
          <w:szCs w:val="20"/>
        </w:rPr>
        <w:t xml:space="preserve">Most teams freeze changes in November, and getting set up takes 2 to 3 weeks. A retainer pitched in late October is nearly impossible to deliver well and very easy to lose.</w:t>
      </w:r>
    </w:p>
    <w:p>
      <w:pPr>
        <w:pStyle w:val="Heading3"/>
        <w:keepNext/>
      </w:pPr>
      <w:r>
        <w:rPr>
          <w:rFonts w:ascii="Arial" w:cs="Arial" w:eastAsia="Arial" w:hAnsi="Arial"/>
        </w:rPr>
        <w:t xml:space="preserve">Which service to pitch, based on today's date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8"/>
        <w:gridCol w:w="3616"/>
        <w:gridCol w:w="3616"/>
      </w:tblGrid>
      <w:tr>
        <w:trPr>
          <w:cantSplit/>
          <w:tblHeader/>
        </w:trPr>
        <w:tc>
          <w:tcPr>
            <w:tcW w:type="dxa" w:w="28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Where today falls relative to Black Friday</w:t>
            </w:r>
          </w:p>
        </w:tc>
        <w:tc>
          <w:tcPr>
            <w:tcW w:type="dxa" w:w="36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Condition</w:t>
            </w:r>
          </w:p>
        </w:tc>
        <w:tc>
          <w:tcPr>
            <w:tcW w:type="dxa" w:w="36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pitch</w:t>
            </w:r>
          </w:p>
        </w:tc>
      </w:tr>
      <w:tr>
        <w:trPr>
          <w:cantSplit/>
        </w:trPr>
        <w:tc>
          <w:tcPr>
            <w:tcW w:type="dxa" w:w="28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12 weeks before</w:t>
            </w:r>
          </w:p>
        </w:tc>
        <w:tc>
          <w:tcPr>
            <w:tcW w:type="dxa" w:w="36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makes $3M–$20M in a target product type and LFS is 40 or higher</w:t>
            </w:r>
          </w:p>
        </w:tc>
        <w:tc>
          <w:tcPr>
            <w:tcW w:type="dxa" w:w="36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 first, then Lhotse</w:t>
            </w:r>
          </w:p>
        </w:tc>
      </w:tr>
      <w:tr>
        <w:trPr>
          <w:cantSplit/>
        </w:trPr>
        <w:tc>
          <w:tcPr>
            <w:tcW w:type="dxa" w:w="28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12 weeks before</w:t>
            </w:r>
          </w:p>
        </w:tc>
        <w:tc>
          <w:tcPr>
            <w:tcW w:type="dxa" w:w="36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makes $3M–$20M in a target product type and LFS is below 40</w:t>
            </w:r>
          </w:p>
        </w:tc>
        <w:tc>
          <w:tcPr>
            <w:tcW w:type="dxa" w:w="36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 first</w:t>
            </w:r>
          </w:p>
        </w:tc>
      </w:tr>
      <w:tr>
        <w:trPr>
          <w:cantSplit/>
        </w:trPr>
        <w:tc>
          <w:tcPr>
            <w:tcW w:type="dxa" w:w="28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12 weeks before</w:t>
            </w:r>
          </w:p>
        </w:tc>
        <w:tc>
          <w:tcPr>
            <w:tcW w:type="dxa" w:w="36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is outside $3M–$20M ($1M–$3M or $20M+)</w:t>
            </w:r>
          </w:p>
        </w:tc>
        <w:tc>
          <w:tcPr>
            <w:tcW w:type="dxa" w:w="36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 only</w:t>
            </w:r>
          </w:p>
        </w:tc>
      </w:tr>
      <w:tr>
        <w:trPr>
          <w:cantSplit/>
        </w:trPr>
        <w:tc>
          <w:tcPr>
            <w:tcW w:type="dxa" w:w="28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 to 12 weeks before</w:t>
            </w:r>
          </w:p>
        </w:tc>
        <w:tc>
          <w:tcPr>
            <w:tcW w:type="dxa" w:w="36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Any qualified brand</w:t>
            </w:r>
          </w:p>
        </w:tc>
        <w:tc>
          <w:tcPr>
            <w:tcW w:type="dxa" w:w="36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w:t>
            </w:r>
            <w:r>
              <w:rPr>
                <w:rFonts w:ascii="Arial" w:cs="Arial" w:eastAsia="Arial" w:hAnsi="Arial"/>
                <w:sz w:val="16"/>
                <w:szCs w:val="16"/>
              </w:rPr>
              <w:t xml:space="preserve"> on current domain only; Lhotse proposals dated January</w:t>
            </w:r>
          </w:p>
        </w:tc>
      </w:tr>
      <w:tr>
        <w:trPr>
          <w:cantSplit/>
        </w:trPr>
        <w:tc>
          <w:tcPr>
            <w:tcW w:type="dxa" w:w="28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Within 6 weeks, or during the freeze</w:t>
            </w:r>
          </w:p>
        </w:tc>
        <w:tc>
          <w:tcPr>
            <w:tcW w:type="dxa" w:w="36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Any brand</w:t>
            </w:r>
          </w:p>
        </w:tc>
        <w:tc>
          <w:tcPr>
            <w:tcW w:type="dxa" w:w="36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 new projects</w:t>
            </w:r>
            <w:r>
              <w:rPr>
                <w:rFonts w:ascii="Arial" w:cs="Arial" w:eastAsia="Arial" w:hAnsi="Arial"/>
                <w:sz w:val="16"/>
                <w:szCs w:val="16"/>
              </w:rPr>
              <w:t xml:space="preserve">; emergency repairs; book January calls</w:t>
            </w:r>
          </w:p>
        </w:tc>
      </w:tr>
      <w:tr>
        <w:trPr>
          <w:cantSplit/>
        </w:trPr>
        <w:tc>
          <w:tcPr>
            <w:tcW w:type="dxa" w:w="28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January to February</w:t>
            </w:r>
          </w:p>
        </w:tc>
        <w:tc>
          <w:tcPr>
            <w:tcW w:type="dxa" w:w="36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Any qualified brand</w:t>
            </w:r>
          </w:p>
        </w:tc>
        <w:tc>
          <w:tcPr>
            <w:tcW w:type="dxa" w:w="36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w:t>
            </w:r>
            <w:r>
              <w:rPr>
                <w:rFonts w:ascii="Arial" w:cs="Arial" w:eastAsia="Arial" w:hAnsi="Arial"/>
                <w:sz w:val="16"/>
                <w:szCs w:val="16"/>
              </w:rPr>
              <w:t xml:space="preserve">, with Ascent folded into onboarding if needed</w:t>
            </w:r>
          </w:p>
        </w:tc>
      </w:tr>
    </w:tbl>
    <w:p>
      <w:pPr>
        <w:spacing w:after="120" w:before="0"/>
      </w:pPr>
    </w:p>
    <w:p>
      <w:pPr>
        <w:pStyle w:val="Heading2"/>
        <w:keepNext/>
      </w:pPr>
      <w:bookmarkStart w:name="sec_15_2" w:id="90"/>
      <w:r>
        <w:rPr>
          <w:rFonts w:ascii="Arial" w:cs="Arial" w:eastAsia="Arial" w:hAnsi="Arial"/>
        </w:rPr>
        <w:t xml:space="preserve">15.2 Planning backward from Black Friday 2027</w:t>
      </w:r>
      <w:bookmarkEnd w:id="90"/>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2"/>
        <w:gridCol w:w="2364"/>
        <w:gridCol w:w="5974"/>
      </w:tblGrid>
      <w:tr>
        <w:trPr>
          <w:cantSplit/>
          <w:tblHeader/>
        </w:trPr>
        <w:tc>
          <w:tcPr>
            <w:tcW w:type="dxa" w:w="17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Month</w:t>
            </w:r>
          </w:p>
        </w:tc>
        <w:tc>
          <w:tcPr>
            <w:tcW w:type="dxa" w:w="23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Stage</w:t>
            </w:r>
          </w:p>
        </w:tc>
        <w:tc>
          <w:tcPr>
            <w:tcW w:type="dxa" w:w="597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Detail</w:t>
            </w:r>
          </w:p>
        </w:tc>
      </w:tr>
      <w:tr>
        <w:trPr>
          <w:cantSplit/>
        </w:trPr>
        <w:tc>
          <w:tcPr>
            <w:tcW w:type="dxa" w:w="17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June 2027</w:t>
            </w:r>
          </w:p>
        </w:tc>
        <w:tc>
          <w:tcPr>
            <w:tcW w:type="dxa" w:w="23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Pitch and discovery</w:t>
            </w:r>
          </w:p>
        </w:tc>
        <w:tc>
          <w:tcPr>
            <w:tcW w:type="dxa" w:w="59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First conversations and needs assessment</w:t>
            </w:r>
          </w:p>
        </w:tc>
      </w:tr>
      <w:tr>
        <w:trPr>
          <w:cantSplit/>
        </w:trPr>
        <w:tc>
          <w:tcPr>
            <w:tcW w:type="dxa" w:w="17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July 2027</w:t>
            </w:r>
          </w:p>
        </w:tc>
        <w:tc>
          <w:tcPr>
            <w:tcW w:type="dxa" w:w="23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Contract</w:t>
            </w:r>
          </w:p>
        </w:tc>
        <w:tc>
          <w:tcPr>
            <w:tcW w:type="dxa" w:w="59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Latest sensible signing date: early August</w:t>
            </w:r>
          </w:p>
        </w:tc>
      </w:tr>
      <w:tr>
        <w:trPr>
          <w:cantSplit/>
        </w:trPr>
        <w:tc>
          <w:tcPr>
            <w:tcW w:type="dxa" w:w="17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August 2027</w:t>
            </w:r>
          </w:p>
        </w:tc>
        <w:tc>
          <w:tcPr>
            <w:tcW w:type="dxa" w:w="23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Onboarding</w:t>
            </w:r>
          </w:p>
        </w:tc>
        <w:tc>
          <w:tcPr>
            <w:tcW w:type="dxa" w:w="59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Takes 2 to 3 weeks</w:t>
            </w:r>
          </w:p>
        </w:tc>
      </w:tr>
      <w:tr>
        <w:trPr>
          <w:cantSplit/>
        </w:trPr>
        <w:tc>
          <w:tcPr>
            <w:tcW w:type="dxa" w:w="17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September 2027</w:t>
            </w:r>
          </w:p>
        </w:tc>
        <w:tc>
          <w:tcPr>
            <w:tcW w:type="dxa" w:w="23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w:t>
            </w:r>
          </w:p>
        </w:tc>
        <w:tc>
          <w:tcPr>
            <w:tcW w:type="dxa" w:w="59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Sequences rebuilt; new domain warming by about Sep 17</w:t>
            </w:r>
          </w:p>
        </w:tc>
      </w:tr>
      <w:tr>
        <w:trPr>
          <w:cantSplit/>
        </w:trPr>
        <w:tc>
          <w:tcPr>
            <w:tcW w:type="dxa" w:w="17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October 2027</w:t>
            </w:r>
          </w:p>
        </w:tc>
        <w:tc>
          <w:tcPr>
            <w:tcW w:type="dxa" w:w="23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Setup lock</w:t>
            </w:r>
          </w:p>
        </w:tc>
        <w:tc>
          <w:tcPr>
            <w:tcW w:type="dxa" w:w="59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Everything final by early October</w:t>
            </w:r>
          </w:p>
        </w:tc>
      </w:tr>
      <w:tr>
        <w:trPr>
          <w:cantSplit/>
        </w:trPr>
        <w:tc>
          <w:tcPr>
            <w:tcW w:type="dxa" w:w="17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 26, 2027</w:t>
            </w:r>
          </w:p>
        </w:tc>
        <w:tc>
          <w:tcPr>
            <w:tcW w:type="dxa" w:w="23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w:t>
            </w:r>
          </w:p>
        </w:tc>
        <w:tc>
          <w:tcPr>
            <w:tcW w:type="dxa" w:w="59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Program runs on the finished setup</w:t>
            </w:r>
          </w:p>
        </w:tc>
      </w:tr>
    </w:tbl>
    <w:p>
      <w:pPr>
        <w:spacing w:after="120" w:before="0"/>
      </w:pPr>
    </w:p>
    <w:p>
      <w:r>
        <w:rPr>
          <w:rFonts w:ascii="Arial" w:cs="Arial" w:eastAsia="Arial" w:hAnsi="Arial"/>
          <w:sz w:val="20"/>
          <w:szCs w:val="20"/>
        </w:rPr>
        <w:t xml:space="preserve">For a Lhotse client to be fully ready for peak, the latest sensible contract date is early August. After that, pitch a January start instead.</w:t>
      </w:r>
    </w:p>
    <w:p>
      <w:pPr>
        <w:pStyle w:val="Heading2"/>
        <w:keepNext/>
      </w:pPr>
      <w:bookmarkStart w:name="sec_15_3" w:id="91"/>
      <w:r>
        <w:rPr>
          <w:rFonts w:ascii="Arial" w:cs="Arial" w:eastAsia="Arial" w:hAnsi="Arial"/>
        </w:rPr>
        <w:t xml:space="preserve">15.3 How long each deal typically takes</w:t>
      </w:r>
      <w:bookmarkEnd w:id="91"/>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1"/>
        <w:gridCol w:w="3077"/>
        <w:gridCol w:w="4002"/>
      </w:tblGrid>
      <w:tr>
        <w:trPr>
          <w:cantSplit/>
          <w:tblHeader/>
        </w:trPr>
        <w:tc>
          <w:tcPr>
            <w:tcW w:type="dxa" w:w="300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Service and client type</w:t>
            </w:r>
          </w:p>
        </w:tc>
        <w:tc>
          <w:tcPr>
            <w:tcW w:type="dxa" w:w="30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Typical time from first contact to signed</w:t>
            </w:r>
          </w:p>
        </w:tc>
        <w:tc>
          <w:tcPr>
            <w:tcW w:type="dxa" w:w="40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Implication</w:t>
            </w:r>
          </w:p>
        </w:tc>
      </w:tr>
      <w:tr>
        <w:trPr>
          <w:cantSplit/>
        </w:trPr>
        <w:tc>
          <w:tcPr>
            <w:tcW w:type="dxa" w:w="30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founder decides</w:t>
            </w:r>
          </w:p>
        </w:tc>
        <w:tc>
          <w:tcPr>
            <w:tcW w:type="dxa" w:w="30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weeks</w:t>
            </w:r>
          </w:p>
        </w:tc>
        <w:tc>
          <w:tcPr>
            <w:tcW w:type="dxa" w:w="40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 close within the pre-freeze sprint</w:t>
            </w:r>
          </w:p>
        </w:tc>
      </w:tr>
      <w:tr>
        <w:trPr>
          <w:cantSplit/>
        </w:trPr>
        <w:tc>
          <w:tcPr>
            <w:tcW w:type="dxa" w:w="30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marketing lead + VP decides</w:t>
            </w:r>
          </w:p>
        </w:tc>
        <w:tc>
          <w:tcPr>
            <w:tcW w:type="dxa" w:w="30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 weeks</w:t>
            </w:r>
          </w:p>
        </w:tc>
        <w:tc>
          <w:tcPr>
            <w:tcW w:type="dxa" w:w="40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by late September for October delivery</w:t>
            </w:r>
          </w:p>
        </w:tc>
      </w:tr>
      <w:tr>
        <w:trPr>
          <w:cantSplit/>
        </w:trPr>
        <w:tc>
          <w:tcPr>
            <w:tcW w:type="dxa" w:w="30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enterprise with IT involved</w:t>
            </w:r>
          </w:p>
        </w:tc>
        <w:tc>
          <w:tcPr>
            <w:tcW w:type="dxa" w:w="30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3–6 weeks</w:t>
            </w:r>
          </w:p>
        </w:tc>
        <w:tc>
          <w:tcPr>
            <w:tcW w:type="dxa" w:w="40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sold in January or summer; expect a security review for DNS access</w:t>
            </w:r>
          </w:p>
        </w:tc>
      </w:tr>
      <w:tr>
        <w:trPr>
          <w:cantSplit/>
        </w:trPr>
        <w:tc>
          <w:tcPr>
            <w:tcW w:type="dxa" w:w="30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founder decides</w:t>
            </w:r>
          </w:p>
        </w:tc>
        <w:tc>
          <w:tcPr>
            <w:tcW w:type="dxa" w:w="30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 weeks</w:t>
            </w:r>
          </w:p>
        </w:tc>
        <w:tc>
          <w:tcPr>
            <w:tcW w:type="dxa" w:w="40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Pitch in January, start in February</w:t>
            </w:r>
          </w:p>
        </w:tc>
      </w:tr>
      <w:tr>
        <w:trPr>
          <w:cantSplit/>
        </w:trPr>
        <w:tc>
          <w:tcPr>
            <w:tcW w:type="dxa" w:w="30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VP or Head of Growth decides</w:t>
            </w:r>
          </w:p>
        </w:tc>
        <w:tc>
          <w:tcPr>
            <w:tcW w:type="dxa" w:w="30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4–8 weeks</w:t>
            </w:r>
          </w:p>
        </w:tc>
        <w:tc>
          <w:tcPr>
            <w:tcW w:type="dxa" w:w="40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in early January for March starts</w:t>
            </w:r>
          </w:p>
        </w:tc>
      </w:tr>
      <w:tr>
        <w:trPr>
          <w:cantSplit/>
        </w:trPr>
        <w:tc>
          <w:tcPr>
            <w:tcW w:type="dxa" w:w="30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CMO + finance reviews</w:t>
            </w:r>
          </w:p>
        </w:tc>
        <w:tc>
          <w:tcPr>
            <w:tcW w:type="dxa" w:w="30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6–12 weeks</w:t>
            </w:r>
          </w:p>
        </w:tc>
        <w:tc>
          <w:tcPr>
            <w:tcW w:type="dxa" w:w="40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pitching in November or December for Q1 decisions</w:t>
            </w:r>
          </w:p>
        </w:tc>
      </w:tr>
    </w:tbl>
    <w:p>
      <w:pPr>
        <w:spacing w:after="120" w:before="0"/>
      </w:pPr>
    </w:p>
    <w:p>
      <w:pPr>
        <w:spacing w:after="160" w:before="0"/>
      </w:pPr>
      <w:r>
        <w:rPr>
          <w:rFonts w:ascii="Arial" w:cs="Arial" w:eastAsia="Arial" w:hAnsi="Arial"/>
          <w:i/>
          <w:iCs/>
          <w:color w:val="5B6573"/>
          <w:sz w:val="16"/>
          <w:szCs w:val="16"/>
        </w:rPr>
        <w:t xml:space="preserve">Planning estimates. Calibrate against GrowMailers' real closed deals.</w:t>
      </w:r>
    </w:p>
    <w:p>
      <w:pPr>
        <w:pStyle w:val="Heading3"/>
        <w:keepNext/>
      </w:pPr>
      <w:r>
        <w:rPr>
          <w:rFonts w:ascii="Arial" w:cs="Arial" w:eastAsia="Arial" w:hAnsi="Arial"/>
        </w:rPr>
        <w:t xml:space="preserve">How many accounts to audit each month</w:t>
      </w:r>
    </w:p>
    <w:p>
      <w:r>
        <w:rPr>
          <w:rFonts w:ascii="Arial" w:cs="Arial" w:eastAsia="Arial" w:hAnsi="Arial"/>
          <w:sz w:val="20"/>
          <w:szCs w:val="20"/>
        </w:rPr>
        <w:t xml:space="preserve">The formula is: accounts to audit per month = target clients ÷ (reply rate × meeting rate × close rate). The worked example below uses a target of 2 clients per month.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1"/>
        <w:gridCol w:w="3794"/>
        <w:gridCol w:w="3685"/>
      </w:tblGrid>
      <w:tr>
        <w:trPr>
          <w:cantSplit/>
          <w:tblHeader/>
        </w:trPr>
        <w:tc>
          <w:tcPr>
            <w:tcW w:type="dxa" w:w="260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379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Calculation</w:t>
            </w:r>
          </w:p>
        </w:tc>
        <w:tc>
          <w:tcPr>
            <w:tcW w:type="dxa" w:w="368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Result</w:t>
            </w:r>
          </w:p>
        </w:tc>
      </w:tr>
      <w:tr>
        <w:trPr>
          <w:cantSplit/>
        </w:trPr>
        <w:tc>
          <w:tcPr>
            <w:tcW w:type="dxa" w:w="26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Combined conversion rate</w:t>
            </w:r>
          </w:p>
        </w:tc>
        <w:tc>
          <w:tcPr>
            <w:tcW w:type="dxa" w:w="37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reply × 50% meeting × 25% close</w:t>
            </w:r>
          </w:p>
        </w:tc>
        <w:tc>
          <w:tcPr>
            <w:tcW w:type="dxa" w:w="36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0.0125</w:t>
            </w:r>
          </w:p>
        </w:tc>
      </w:tr>
      <w:tr>
        <w:trPr>
          <w:cantSplit/>
        </w:trPr>
        <w:tc>
          <w:tcPr>
            <w:tcW w:type="dxa" w:w="26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Audits needed per month</w:t>
            </w:r>
          </w:p>
        </w:tc>
        <w:tc>
          <w:tcPr>
            <w:tcW w:type="dxa" w:w="37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clients ÷ 0.0125</w:t>
            </w:r>
          </w:p>
        </w:tc>
        <w:tc>
          <w:tcPr>
            <w:tcW w:type="dxa" w:w="368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160 audits</w:t>
            </w:r>
          </w:p>
        </w:tc>
      </w:tr>
      <w:tr>
        <w:trPr>
          <w:cantSplit/>
        </w:trPr>
        <w:tc>
          <w:tcPr>
            <w:tcW w:type="dxa" w:w="26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Audits needed per week</w:t>
            </w:r>
          </w:p>
        </w:tc>
        <w:tc>
          <w:tcPr>
            <w:tcW w:type="dxa" w:w="37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160 ÷ 4</w:t>
            </w:r>
          </w:p>
        </w:tc>
        <w:tc>
          <w:tcPr>
            <w:tcW w:type="dxa" w:w="36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40</w:t>
            </w:r>
          </w:p>
        </w:tc>
      </w:tr>
      <w:tr>
        <w:trPr>
          <w:cantSplit/>
        </w:trPr>
        <w:tc>
          <w:tcPr>
            <w:tcW w:type="dxa" w:w="26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Researcher time</w:t>
            </w:r>
          </w:p>
        </w:tc>
        <w:tc>
          <w:tcPr>
            <w:tcW w:type="dxa" w:w="37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 audits at 15–20 minutes each</w:t>
            </w:r>
          </w:p>
        </w:tc>
        <w:tc>
          <w:tcPr>
            <w:tcW w:type="dxa" w:w="368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two researcher-days per week</w:t>
            </w:r>
          </w:p>
        </w:tc>
      </w:tr>
    </w:tbl>
    <w:p>
      <w:pPr>
        <w:spacing w:after="120" w:before="0"/>
      </w:pPr>
    </w:p>
    <w:p>
      <w:pPr>
        <w:pStyle w:val="Heading3"/>
        <w:keepNext/>
      </w:pPr>
      <w:r>
        <w:rPr>
          <w:rFonts w:ascii="Arial" w:cs="Arial" w:eastAsia="Arial" w:hAnsi="Arial"/>
        </w:rPr>
        <w:t xml:space="preserve">Weekly rhythm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6"/>
        <w:gridCol w:w="7444"/>
      </w:tblGrid>
      <w:tr>
        <w:trPr>
          <w:cantSplit/>
          <w:tblHeader/>
        </w:trPr>
        <w:tc>
          <w:tcPr>
            <w:tcW w:type="dxa" w:w="26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Day</w:t>
            </w:r>
          </w:p>
        </w:tc>
        <w:tc>
          <w:tcPr>
            <w:tcW w:type="dxa" w:w="74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Activity</w:t>
            </w:r>
          </w:p>
        </w:tc>
      </w:tr>
      <w:tr>
        <w:trPr>
          <w:cantSplit/>
        </w:trPr>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Monday</w:t>
            </w:r>
          </w:p>
        </w:tc>
        <w:tc>
          <w:tcPr>
            <w:tcW w:type="dxa" w:w="74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 and score about 50 prospect accounts</w:t>
            </w:r>
          </w:p>
        </w:tc>
      </w:tr>
      <w:tr>
        <w:trPr>
          <w:cantSplit/>
        </w:trPr>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Tuesday–Wednesday</w:t>
            </w:r>
          </w:p>
        </w:tc>
        <w:tc>
          <w:tcPr>
            <w:tcW w:type="dxa" w:w="74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 about 40 external audits and record 10–15 short videos</w:t>
            </w:r>
          </w:p>
        </w:tc>
      </w:tr>
      <w:tr>
        <w:trPr>
          <w:cantSplit/>
        </w:trPr>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Thursday</w:t>
            </w:r>
          </w:p>
        </w:tc>
        <w:tc>
          <w:tcPr>
            <w:tcW w:type="dxa" w:w="74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Follow-ups, discovery calls and proposals</w:t>
            </w:r>
          </w:p>
        </w:tc>
      </w:tr>
      <w:tr>
        <w:trPr>
          <w:cantSplit/>
        </w:trPr>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Friday</w:t>
            </w:r>
          </w:p>
        </w:tc>
        <w:tc>
          <w:tcPr>
            <w:tcW w:type="dxa" w:w="74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Pipeline review, re-scoring and a health check on GrowMailers' own outreach domains</w:t>
            </w:r>
          </w:p>
        </w:tc>
      </w:tr>
    </w:tbl>
    <w:p>
      <w:pPr>
        <w:spacing w:after="120" w:before="0"/>
      </w:pPr>
    </w:p>
    <w:p>
      <w:pPr>
        <w:pStyle w:val="Heading2"/>
        <w:keepNext/>
      </w:pPr>
      <w:bookmarkStart w:name="sec_15_4" w:id="92"/>
      <w:r>
        <w:rPr>
          <w:rFonts w:ascii="Arial" w:cs="Arial" w:eastAsia="Arial" w:hAnsi="Arial"/>
        </w:rPr>
        <w:t xml:space="preserve">15.4 Priority by market and time of year</w:t>
      </w:r>
      <w:bookmarkEnd w:id="92"/>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1283"/>
        <w:gridCol w:w="2291"/>
        <w:gridCol w:w="2474"/>
        <w:gridCol w:w="3024"/>
      </w:tblGrid>
      <w:tr>
        <w:trPr>
          <w:cantSplit/>
          <w:tblHeader/>
        </w:trPr>
        <w:tc>
          <w:tcPr>
            <w:tcW w:type="dxa" w:w="10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Time of year</w:t>
            </w:r>
          </w:p>
        </w:tc>
        <w:tc>
          <w:tcPr>
            <w:tcW w:type="dxa" w:w="12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US</w:t>
            </w:r>
          </w:p>
        </w:tc>
        <w:tc>
          <w:tcPr>
            <w:tcW w:type="dxa" w:w="22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UK and Ireland</w:t>
            </w:r>
          </w:p>
        </w:tc>
        <w:tc>
          <w:tcPr>
            <w:tcW w:type="dxa" w:w="247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Canada</w:t>
            </w:r>
          </w:p>
        </w:tc>
        <w:tc>
          <w:tcPr>
            <w:tcW w:type="dxa" w:w="302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Australia and NZ</w:t>
            </w:r>
          </w:p>
        </w:tc>
      </w:tr>
      <w:tr>
        <w:trPr>
          <w:cantSplit/>
        </w:trPr>
        <w:tc>
          <w:tcPr>
            <w:tcW w:type="dxa" w:w="10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Jan–Feb</w:t>
            </w:r>
          </w:p>
        </w:tc>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(non-gifting)</w:t>
            </w:r>
          </w:p>
        </w:tc>
        <w:tc>
          <w:tcPr>
            <w:tcW w:type="dxa" w:w="24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(legal-compliant only)</w:t>
            </w:r>
          </w:p>
        </w:tc>
        <w:tc>
          <w:tcPr>
            <w:tcW w:type="dxa" w:w="30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r>
      <w:tr>
        <w:trPr>
          <w:cantSplit/>
        </w:trPr>
        <w:tc>
          <w:tcPr>
            <w:tcW w:type="dxa" w:w="10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Mar–May</w:t>
            </w:r>
          </w:p>
        </w:tc>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4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(ready for EOFY by early May)</w:t>
            </w:r>
          </w:p>
        </w:tc>
      </w:tr>
      <w:tr>
        <w:trPr>
          <w:cantSplit/>
        </w:trPr>
        <w:tc>
          <w:tcPr>
            <w:tcW w:type="dxa" w:w="10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Jun–Aug</w:t>
            </w:r>
          </w:p>
        </w:tc>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4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(new budgets from July)</w:t>
            </w:r>
          </w:p>
        </w:tc>
      </w:tr>
      <w:tr>
        <w:trPr>
          <w:cantSplit/>
        </w:trPr>
        <w:tc>
          <w:tcPr>
            <w:tcW w:type="dxa" w:w="10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Sep–mid-Oct</w:t>
            </w:r>
          </w:p>
        </w:tc>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Ascent only</w:t>
            </w:r>
          </w:p>
        </w:tc>
        <w:tc>
          <w:tcPr>
            <w:tcW w:type="dxa" w:w="2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(UK peak starts Nov 1)</w:t>
            </w:r>
          </w:p>
        </w:tc>
        <w:tc>
          <w:tcPr>
            <w:tcW w:type="dxa" w:w="24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r>
      <w:tr>
        <w:trPr>
          <w:cantSplit/>
        </w:trPr>
        <w:tc>
          <w:tcPr>
            <w:tcW w:type="dxa" w:w="10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Mid-Oct–Dec</w:t>
            </w:r>
          </w:p>
        </w:tc>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c>
          <w:tcPr>
            <w:tcW w:type="dxa" w:w="2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c>
          <w:tcPr>
            <w:tcW w:type="dxa" w:w="24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c>
          <w:tcPr>
            <w:tcW w:type="dxa" w:w="30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r>
    </w:tbl>
    <w:p>
      <w:pPr>
        <w:spacing w:after="120" w:before="0"/>
      </w:pPr>
    </w:p>
    <w:p>
      <w:pPr>
        <w:pStyle w:val="Heading1"/>
        <w:keepNext/>
        <w:pageBreakBefore/>
      </w:pPr>
      <w:bookmarkStart w:name="sec_16" w:id="93"/>
      <w:r>
        <w:rPr>
          <w:rFonts w:ascii="Arial" w:cs="Arial" w:eastAsia="Arial" w:hAnsi="Arial"/>
        </w:rPr>
        <w:t xml:space="preserve">16. Email Marketing Laws by Country</w:t>
      </w:r>
      <w:bookmarkEnd w:id="93"/>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Cold email to businesses is easiest in the US, which runs an opt-out system (brands can email first, and recipients unsubscribe if they do not want it). It is more restricted in the UK (only companies registered with the government are fully safe) and tightly regulated in Canada and Ireland (where only specific published addresses work), while Australia and New Zealand use consent-based rules with some automatic exemptions for business addresses. Cold text messages are banned everywhere. In every country, GrowMailers must identify itself honestly, include a mailing address and a working way to unsubscribe, record where each contact came from, and never buy lists.</w:t>
      </w:r>
    </w:p>
    <w:p>
      <w:pPr>
        <w:spacing w:after="160" w:before="0"/>
      </w:pPr>
      <w:r>
        <w:rPr>
          <w:rFonts w:ascii="Arial" w:cs="Arial" w:eastAsia="Arial" w:hAnsi="Arial"/>
          <w:i/>
          <w:iCs/>
          <w:color w:val="5B6573"/>
          <w:sz w:val="16"/>
          <w:szCs w:val="16"/>
        </w:rPr>
        <w:t xml:space="preserve">This section is research, not legal advice. Confirm each country's rules with a lawyer before scaling outreach there.</w:t>
      </w:r>
    </w:p>
    <w:p>
      <w:pPr>
        <w:pStyle w:val="Heading2"/>
        <w:keepNext/>
      </w:pPr>
      <w:bookmarkStart w:name="sec_16_1" w:id="94"/>
      <w:r>
        <w:rPr>
          <w:rFonts w:ascii="Arial" w:cs="Arial" w:eastAsia="Arial" w:hAnsi="Arial"/>
        </w:rPr>
        <w:t xml:space="preserve">16.1 Rules that apply everywhere</w:t>
      </w:r>
      <w:bookmarkEnd w:id="94"/>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182"/>
        <w:gridCol w:w="4998"/>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t>
            </w:r>
          </w:p>
        </w:tc>
        <w:tc>
          <w:tcPr>
            <w:tcW w:type="dxa" w:w="41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c>
          <w:tcPr>
            <w:tcW w:type="dxa" w:w="49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requires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41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 honest about who you are</w:t>
            </w:r>
          </w:p>
        </w:tc>
        <w:tc>
          <w:tcPr>
            <w:tcW w:type="dxa" w:w="49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named GrowMailers sender, the real company name and accurate email headers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41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Honest subject lines</w:t>
            </w:r>
          </w:p>
        </w:tc>
        <w:tc>
          <w:tcPr>
            <w:tcW w:type="dxa" w:w="49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Subject matches the content; never use "Re:" or "Fwd:" in a first message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41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Mailing address and working unsubscribe</w:t>
            </w:r>
          </w:p>
        </w:tc>
        <w:tc>
          <w:tcPr>
            <w:tcW w:type="dxa" w:w="49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 included in every commercial email</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41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Fast, permanent opt-outs</w:t>
            </w:r>
          </w:p>
        </w:tc>
        <w:tc>
          <w:tcPr>
            <w:tcW w:type="dxa" w:w="49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Stored on one shared list used by every tool and team member</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41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Record where the contact came from</w:t>
            </w:r>
          </w:p>
        </w:tc>
        <w:tc>
          <w:tcPr>
            <w:tcW w:type="dxa" w:w="49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URL and date, plus a screenshot for Canada, Australia and NZ</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w:t>
            </w:r>
          </w:p>
        </w:tc>
        <w:tc>
          <w:tcPr>
            <w:tcW w:type="dxa" w:w="41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 bought lists</w:t>
            </w:r>
          </w:p>
        </w:tc>
        <w:tc>
          <w:tcPr>
            <w:tcW w:type="dxa" w:w="49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Also no guessed or generated email addresses in strict countries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w:t>
            </w:r>
          </w:p>
        </w:tc>
        <w:tc>
          <w:tcPr>
            <w:tcW w:type="dxa" w:w="41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 cold text messages</w:t>
            </w:r>
          </w:p>
        </w:tc>
        <w:tc>
          <w:tcPr>
            <w:tcW w:type="dxa" w:w="49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Also no automated calls, AI voices or ringless voicemail, anywhere</w:t>
            </w:r>
          </w:p>
        </w:tc>
      </w:tr>
    </w:tbl>
    <w:p>
      <w:pPr>
        <w:spacing w:after="120" w:before="0"/>
      </w:pPr>
    </w:p>
    <w:p>
      <w:pPr>
        <w:pStyle w:val="Heading2"/>
        <w:keepNext/>
      </w:pPr>
      <w:bookmarkStart w:name="sec_16_2" w:id="95"/>
      <w:r>
        <w:rPr>
          <w:rFonts w:ascii="Arial" w:cs="Arial" w:eastAsia="Arial" w:hAnsi="Arial"/>
        </w:rPr>
        <w:t xml:space="preserve">16.2 United States: the basic rules</w:t>
      </w:r>
      <w:bookmarkEnd w:id="95"/>
    </w:p>
    <w:p>
      <w:r>
        <w:rPr>
          <w:rFonts w:ascii="Arial" w:cs="Arial" w:eastAsia="Arial" w:hAnsi="Arial"/>
          <w:b/>
          <w:bCs/>
          <w:sz w:val="20"/>
          <w:szCs w:val="20"/>
        </w:rPr>
        <w:t xml:space="preserve">US federal law (CAN-SPAM)</w:t>
      </w:r>
      <w:r>
        <w:rPr>
          <w:rFonts w:ascii="Arial" w:cs="Arial" w:eastAsia="Arial" w:hAnsi="Arial"/>
          <w:sz w:val="20"/>
          <w:szCs w:val="20"/>
        </w:rPr>
        <w:t xml:space="preserve"> covers all commercial email, including business-to-business. It runs on an opt-out basis, so prior consent is not required. Every message still needs the following.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this means for GrowMailers outreach</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Accurate email headers; honest subject line</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From, Reply-To and routing identify GrowMailers; the subject matches the email content</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Identify the message as commercial</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Say clearly that the message is about GrowMailers' services</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Valid physical mailing address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street address, a registered PO box or a registered virtual mailbox</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Clear unsubscribe link, honored within 10 business days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Must work for at least 30 days after sending; no fee or login required; never sell or share opted-out addresses</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GrowMailers is still responsible</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Even if a third-party lead-gen vendor sends on our behalf</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harvesting addresses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Scraping addresses from sites that forbid it, or generating/guessing them, is a serious violation</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Penalties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$50,000 per non-compliant email</w:t>
            </w:r>
          </w:p>
        </w:tc>
      </w:tr>
    </w:tbl>
    <w:p>
      <w:pPr>
        <w:spacing w:after="120" w:before="0"/>
      </w:pPr>
    </w:p>
    <w:p>
      <w:pPr>
        <w:pStyle w:val="Heading3"/>
        <w:keepNext/>
      </w:pPr>
      <w:r>
        <w:rPr>
          <w:rFonts w:ascii="Arial" w:cs="Arial" w:eastAsia="Arial" w:hAnsi="Arial"/>
        </w:rPr>
        <w:t xml:space="preserve">US rules for calls and texts (TCPA)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Topic</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Auto-dialed or recorded/AI-voice calls and texts to mobiles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 prior consent (texts count as calls under this law)</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Marketing texts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 </w:t>
            </w:r>
            <w:r>
              <w:rPr>
                <w:rFonts w:ascii="Arial" w:cs="Arial" w:eastAsia="Arial" w:hAnsi="Arial"/>
                <w:i/>
                <w:iCs/>
                <w:sz w:val="16"/>
                <w:szCs w:val="16"/>
              </w:rPr>
              <w:t xml:space="preserve">written</w:t>
            </w:r>
            <w:r>
              <w:rPr>
                <w:rFonts w:ascii="Arial" w:cs="Arial" w:eastAsia="Arial" w:hAnsi="Arial"/>
                <w:sz w:val="16"/>
                <w:szCs w:val="16"/>
              </w:rPr>
              <w:t xml:space="preserve"> consent</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National Do Not Call Registry</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Protects residential and cell numbers</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Business landlines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Generally exempt; but many founders use a cell phone as the business line, so scrub mobile numbers against the registry and call manually</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Calling hours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8 AM to 9 PM in the recipient's local time zone</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Fines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$500 per violation, up to $1,500 if intentional</w:t>
            </w:r>
            <w:r>
              <w:rPr>
                <w:rFonts w:ascii="Arial" w:cs="Arial" w:eastAsia="Arial" w:hAnsi="Arial"/>
                <w:sz w:val="16"/>
                <w:szCs w:val="16"/>
              </w:rPr>
              <w:t xml:space="preserve">; class action lawsuits are common</w:t>
            </w:r>
          </w:p>
        </w:tc>
      </w:tr>
    </w:tbl>
    <w:p>
      <w:pPr>
        <w:spacing w:after="120" w:before="0"/>
      </w:pPr>
    </w:p>
    <w:p>
      <w:pPr>
        <w:pStyle w:val="Heading2"/>
        <w:keepNext/>
      </w:pPr>
      <w:bookmarkStart w:name="sec_16_3" w:id="96"/>
      <w:r>
        <w:rPr>
          <w:rFonts w:ascii="Arial" w:cs="Arial" w:eastAsia="Arial" w:hAnsi="Arial"/>
        </w:rPr>
        <w:t xml:space="preserve">16.3 United Kingdom</w:t>
      </w:r>
      <w:bookmarkEnd w:id="96"/>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Contact type or topic</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Registered companies</w:t>
            </w:r>
            <w:r>
              <w:rPr>
                <w:rFonts w:ascii="Arial" w:cs="Arial" w:eastAsia="Arial" w:hAnsi="Arial"/>
                <w:sz w:val="16"/>
                <w:szCs w:val="16"/>
              </w:rPr>
              <w:t xml:space="preserve"> (Ltd, LLP, PLC, Scottish partnerships, government bodies)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 receive B2B marketing email without consent, as long as GrowMailers identifies itself and offers an easy unsubscribe</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Sole traders and some partnerships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Need </w:t>
            </w:r>
            <w:r>
              <w:rPr>
                <w:rFonts w:ascii="Arial" w:cs="Arial" w:eastAsia="Arial" w:hAnsi="Arial"/>
                <w:b/>
                <w:bCs/>
                <w:sz w:val="16"/>
                <w:szCs w:val="16"/>
              </w:rPr>
              <w:t xml:space="preserve">consent</w:t>
            </w:r>
            <w:r>
              <w:rPr>
                <w:rFonts w:ascii="Arial" w:cs="Arial" w:eastAsia="Arial" w:hAnsi="Arial"/>
                <w:sz w:val="16"/>
                <w:szCs w:val="16"/>
              </w:rPr>
              <w:t xml:space="preserve">. Check the UK companies register (Companies House) first; if no company is registered, do not cold email</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Named employee addresses</w:t>
            </w:r>
            <w:r>
              <w:rPr>
                <w:rFonts w:ascii="Arial" w:cs="Arial" w:eastAsia="Arial" w:hAnsi="Arial"/>
                <w:sz w:val="16"/>
                <w:szCs w:val="16"/>
              </w:rPr>
              <w:t xml:space="preserve"> (like jane@brand.co.uk)</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Count as personal data. Needs a written justification, notice of the address source within one month (a first-email footer works), and any objection treated as permanent</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 founder's personal Gmail address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Almost certainly counts as an individual and needs consent (our reading)</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Calls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Screen against the Telephone Preference Service and Corporate TPS first; automated calls need consent</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Penalties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Maximum fine since February 5, 2026 is </w:t>
            </w:r>
            <w:r>
              <w:rPr>
                <w:rFonts w:ascii="Arial" w:cs="Arial" w:eastAsia="Arial" w:hAnsi="Arial"/>
                <w:b/>
                <w:bCs/>
                <w:sz w:val="16"/>
                <w:szCs w:val="16"/>
              </w:rPr>
              <w:t xml:space="preserve">£17.5 million or 4% of global revenue</w:t>
            </w:r>
            <w:r>
              <w:rPr>
                <w:rFonts w:ascii="Arial" w:cs="Arial" w:eastAsia="Arial" w:hAnsi="Arial"/>
                <w:sz w:val="16"/>
                <w:szCs w:val="16"/>
              </w:rPr>
              <w:t xml:space="preserve">, whichever is higher</w:t>
            </w:r>
          </w:p>
        </w:tc>
      </w:tr>
    </w:tbl>
    <w:p>
      <w:pPr>
        <w:spacing w:after="120" w:before="0"/>
      </w:pPr>
    </w:p>
    <w:p>
      <w:pPr>
        <w:pStyle w:val="Heading2"/>
        <w:keepNext/>
      </w:pPr>
      <w:bookmarkStart w:name="sec_16_4" w:id="97"/>
      <w:r>
        <w:rPr>
          <w:rFonts w:ascii="Arial" w:cs="Arial" w:eastAsia="Arial" w:hAnsi="Arial"/>
        </w:rPr>
        <w:t xml:space="preserve">16.4 Canada: strictest rules in our markets</w:t>
      </w:r>
      <w:bookmarkEnd w:id="97"/>
    </w:p>
    <w:p>
      <w:r>
        <w:rPr>
          <w:rFonts w:ascii="Arial" w:cs="Arial" w:eastAsia="Arial" w:hAnsi="Arial"/>
          <w:sz w:val="20"/>
          <w:szCs w:val="20"/>
        </w:rPr>
        <w:t xml:space="preserve">Canada's anti-spam law (CASL) applies to messages </w:t>
      </w:r>
      <w:r>
        <w:rPr>
          <w:rFonts w:ascii="Arial" w:cs="Arial" w:eastAsia="Arial" w:hAnsi="Arial"/>
          <w:b/>
          <w:bCs/>
          <w:sz w:val="20"/>
          <w:szCs w:val="20"/>
        </w:rPr>
        <w:t xml:space="preserve">sent into Canada from anywhere in the world</w:t>
      </w:r>
      <w:r>
        <w:rPr>
          <w:rFonts w:ascii="Arial" w:cs="Arial" w:eastAsia="Arial" w:hAnsi="Arial"/>
          <w:sz w:val="20"/>
          <w:szCs w:val="20"/>
        </w:rPr>
        <w:t xml:space="preserve">, including Nepal.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9"/>
        <w:gridCol w:w="5561"/>
      </w:tblGrid>
      <w:tr>
        <w:trPr>
          <w:cantSplit/>
          <w:tblHeader/>
        </w:trPr>
        <w:tc>
          <w:tcPr>
            <w:tcW w:type="dxa" w:w="451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Topic</w:t>
            </w:r>
          </w:p>
        </w:tc>
        <w:tc>
          <w:tcPr>
            <w:tcW w:type="dxa" w:w="55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r>
      <w:tr>
        <w:trPr>
          <w:cantSplit/>
        </w:trPr>
        <w:tc>
          <w:tcPr>
            <w:tcW w:type="dxa" w:w="45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Basic requirements</w:t>
            </w:r>
          </w:p>
        </w:tc>
        <w:tc>
          <w:tcPr>
            <w:tcW w:type="dxa" w:w="55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commercial email needs </w:t>
            </w:r>
            <w:r>
              <w:rPr>
                <w:rFonts w:ascii="Arial" w:cs="Arial" w:eastAsia="Arial" w:hAnsi="Arial"/>
                <w:b/>
                <w:bCs/>
                <w:sz w:val="16"/>
                <w:szCs w:val="16"/>
              </w:rPr>
              <w:t xml:space="preserve">consent</w:t>
            </w:r>
            <w:r>
              <w:rPr>
                <w:rFonts w:ascii="Arial" w:cs="Arial" w:eastAsia="Arial" w:hAnsi="Arial"/>
                <w:sz w:val="16"/>
                <w:szCs w:val="16"/>
              </w:rPr>
              <w:t xml:space="preserve"> (express or implied), </w:t>
            </w:r>
            <w:r>
              <w:rPr>
                <w:rFonts w:ascii="Arial" w:cs="Arial" w:eastAsia="Arial" w:hAnsi="Arial"/>
                <w:b/>
                <w:bCs/>
                <w:sz w:val="16"/>
                <w:szCs w:val="16"/>
              </w:rPr>
              <w:t xml:space="preserve">sender identification</w:t>
            </w:r>
            <w:r>
              <w:rPr>
                <w:rFonts w:ascii="Arial" w:cs="Arial" w:eastAsia="Arial" w:hAnsi="Arial"/>
                <w:sz w:val="16"/>
                <w:szCs w:val="16"/>
              </w:rPr>
              <w:t xml:space="preserve"> and a </w:t>
            </w:r>
            <w:r>
              <w:rPr>
                <w:rFonts w:ascii="Arial" w:cs="Arial" w:eastAsia="Arial" w:hAnsi="Arial"/>
                <w:b/>
                <w:bCs/>
                <w:sz w:val="16"/>
                <w:szCs w:val="16"/>
              </w:rPr>
              <w:t xml:space="preserve">working unsubscribe</w:t>
            </w:r>
          </w:p>
        </w:tc>
      </w:tr>
      <w:tr>
        <w:trPr>
          <w:cantSplit/>
        </w:trPr>
        <w:tc>
          <w:tcPr>
            <w:tcW w:type="dxa" w:w="45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Implied consent via a published address</w:t>
            </w:r>
          </w:p>
        </w:tc>
        <w:tc>
          <w:tcPr>
            <w:tcW w:type="dxa" w:w="55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three must hold: the person published the address (e.g., on their company website); nothing near it says "do not send unsolicited messages"; the message is relevant to their business role</w:t>
            </w:r>
          </w:p>
        </w:tc>
      </w:tr>
      <w:tr>
        <w:trPr>
          <w:cantSplit/>
        </w:trPr>
        <w:tc>
          <w:tcPr>
            <w:tcW w:type="dxa" w:w="45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Regulator's warning</w:t>
            </w:r>
          </w:p>
        </w:tc>
        <w:tc>
          <w:tcPr>
            <w:tcW w:type="dxa" w:w="55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Implied consent is not a blanket license to email any address found online</w:t>
            </w:r>
          </w:p>
        </w:tc>
      </w:tr>
      <w:tr>
        <w:trPr>
          <w:cantSplit/>
        </w:trPr>
        <w:tc>
          <w:tcPr>
            <w:tcW w:type="dxa" w:w="45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Addresses that never qualify</w:t>
            </w:r>
          </w:p>
        </w:tc>
        <w:tc>
          <w:tcPr>
            <w:tcW w:type="dxa" w:w="55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Addresses found only through enrichment tools, and personal Gmail addresses</w:t>
            </w:r>
          </w:p>
        </w:tc>
      </w:tr>
      <w:tr>
        <w:trPr>
          <w:cantSplit/>
        </w:trPr>
        <w:tc>
          <w:tcPr>
            <w:tcW w:type="dxa" w:w="45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Referral exception</w:t>
            </w:r>
          </w:p>
        </w:tc>
        <w:tc>
          <w:tcPr>
            <w:tcW w:type="dxa" w:w="55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message is allowed after a referral from someone who knows both parties; it must name the referrer in full</w:t>
            </w:r>
          </w:p>
        </w:tc>
      </w:tr>
      <w:tr>
        <w:trPr>
          <w:cantSplit/>
        </w:trPr>
        <w:tc>
          <w:tcPr>
            <w:tcW w:type="dxa" w:w="45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contents</w:t>
            </w:r>
          </w:p>
        </w:tc>
        <w:tc>
          <w:tcPr>
            <w:tcW w:type="dxa" w:w="55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Sender name, mailing address, and a phone, email or web contact valid for 60 days</w:t>
            </w:r>
          </w:p>
        </w:tc>
      </w:tr>
      <w:tr>
        <w:trPr>
          <w:cantSplit/>
        </w:trPr>
        <w:tc>
          <w:tcPr>
            <w:tcW w:type="dxa" w:w="45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Unsubscribe deadline</w:t>
            </w:r>
          </w:p>
        </w:tc>
        <w:tc>
          <w:tcPr>
            <w:tcW w:type="dxa" w:w="55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Within </w:t>
            </w:r>
            <w:r>
              <w:rPr>
                <w:rFonts w:ascii="Arial" w:cs="Arial" w:eastAsia="Arial" w:hAnsi="Arial"/>
                <w:b/>
                <w:bCs/>
                <w:sz w:val="16"/>
                <w:szCs w:val="16"/>
              </w:rPr>
              <w:t xml:space="preserve">10 business days</w:t>
            </w:r>
          </w:p>
        </w:tc>
      </w:tr>
      <w:tr>
        <w:trPr>
          <w:cantSplit/>
        </w:trPr>
        <w:tc>
          <w:tcPr>
            <w:tcW w:type="dxa" w:w="45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Proof of consent</w:t>
            </w:r>
          </w:p>
        </w:tc>
        <w:tc>
          <w:tcPr>
            <w:tcW w:type="dxa" w:w="55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sender must be able to prove consent; keep a dated screenshot of where each address was publicly published</w:t>
            </w:r>
          </w:p>
        </w:tc>
      </w:tr>
      <w:tr>
        <w:trPr>
          <w:cantSplit/>
        </w:trPr>
        <w:tc>
          <w:tcPr>
            <w:tcW w:type="dxa" w:w="45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Penalties</w:t>
            </w:r>
          </w:p>
        </w:tc>
        <w:tc>
          <w:tcPr>
            <w:tcW w:type="dxa" w:w="55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w:t>
            </w:r>
            <w:r>
              <w:rPr>
                <w:rFonts w:ascii="Arial" w:cs="Arial" w:eastAsia="Arial" w:hAnsi="Arial"/>
                <w:b/>
                <w:bCs/>
                <w:sz w:val="16"/>
                <w:szCs w:val="16"/>
              </w:rPr>
              <w:t xml:space="preserve">C$10 million per violation</w:t>
            </w:r>
            <w:r>
              <w:rPr>
                <w:rFonts w:ascii="Arial" w:cs="Arial" w:eastAsia="Arial" w:hAnsi="Arial"/>
                <w:sz w:val="16"/>
                <w:szCs w:val="16"/>
              </w:rPr>
              <w:t xml:space="preserve"> for a business; recent cases against Indeed Canada, Hudson's Bay and DavidsTea all involved broken unsubscribe processes</w:t>
            </w:r>
          </w:p>
        </w:tc>
      </w:tr>
      <w:tr>
        <w:trPr>
          <w:cantSplit/>
        </w:trPr>
        <w:tc>
          <w:tcPr>
            <w:tcW w:type="dxa" w:w="45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Calls</w:t>
            </w:r>
          </w:p>
        </w:tc>
        <w:tc>
          <w:tcPr>
            <w:tcW w:type="dxa" w:w="55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 with the National Do Not Call List (DNCL), keep an internal do-not-call list, identify yourself, and call only </w:t>
            </w:r>
            <w:r>
              <w:rPr>
                <w:rFonts w:ascii="Arial" w:cs="Arial" w:eastAsia="Arial" w:hAnsi="Arial"/>
                <w:b/>
                <w:bCs/>
                <w:sz w:val="16"/>
                <w:szCs w:val="16"/>
              </w:rPr>
              <w:t xml:space="preserve">9 AM–9:30 PM weekdays and 10 AM–6 PM weekends</w:t>
            </w:r>
            <w:r>
              <w:rPr>
                <w:rFonts w:ascii="Arial" w:cs="Arial" w:eastAsia="Arial" w:hAnsi="Arial"/>
                <w:sz w:val="16"/>
                <w:szCs w:val="16"/>
              </w:rPr>
              <w:t xml:space="preserve">. The CRTC has fined foreign callers C$175,000</w:t>
            </w:r>
          </w:p>
        </w:tc>
      </w:tr>
      <w:tr>
        <w:trPr>
          <w:cantSplit/>
        </w:trPr>
        <w:tc>
          <w:tcPr>
            <w:tcW w:type="dxa" w:w="45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Quebec</w:t>
            </w:r>
          </w:p>
        </w:tc>
        <w:tc>
          <w:tcPr>
            <w:tcW w:type="dxa" w:w="55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Marketing must be available in French; write in French or put Quebec lower in the outreach queue</w:t>
            </w:r>
          </w:p>
        </w:tc>
      </w:tr>
    </w:tbl>
    <w:p>
      <w:pPr>
        <w:spacing w:after="120" w:before="0"/>
      </w:pPr>
    </w:p>
    <w:p>
      <w:pPr>
        <w:pStyle w:val="Heading2"/>
        <w:keepNext/>
      </w:pPr>
      <w:bookmarkStart w:name="sec_16_5" w:id="98"/>
      <w:r>
        <w:rPr>
          <w:rFonts w:ascii="Arial" w:cs="Arial" w:eastAsia="Arial" w:hAnsi="Arial"/>
        </w:rPr>
        <w:t xml:space="preserve">16.5 Ireland, Australia, and New Zealand</w:t>
      </w:r>
      <w:bookmarkEnd w:id="98"/>
    </w:p>
    <w:p>
      <w:pPr>
        <w:pStyle w:val="Heading3"/>
        <w:keepNext/>
      </w:pPr>
      <w:r>
        <w:rPr>
          <w:rFonts w:ascii="Arial" w:cs="Arial" w:eastAsia="Arial" w:hAnsi="Arial"/>
        </w:rPr>
        <w:t xml:space="preserve">Ireland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0"/>
        <w:gridCol w:w="6720"/>
      </w:tblGrid>
      <w:tr>
        <w:trPr>
          <w:cantSplit/>
          <w:tblHeader/>
        </w:trPr>
        <w:tc>
          <w:tcPr>
            <w:tcW w:type="dxa" w:w="33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Topic</w:t>
            </w:r>
          </w:p>
        </w:tc>
        <w:tc>
          <w:tcPr>
            <w:tcW w:type="dxa" w:w="67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r>
      <w:tr>
        <w:trPr>
          <w:cantSplit/>
        </w:trPr>
        <w:tc>
          <w:tcPr>
            <w:tcW w:type="dxa" w:w="3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 companies</w:t>
            </w:r>
          </w:p>
        </w:tc>
        <w:tc>
          <w:tcPr>
            <w:tcW w:type="dxa" w:w="67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is allowed unless the company has objected</w:t>
            </w:r>
          </w:p>
        </w:tc>
      </w:tr>
      <w:tr>
        <w:trPr>
          <w:cantSplit/>
        </w:trPr>
        <w:tc>
          <w:tcPr>
            <w:tcW w:type="dxa" w:w="3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Named employee addresses</w:t>
            </w:r>
          </w:p>
        </w:tc>
        <w:tc>
          <w:tcPr>
            <w:tcW w:type="dxa" w:w="67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 count as a personal address needing consent; use generic company addresses (like info@brand.ie) until a lawyer confirms otherwise</w:t>
            </w:r>
          </w:p>
        </w:tc>
      </w:tr>
      <w:tr>
        <w:trPr>
          <w:cantSplit/>
        </w:trPr>
        <w:tc>
          <w:tcPr>
            <w:tcW w:type="dxa" w:w="3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Cold texts to mobiles</w:t>
            </w:r>
          </w:p>
        </w:tc>
        <w:tc>
          <w:tcPr>
            <w:tcW w:type="dxa" w:w="67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Need consent</w:t>
            </w:r>
            <w:r>
              <w:rPr>
                <w:rFonts w:ascii="Arial" w:cs="Arial" w:eastAsia="Arial" w:hAnsi="Arial"/>
                <w:sz w:val="16"/>
                <w:szCs w:val="16"/>
              </w:rPr>
              <w:t xml:space="preserve">; many Irish founders use a mobile as their business number</w:t>
            </w:r>
          </w:p>
        </w:tc>
      </w:tr>
      <w:tr>
        <w:trPr>
          <w:cantSplit/>
        </w:trPr>
        <w:tc>
          <w:tcPr>
            <w:tcW w:type="dxa" w:w="3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Penalties</w:t>
            </w:r>
          </w:p>
        </w:tc>
        <w:tc>
          <w:tcPr>
            <w:tcW w:type="dxa" w:w="67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Each unsolicited message is a separate offense</w:t>
            </w:r>
          </w:p>
        </w:tc>
      </w:tr>
      <w:tr>
        <w:trPr>
          <w:cantSplit/>
        </w:trPr>
        <w:tc>
          <w:tcPr>
            <w:tcW w:type="dxa" w:w="3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Enforcement</w:t>
            </w:r>
          </w:p>
        </w:tc>
        <w:tc>
          <w:tcPr>
            <w:tcW w:type="dxa" w:w="67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Data Protection Commission closed 275 direct-marketing investigations in 2025, up 88%</w:t>
            </w:r>
          </w:p>
        </w:tc>
      </w:tr>
    </w:tbl>
    <w:p>
      <w:pPr>
        <w:spacing w:after="120" w:before="0"/>
      </w:pPr>
    </w:p>
    <w:p>
      <w:pPr>
        <w:pStyle w:val="Heading3"/>
        <w:keepNext/>
      </w:pPr>
      <w:r>
        <w:rPr>
          <w:rFonts w:ascii="Arial" w:cs="Arial" w:eastAsia="Arial" w:hAnsi="Arial"/>
        </w:rPr>
        <w:t xml:space="preserve">Australia and New Zealand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8"/>
        <w:gridCol w:w="3966"/>
        <w:gridCol w:w="3966"/>
      </w:tblGrid>
      <w:tr>
        <w:trPr>
          <w:cantSplit/>
          <w:tblHeader/>
        </w:trPr>
        <w:tc>
          <w:tcPr>
            <w:tcW w:type="dxa" w:w="21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Topic</w:t>
            </w:r>
          </w:p>
        </w:tc>
        <w:tc>
          <w:tcPr>
            <w:tcW w:type="dxa" w:w="39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Australia (Spam Act 2003)</w:t>
            </w:r>
          </w:p>
        </w:tc>
        <w:tc>
          <w:tcPr>
            <w:tcW w:type="dxa" w:w="39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New Zealand (Unsolicited Electronic Messages Act 2007)</w:t>
            </w:r>
          </w:p>
        </w:tc>
      </w:tr>
      <w:tr>
        <w:trPr>
          <w:cantSplit/>
        </w:trPr>
        <w:tc>
          <w:tcPr>
            <w:tcW w:type="dxa" w:w="21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Types of consent</w:t>
            </w:r>
          </w:p>
        </w:tc>
        <w:tc>
          <w:tcPr>
            <w:tcW w:type="dxa" w:w="39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Express or </w:t>
            </w:r>
            <w:r>
              <w:rPr>
                <w:rFonts w:ascii="Arial" w:cs="Arial" w:eastAsia="Arial" w:hAnsi="Arial"/>
                <w:b/>
                <w:bCs/>
                <w:sz w:val="16"/>
                <w:szCs w:val="16"/>
              </w:rPr>
              <w:t xml:space="preserve">inferred</w:t>
            </w:r>
          </w:p>
        </w:tc>
        <w:tc>
          <w:tcPr>
            <w:tcW w:type="dxa" w:w="39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Express, inferred or </w:t>
            </w:r>
            <w:r>
              <w:rPr>
                <w:rFonts w:ascii="Arial" w:cs="Arial" w:eastAsia="Arial" w:hAnsi="Arial"/>
                <w:b/>
                <w:bCs/>
                <w:sz w:val="16"/>
                <w:szCs w:val="16"/>
              </w:rPr>
              <w:t xml:space="preserve">deemed</w:t>
            </w:r>
          </w:p>
        </w:tc>
      </w:tr>
      <w:tr>
        <w:trPr>
          <w:cantSplit/>
        </w:trPr>
        <w:tc>
          <w:tcPr>
            <w:tcW w:type="dxa" w:w="21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Business address exemption</w:t>
            </w:r>
          </w:p>
        </w:tc>
        <w:tc>
          <w:tcPr>
            <w:tcW w:type="dxa" w:w="39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Inferred consent: address publicly displayed, message matches the person's business role, nothing nearby says "no unsolicited messages"</w:t>
            </w:r>
          </w:p>
        </w:tc>
        <w:tc>
          <w:tcPr>
            <w:tcW w:type="dxa" w:w="39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Deemed consent: publicly displayed business addresses, same rules as Australia's inferred consent</w:t>
            </w:r>
          </w:p>
        </w:tc>
      </w:tr>
      <w:tr>
        <w:trPr>
          <w:cantSplit/>
        </w:trPr>
        <w:tc>
          <w:tcPr>
            <w:tcW w:type="dxa" w:w="21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contents</w:t>
            </w:r>
          </w:p>
        </w:tc>
        <w:tc>
          <w:tcPr>
            <w:tcW w:type="dxa" w:w="39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Sender identification and an unsubscribe</w:t>
            </w:r>
          </w:p>
        </w:tc>
        <w:tc>
          <w:tcPr>
            <w:tcW w:type="dxa" w:w="39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stated in our research</w:t>
            </w:r>
          </w:p>
        </w:tc>
      </w:tr>
      <w:tr>
        <w:trPr>
          <w:cantSplit/>
        </w:trPr>
        <w:tc>
          <w:tcPr>
            <w:tcW w:type="dxa" w:w="21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Unsubscribe deadline</w:t>
            </w:r>
          </w:p>
        </w:tc>
        <w:tc>
          <w:tcPr>
            <w:tcW w:type="dxa" w:w="39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 working days</w:t>
            </w:r>
          </w:p>
        </w:tc>
        <w:tc>
          <w:tcPr>
            <w:tcW w:type="dxa" w:w="39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 working days</w:t>
            </w:r>
          </w:p>
        </w:tc>
      </w:tr>
      <w:tr>
        <w:trPr>
          <w:cantSplit/>
        </w:trPr>
        <w:tc>
          <w:tcPr>
            <w:tcW w:type="dxa" w:w="21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Penalties</w:t>
            </w:r>
          </w:p>
        </w:tc>
        <w:tc>
          <w:tcPr>
            <w:tcW w:type="dxa" w:w="39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Repeat violations up to A$3.3 million per day</w:t>
            </w:r>
          </w:p>
        </w:tc>
        <w:tc>
          <w:tcPr>
            <w:tcW w:type="dxa" w:w="39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stated in our research</w:t>
            </w:r>
          </w:p>
        </w:tc>
      </w:tr>
      <w:tr>
        <w:trPr>
          <w:cantSplit/>
        </w:trPr>
        <w:tc>
          <w:tcPr>
            <w:tcW w:type="dxa" w:w="21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Calls</w:t>
            </w:r>
          </w:p>
        </w:tc>
        <w:tc>
          <w:tcPr>
            <w:tcW w:type="dxa" w:w="39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the Do Not Call Register before calling mobile numbers</w:t>
            </w:r>
          </w:p>
        </w:tc>
        <w:tc>
          <w:tcPr>
            <w:tcW w:type="dxa" w:w="39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before calling</w:t>
            </w:r>
          </w:p>
        </w:tc>
      </w:tr>
    </w:tbl>
    <w:p>
      <w:pPr>
        <w:spacing w:after="120" w:before="0"/>
      </w:pPr>
    </w:p>
    <w:p>
      <w:pPr>
        <w:spacing w:after="160" w:before="0"/>
      </w:pPr>
      <w:r>
        <w:rPr>
          <w:rFonts w:ascii="Arial" w:cs="Arial" w:eastAsia="Arial" w:hAnsi="Arial"/>
          <w:i/>
          <w:iCs/>
          <w:color w:val="5B6573"/>
          <w:sz w:val="16"/>
          <w:szCs w:val="16"/>
        </w:rPr>
        <w:t xml:space="preserve">Our research on Australia and NZ is not complete. Treat both as frameworks to confirm with a local lawyer.</w:t>
      </w:r>
    </w:p>
    <w:p>
      <w:pPr>
        <w:pStyle w:val="Heading2"/>
        <w:keepNext/>
      </w:pPr>
      <w:bookmarkStart w:name="sec_16_6" w:id="99"/>
      <w:r>
        <w:rPr>
          <w:rFonts w:ascii="Arial" w:cs="Arial" w:eastAsia="Arial" w:hAnsi="Arial"/>
        </w:rPr>
        <w:t xml:space="preserve">16.6 Six-country comparison and pre-send checklist</w:t>
      </w:r>
      <w:bookmarkEnd w:id="99"/>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40"/>
        <w:gridCol w:w="2122"/>
        <w:gridCol w:w="2034"/>
        <w:gridCol w:w="1592"/>
        <w:gridCol w:w="1592"/>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18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Cold email to businesses</w:t>
            </w:r>
          </w:p>
        </w:tc>
        <w:tc>
          <w:tcPr>
            <w:tcW w:type="dxa" w:w="21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Safest address type</w:t>
            </w:r>
          </w:p>
        </w:tc>
        <w:tc>
          <w:tcPr>
            <w:tcW w:type="dxa" w:w="20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Cold calls</w:t>
            </w:r>
          </w:p>
        </w:tc>
        <w:tc>
          <w:tcPr>
            <w:tcW w:type="dxa" w:w="159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Unsubscribe deadline</w:t>
            </w:r>
          </w:p>
        </w:tc>
        <w:tc>
          <w:tcPr>
            <w:tcW w:type="dxa" w:w="159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Risk level</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18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Allowed (opt-out system)</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Named business address</w:t>
            </w:r>
          </w:p>
        </w:tc>
        <w:tc>
          <w:tcPr>
            <w:tcW w:type="dxa" w:w="2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Manual dial; scrub mobiles against Do Not Call</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business days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 (email) / High (calls and texts)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18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OK for registered companies; sole traders need consent</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Named address at a verified company, with a written justification</w:t>
            </w:r>
          </w:p>
        </w:tc>
        <w:tc>
          <w:tcPr>
            <w:tcW w:type="dxa" w:w="2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Screen against TPS and CTPS first</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Promptly; any objection is permanent</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18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published addresses meeting all three tests, or referrals</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Published role address on their website</w:t>
            </w:r>
          </w:p>
        </w:tc>
        <w:tc>
          <w:tcPr>
            <w:tcW w:type="dxa" w:w="2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DNCL registration; strict calling hours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business days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High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18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 companies yes; named staff unclear</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Generic company address</w:t>
            </w:r>
          </w:p>
        </w:tc>
        <w:tc>
          <w:tcPr>
            <w:tcW w:type="dxa" w:w="2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mobiles without consent</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Promptly</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High</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18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Inferred consent via publicly published address</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Published role address</w:t>
            </w:r>
          </w:p>
        </w:tc>
        <w:tc>
          <w:tcPr>
            <w:tcW w:type="dxa" w:w="2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Do Not Call Register</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 working days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 to high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18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Deemed consent via published address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Published role address</w:t>
            </w:r>
          </w:p>
        </w:tc>
        <w:tc>
          <w:tcPr>
            <w:tcW w:type="dxa" w:w="2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before calling</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 working days</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 to high</w:t>
            </w:r>
          </w:p>
        </w:tc>
      </w:tr>
    </w:tbl>
    <w:p>
      <w:pPr>
        <w:spacing w:after="120" w:before="0"/>
      </w:pPr>
    </w:p>
    <w:p>
      <w:pPr>
        <w:pStyle w:val="Heading3"/>
        <w:keepNext/>
      </w:pPr>
      <w:r>
        <w:rPr>
          <w:rFonts w:ascii="Arial" w:cs="Arial" w:eastAsia="Arial" w:hAnsi="Arial"/>
        </w:rPr>
        <w:t xml:space="preserve">Before sending any email, check all of these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Real operating country confirmed (not just a registered-agent address)</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Address type allowed under that country's rules</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Source logged (URL, date; screenshot for Canada, Australia and NZ). UK: Companies House match and written justification on file.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Not on the global unsubscribe list</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Named sender; honest subject line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Footer includes GrowMailers' full name, mailing address, a statement that this is about GrowMailers' services, a data source note (for UK and EU) and a simple one-click unsubscribe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Sequence of 3 to 4 messages over about 3 weeks, stopping at any reply</w:t>
      </w:r>
    </w:p>
    <w:p>
      <w:pPr>
        <w:spacing w:after="60" w:before="0"/>
      </w:pPr>
    </w:p>
    <w:p>
      <w:pPr>
        <w:pStyle w:val="Heading2"/>
        <w:keepNext/>
      </w:pPr>
      <w:bookmarkStart w:name="sec_16_7" w:id="100"/>
      <w:r>
        <w:rPr>
          <w:rFonts w:ascii="Arial" w:cs="Arial" w:eastAsia="Arial" w:hAnsi="Arial"/>
        </w:rPr>
        <w:t xml:space="preserve">16.7 GrowMailers' own outreach setup</w:t>
      </w:r>
      <w:bookmarkEnd w:id="100"/>
    </w:p>
    <w:p>
      <w:r>
        <w:rPr>
          <w:rFonts w:ascii="Arial" w:cs="Arial" w:eastAsia="Arial" w:hAnsi="Arial"/>
          <w:sz w:val="20"/>
          <w:szCs w:val="20"/>
        </w:rPr>
        <w:t xml:space="preserve">A deliverability agency's own outreach is its first case study. GrowMailers follows these rules.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82"/>
        <w:gridCol w:w="5498"/>
      </w:tblGrid>
      <w:tr>
        <w:trPr>
          <w:cantSplit/>
          <w:tblHeader/>
        </w:trPr>
        <w:tc>
          <w:tcPr>
            <w:tcW w:type="dxa" w:w="45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c>
          <w:tcPr>
            <w:tcW w:type="dxa" w:w="54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Detail</w:t>
            </w:r>
          </w:p>
        </w:tc>
      </w:tr>
      <w:tr>
        <w:trPr>
          <w:cantSplit/>
        </w:trPr>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Keep cold outreach on separate domains</w:t>
            </w:r>
          </w:p>
        </w:tc>
        <w:tc>
          <w:tcPr>
            <w:tcW w:type="dxa" w:w="54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Away from growmailers.com</w:t>
            </w:r>
          </w:p>
        </w:tc>
      </w:tr>
      <w:tr>
        <w:trPr>
          <w:cantSplit/>
        </w:trPr>
        <w:tc>
          <w:tcPr>
            <w:tcW w:type="dxa" w:w="4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Authenticate every outreach domain fully</w:t>
            </w:r>
          </w:p>
        </w:tc>
        <w:tc>
          <w:tcPr>
            <w:tcW w:type="dxa" w:w="54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DKIM and DMARC, moving toward blocking mode</w:t>
            </w:r>
          </w:p>
        </w:tc>
      </w:tr>
      <w:tr>
        <w:trPr>
          <w:cantSplit/>
        </w:trPr>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Stop all fake warm-up immediately</w:t>
            </w:r>
          </w:p>
        </w:tc>
        <w:tc>
          <w:tcPr>
            <w:tcW w:type="dxa" w:w="54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See Section 13.7 on Heatwave blocklist risk</w:t>
            </w:r>
          </w:p>
        </w:tc>
      </w:tr>
      <w:tr>
        <w:trPr>
          <w:cantSplit/>
        </w:trPr>
        <w:tc>
          <w:tcPr>
            <w:tcW w:type="dxa" w:w="4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Keep volume low and human</w:t>
            </w:r>
          </w:p>
        </w:tc>
        <w:tc>
          <w:tcPr>
            <w:tcW w:type="dxa" w:w="54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Researched, personal emails at a steady per-mailbox pace</w:t>
            </w:r>
          </w:p>
        </w:tc>
      </w:tr>
      <w:tr>
        <w:trPr>
          <w:cantSplit/>
        </w:trPr>
        <w:tc>
          <w:tcPr>
            <w:tcW w:type="dxa" w:w="4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Monitor weekly</w:t>
            </w:r>
          </w:p>
        </w:tc>
        <w:tc>
          <w:tcPr>
            <w:tcW w:type="dxa" w:w="54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blocklists and Google Postmaster data; keep bounce rate below 2%</w:t>
            </w:r>
          </w:p>
        </w:tc>
      </w:tr>
    </w:tbl>
    <w:p>
      <w:pPr>
        <w:spacing w:after="120" w:before="0"/>
      </w:pPr>
    </w:p>
    <w:p>
      <w:r>
        <w:rPr>
          <w:rFonts w:ascii="Arial" w:cs="Arial" w:eastAsia="Arial" w:hAnsi="Arial"/>
          <w:sz w:val="20"/>
          <w:szCs w:val="20"/>
        </w:rPr>
        <w:t xml:space="preserve">New Shopify owners are flooded with cold sales pitches. Online communities often label these pitches scams and specifically call out Gmail senders and "your store has a problem" subject lines.</w:t>
      </w:r>
    </w:p>
    <w:p>
      <w:r>
        <w:rPr>
          <w:rFonts w:ascii="Arial" w:cs="Arial" w:eastAsia="Arial" w:hAnsi="Arial"/>
          <w:sz w:val="20"/>
          <w:szCs w:val="20"/>
        </w:rPr>
        <w:t xml:space="preserve">What works is the opposite: a specific free fix shown in a short screen recording, with no pitch attached. Public "free audit" offers in forums almost never get a reply.</w:t>
      </w:r>
    </w:p>
    <w:p>
      <w:pPr>
        <w:pStyle w:val="Heading2"/>
        <w:keepNext/>
      </w:pPr>
      <w:bookmarkStart w:name="sec_16_8" w:id="101"/>
      <w:r>
        <w:rPr>
          <w:rFonts w:ascii="Arial" w:cs="Arial" w:eastAsia="Arial" w:hAnsi="Arial"/>
        </w:rPr>
        <w:t xml:space="preserve">16.8 Rules our Lhotse clients must follow</w:t>
      </w:r>
      <w:bookmarkEnd w:id="101"/>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4"/>
        <w:gridCol w:w="2122"/>
        <w:gridCol w:w="4244"/>
      </w:tblGrid>
      <w:tr>
        <w:trPr>
          <w:cantSplit/>
          <w:tblHeader/>
        </w:trPr>
        <w:tc>
          <w:tcPr>
            <w:tcW w:type="dxa" w:w="371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c>
          <w:tcPr>
            <w:tcW w:type="dxa" w:w="21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Which country</w:t>
            </w:r>
          </w:p>
        </w:tc>
        <w:tc>
          <w:tcPr>
            <w:tcW w:type="dxa" w:w="42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 for Lhotse</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Abandoned checkout is not consent</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42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email Canadian cart abandoners with consent or an existing business relationship</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Soft opt-in for past customers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w:t>
            </w:r>
          </w:p>
        </w:tc>
        <w:tc>
          <w:tcPr>
            <w:tcW w:type="dxa" w:w="42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Past customers may get marketing for similar products, with an unsubscribe in every message</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Unsubscribe within 2 days / 5 working days</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 Australia and NZ</w:t>
            </w:r>
          </w:p>
        </w:tc>
        <w:tc>
          <w:tcPr>
            <w:tcW w:type="dxa" w:w="42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Never delay processing unsubscribes</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Written consent for marketing texts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42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Separate text message consent with clear disclosure; respect quiet hours</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French-language marketing</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Quebec</w:t>
            </w:r>
          </w:p>
        </w:tc>
        <w:tc>
          <w:tcPr>
            <w:tcW w:type="dxa" w:w="42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French sequences and campaigns for Quebec subscribers</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 and supplement claims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UK, Australia</w:t>
            </w:r>
          </w:p>
        </w:tc>
        <w:tc>
          <w:tcPr>
            <w:tcW w:type="dxa" w:w="42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Review every health claim in copy against FTC, ASA and TGA rules</w:t>
            </w:r>
          </w:p>
        </w:tc>
      </w:tr>
    </w:tbl>
    <w:p>
      <w:pPr>
        <w:spacing w:after="120" w:before="0"/>
      </w:pPr>
    </w:p>
    <w:p>
      <w:pPr>
        <w:pStyle w:val="Heading1"/>
        <w:keepNext/>
        <w:pageBreakBefore/>
      </w:pPr>
      <w:bookmarkStart w:name="sec_17" w:id="102"/>
      <w:r>
        <w:rPr>
          <w:rFonts w:ascii="Arial" w:cs="Arial" w:eastAsia="Arial" w:hAnsi="Arial"/>
        </w:rPr>
        <w:t xml:space="preserve">17. How to Find Clients, Audit Their Setup, and Close the Sale</w:t>
      </w:r>
      <w:bookmarkEnd w:id="102"/>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Summary:</w:t>
      </w:r>
      <w:r>
        <w:rPr>
          <w:rFonts w:ascii="Arial" w:cs="Arial" w:eastAsia="Arial" w:hAnsi="Arial"/>
          <w:sz w:val="20"/>
          <w:szCs w:val="20"/>
        </w:rPr>
        <w:t xml:space="preserve"> GrowMailers wins by showing real work, not just talking about it. The process is to build a precise prospect list, run a 15-minute audit from the outside (no login needed), send one specific free fix in a short personalized video, and then qualify the prospect using their own numbers. Every step in this section can be repeated by a researcher and will hold up in front of a technical buyer.</w:t>
      </w:r>
    </w:p>
    <w:p>
      <w:pPr>
        <w:pStyle w:val="Heading2"/>
        <w:keepNext/>
      </w:pPr>
      <w:bookmarkStart w:name="sec_17_1" w:id="103"/>
      <w:r>
        <w:rPr>
          <w:rFonts w:ascii="Arial" w:cs="Arial" w:eastAsia="Arial" w:hAnsi="Arial"/>
        </w:rPr>
        <w:t xml:space="preserve">17.1 The full pipeline</w:t>
      </w:r>
      <w:bookmarkEnd w:id="103"/>
    </w:p>
    <w:p>
      <w:r>
        <w:rPr>
          <w:rFonts w:ascii="Arial" w:cs="Arial" w:eastAsia="Arial" w:hAnsi="Arial"/>
          <w:sz w:val="20"/>
          <w:szCs w:val="20"/>
        </w:rPr>
        <w:t xml:space="preserve">The sales process runs through nine stages, from finding a store to onboarding it as a client.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6"/>
        <w:gridCol w:w="1178"/>
        <w:gridCol w:w="6284"/>
        <w:gridCol w:w="1702"/>
      </w:tblGrid>
      <w:tr>
        <w:trPr>
          <w:cantSplit/>
          <w:tblHeader/>
        </w:trPr>
        <w:tc>
          <w:tcPr>
            <w:tcW w:type="dxa" w:w="9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Stage</w:t>
            </w:r>
          </w:p>
        </w:tc>
        <w:tc>
          <w:tcPr>
            <w:tcW w:type="dxa" w:w="117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Name</w:t>
            </w:r>
          </w:p>
        </w:tc>
        <w:tc>
          <w:tcPr>
            <w:tcW w:type="dxa" w:w="628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happens</w:t>
            </w:r>
          </w:p>
        </w:tc>
        <w:tc>
          <w:tcPr>
            <w:tcW w:type="dxa" w:w="17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See</w:t>
            </w:r>
          </w:p>
        </w:tc>
      </w:tr>
      <w:tr>
        <w:trPr>
          <w:cantSplit/>
        </w:trPr>
        <w:tc>
          <w:tcPr>
            <w:tcW w:type="dxa" w:w="9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11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Source</w:t>
            </w:r>
          </w:p>
        </w:tc>
        <w:tc>
          <w:tcPr>
            <w:tcW w:type="dxa" w:w="628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Pull prospects from Store Leads</w:t>
            </w:r>
          </w:p>
        </w:tc>
        <w:tc>
          <w:tcPr>
            <w:tcW w:type="dxa" w:w="17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17.2</w:t>
            </w:r>
          </w:p>
        </w:tc>
      </w:tr>
      <w:tr>
        <w:trPr>
          <w:cantSplit/>
        </w:trPr>
        <w:tc>
          <w:tcPr>
            <w:tcW w:type="dxa" w:w="9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11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Gate</w:t>
            </w:r>
          </w:p>
        </w:tc>
        <w:tc>
          <w:tcPr>
            <w:tcW w:type="dxa" w:w="628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Apply the entry requirements</w:t>
            </w:r>
          </w:p>
        </w:tc>
        <w:tc>
          <w:tcPr>
            <w:tcW w:type="dxa" w:w="17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w:t>
            </w:r>
          </w:p>
        </w:tc>
      </w:tr>
      <w:tr>
        <w:trPr>
          <w:cantSplit/>
        </w:trPr>
        <w:tc>
          <w:tcPr>
            <w:tcW w:type="dxa" w:w="9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11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Score</w:t>
            </w:r>
          </w:p>
        </w:tc>
        <w:tc>
          <w:tcPr>
            <w:tcW w:type="dxa" w:w="628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Give each store a Lhotse Fit Score and an Ascent Urgency Score</w:t>
            </w:r>
          </w:p>
        </w:tc>
        <w:tc>
          <w:tcPr>
            <w:tcW w:type="dxa" w:w="17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w:t>
            </w:r>
          </w:p>
        </w:tc>
      </w:tr>
      <w:tr>
        <w:trPr>
          <w:cantSplit/>
        </w:trPr>
        <w:tc>
          <w:tcPr>
            <w:tcW w:type="dxa" w:w="9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11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Audit</w:t>
            </w:r>
          </w:p>
        </w:tc>
        <w:tc>
          <w:tcPr>
            <w:tcW w:type="dxa" w:w="628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 the 15-minute external audit</w:t>
            </w:r>
          </w:p>
        </w:tc>
        <w:tc>
          <w:tcPr>
            <w:tcW w:type="dxa" w:w="17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17.3</w:t>
            </w:r>
          </w:p>
        </w:tc>
      </w:tr>
      <w:tr>
        <w:trPr>
          <w:cantSplit/>
        </w:trPr>
        <w:tc>
          <w:tcPr>
            <w:tcW w:type="dxa" w:w="9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11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Outreach</w:t>
            </w:r>
          </w:p>
        </w:tc>
        <w:tc>
          <w:tcPr>
            <w:tcW w:type="dxa" w:w="628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 a short audit video and email</w:t>
            </w:r>
          </w:p>
        </w:tc>
        <w:tc>
          <w:tcPr>
            <w:tcW w:type="dxa" w:w="17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17.4 and 17.5</w:t>
            </w:r>
          </w:p>
        </w:tc>
      </w:tr>
      <w:tr>
        <w:trPr>
          <w:cantSplit/>
        </w:trPr>
        <w:tc>
          <w:tcPr>
            <w:tcW w:type="dxa" w:w="9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w:t>
            </w:r>
          </w:p>
        </w:tc>
        <w:tc>
          <w:tcPr>
            <w:tcW w:type="dxa" w:w="11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Discovery</w:t>
            </w:r>
          </w:p>
        </w:tc>
        <w:tc>
          <w:tcPr>
            <w:tcW w:type="dxa" w:w="628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Turn their numbers into a model</w:t>
            </w:r>
          </w:p>
        </w:tc>
        <w:tc>
          <w:tcPr>
            <w:tcW w:type="dxa" w:w="17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17.6</w:t>
            </w:r>
          </w:p>
        </w:tc>
      </w:tr>
      <w:tr>
        <w:trPr>
          <w:cantSplit/>
        </w:trPr>
        <w:tc>
          <w:tcPr>
            <w:tcW w:type="dxa" w:w="9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w:t>
            </w:r>
          </w:p>
        </w:tc>
        <w:tc>
          <w:tcPr>
            <w:tcW w:type="dxa" w:w="11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Proposal</w:t>
            </w:r>
          </w:p>
        </w:tc>
        <w:tc>
          <w:tcPr>
            <w:tcW w:type="dxa" w:w="628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Propose Ascent or Lhotse</w:t>
            </w:r>
          </w:p>
        </w:tc>
        <w:tc>
          <w:tcPr>
            <w:tcW w:type="dxa" w:w="17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17.7</w:t>
            </w:r>
          </w:p>
        </w:tc>
      </w:tr>
      <w:tr>
        <w:trPr>
          <w:cantSplit/>
        </w:trPr>
        <w:tc>
          <w:tcPr>
            <w:tcW w:type="dxa" w:w="9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w:t>
            </w:r>
          </w:p>
        </w:tc>
        <w:tc>
          <w:tcPr>
            <w:tcW w:type="dxa" w:w="117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Close</w:t>
            </w:r>
          </w:p>
        </w:tc>
        <w:tc>
          <w:tcPr>
            <w:tcW w:type="dxa" w:w="628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Get the agreement signed</w:t>
            </w:r>
          </w:p>
        </w:tc>
        <w:tc>
          <w:tcPr>
            <w:tcW w:type="dxa" w:w="17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17.7</w:t>
            </w:r>
          </w:p>
        </w:tc>
      </w:tr>
      <w:tr>
        <w:trPr>
          <w:cantSplit/>
        </w:trPr>
        <w:tc>
          <w:tcPr>
            <w:tcW w:type="dxa" w:w="9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w:t>
            </w:r>
          </w:p>
        </w:tc>
        <w:tc>
          <w:tcPr>
            <w:tcW w:type="dxa" w:w="117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Onboard</w:t>
            </w:r>
          </w:p>
        </w:tc>
        <w:tc>
          <w:tcPr>
            <w:tcW w:type="dxa" w:w="628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the 30-day plan and holdout tests</w:t>
            </w:r>
          </w:p>
        </w:tc>
        <w:tc>
          <w:tcPr>
            <w:tcW w:type="dxa" w:w="17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17.8</w:t>
            </w:r>
          </w:p>
        </w:tc>
      </w:tr>
    </w:tbl>
    <w:p>
      <w:pPr>
        <w:spacing w:after="120" w:before="0"/>
      </w:pPr>
    </w:p>
    <w:p>
      <w:pPr>
        <w:pStyle w:val="Heading2"/>
        <w:keepNext/>
      </w:pPr>
      <w:bookmarkStart w:name="sec_17_2" w:id="104"/>
      <w:r>
        <w:rPr>
          <w:rFonts w:ascii="Arial" w:cs="Arial" w:eastAsia="Arial" w:hAnsi="Arial"/>
        </w:rPr>
        <w:t xml:space="preserve">17.2 Step 1: Build the prospect list</w:t>
      </w:r>
      <w:bookmarkEnd w:id="104"/>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32"/>
        <w:gridCol w:w="6048"/>
      </w:tblGrid>
      <w:tr>
        <w:trPr>
          <w:cantSplit/>
          <w:tblHeader/>
        </w:trPr>
        <w:tc>
          <w:tcPr>
            <w:tcW w:type="dxa" w:w="40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Store Leads filter</w:t>
            </w:r>
          </w:p>
        </w:tc>
        <w:tc>
          <w:tcPr>
            <w:tcW w:type="dxa" w:w="60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set</w:t>
            </w:r>
          </w:p>
        </w:tc>
      </w:tr>
      <w:tr>
        <w:trPr>
          <w:cantSplit/>
        </w:trPr>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Platform and country</w:t>
            </w:r>
          </w:p>
        </w:tc>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or Shopify Plus; US, UK, Canada, Australia, Ireland, or NZ</w:t>
            </w:r>
          </w:p>
        </w:tc>
      </w:tr>
      <w:tr>
        <w:trPr>
          <w:cantSplit/>
        </w:trPr>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Estimated monthly sales (Ascent)</w:t>
            </w:r>
          </w:p>
        </w:tc>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$83k+/month</w:t>
            </w:r>
          </w:p>
        </w:tc>
      </w:tr>
      <w:tr>
        <w:trPr>
          <w:cantSplit/>
        </w:trPr>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Estimated monthly sales (Lhotse)</w:t>
            </w:r>
          </w:p>
        </w:tc>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$250k+/month for beauty and supplements; $333k+/month for pet; $417k+/month for food</w:t>
            </w:r>
          </w:p>
        </w:tc>
      </w:tr>
      <w:tr>
        <w:trPr>
          <w:cantSplit/>
        </w:trPr>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Apps to include</w:t>
            </w:r>
          </w:p>
        </w:tc>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r>
      <w:tr>
        <w:trPr>
          <w:cantSplit/>
        </w:trPr>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Apps to exclude</w:t>
            </w:r>
          </w:p>
        </w:tc>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Printful, Printify, Fourthwall; DSers, Zendrop, AutoDS, CJdropshipping</w:t>
            </w:r>
          </w:p>
        </w:tc>
      </w:tr>
      <w:tr>
        <w:trPr>
          <w:cantSplit/>
        </w:trPr>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 categories</w:t>
            </w:r>
          </w:p>
        </w:tc>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fitness, health, food and drink, pet (clothing as secondary)</w:t>
            </w:r>
          </w:p>
        </w:tc>
      </w:tr>
      <w:tr>
        <w:trPr>
          <w:cantSplit/>
        </w:trPr>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Post-filter checks</w:t>
            </w:r>
          </w:p>
        </w:tc>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Registered-agent address trap (Section 5.5); marketplace-led; hired an email agency in the last 6 months</w:t>
            </w:r>
          </w:p>
        </w:tc>
      </w:tr>
    </w:tbl>
    <w:p>
      <w:pPr>
        <w:spacing w:after="120" w:before="0"/>
      </w:pPr>
    </w:p>
    <w:p>
      <w:pPr>
        <w:pStyle w:val="Heading2"/>
        <w:keepNext/>
      </w:pPr>
      <w:bookmarkStart w:name="sec_17_3" w:id="105"/>
      <w:r>
        <w:rPr>
          <w:rFonts w:ascii="Arial" w:cs="Arial" w:eastAsia="Arial" w:hAnsi="Arial"/>
        </w:rPr>
        <w:t xml:space="preserve">17.3 Step 2: The 15-minute outside audit (no login needed)</w:t>
      </w:r>
      <w:bookmarkEnd w:id="105"/>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Boundaries:</w:t>
      </w:r>
      <w:r>
        <w:rPr>
          <w:rFonts w:ascii="Arial" w:cs="Arial" w:eastAsia="Arial" w:hAnsi="Arial"/>
          <w:sz w:val="20"/>
          <w:szCs w:val="20"/>
        </w:rPr>
        <w:t xml:space="preserve"> Use only publicly available DNS records and emails received as a regular subscriber. No login attempts, no scanning tools, no spoofing tests, and no contact with the brand's customers.</w:t>
      </w:r>
    </w:p>
    <w:p>
      <w:pPr>
        <w:pStyle w:val="Heading3"/>
        <w:keepNext/>
      </w:pPr>
      <w:r>
        <w:rPr>
          <w:rFonts w:ascii="Arial" w:cs="Arial" w:eastAsia="Arial" w:hAnsi="Arial"/>
        </w:rPr>
        <w:t xml:space="preserve">Part 1: Check the DNS records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7"/>
        <w:gridCol w:w="4698"/>
        <w:gridCol w:w="3425"/>
      </w:tblGrid>
      <w:tr>
        <w:trPr>
          <w:cantSplit/>
          <w:tblHeader/>
        </w:trPr>
        <w:tc>
          <w:tcPr>
            <w:tcW w:type="dxa" w:w="195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Check</w:t>
            </w:r>
          </w:p>
        </w:tc>
        <w:tc>
          <w:tcPr>
            <w:tcW w:type="dxa" w:w="46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looks up</w:t>
            </w:r>
          </w:p>
        </w:tc>
        <w:tc>
          <w:tcPr>
            <w:tcW w:type="dxa" w:w="342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expect</w:t>
            </w:r>
          </w:p>
        </w:tc>
      </w:tr>
      <w:tr>
        <w:trPr>
          <w:cantSplit/>
        </w:trPr>
        <w:tc>
          <w:tcPr>
            <w:tcW w:type="dxa" w:w="19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 SPF</w:t>
            </w:r>
          </w:p>
        </w:tc>
        <w:tc>
          <w:tcPr>
            <w:tcW w:type="dxa" w:w="46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domain's SPF record</w:t>
            </w:r>
          </w:p>
        </w:tc>
        <w:tc>
          <w:tcPr>
            <w:tcW w:type="dxa" w:w="342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Exactly ONE record</w:t>
            </w:r>
          </w:p>
        </w:tc>
      </w:tr>
      <w:tr>
        <w:trPr>
          <w:cantSplit/>
        </w:trPr>
        <w:tc>
          <w:tcPr>
            <w:tcW w:type="dxa" w:w="19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DMARC</w:t>
            </w:r>
          </w:p>
        </w:tc>
        <w:tc>
          <w:tcPr>
            <w:tcW w:type="dxa" w:w="46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w:t>
            </w:r>
            <w:r>
              <w:rPr>
                <w:rFonts w:ascii="Courier New" w:cs="Courier New" w:eastAsia="Courier New" w:hAnsi="Courier New"/>
                <w:color w:val="8A2B2B"/>
                <w:sz w:val="15"/>
                <w:szCs w:val="15"/>
              </w:rPr>
              <w:t xml:space="preserve">_dmarc</w:t>
            </w:r>
            <w:r>
              <w:rPr>
                <w:rFonts w:ascii="Arial" w:cs="Arial" w:eastAsia="Arial" w:hAnsi="Arial"/>
                <w:sz w:val="16"/>
                <w:szCs w:val="16"/>
              </w:rPr>
              <w:t xml:space="preserve"> record</w:t>
            </w:r>
          </w:p>
        </w:tc>
        <w:tc>
          <w:tcPr>
            <w:tcW w:type="dxa" w:w="342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Exactly ONE </w:t>
            </w:r>
            <w:r>
              <w:rPr>
                <w:rFonts w:ascii="Courier New" w:cs="Courier New" w:eastAsia="Courier New" w:hAnsi="Courier New"/>
                <w:color w:val="8A2B2B"/>
                <w:sz w:val="15"/>
                <w:szCs w:val="15"/>
              </w:rPr>
              <w:t xml:space="preserve">v=DMARC1</w:t>
            </w:r>
            <w:r>
              <w:rPr>
                <w:rFonts w:ascii="Arial" w:cs="Arial" w:eastAsia="Arial" w:hAnsi="Arial"/>
                <w:sz w:val="16"/>
                <w:szCs w:val="16"/>
              </w:rPr>
              <w:t xml:space="preserve"> record</w:t>
            </w:r>
          </w:p>
        </w:tc>
      </w:tr>
      <w:tr>
        <w:trPr>
          <w:cantSplit/>
        </w:trPr>
        <w:tc>
          <w:tcPr>
            <w:tcW w:type="dxa" w:w="19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MX</w:t>
            </w:r>
          </w:p>
        </w:tc>
        <w:tc>
          <w:tcPr>
            <w:tcW w:type="dxa" w:w="46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domain's mail records</w:t>
            </w:r>
          </w:p>
        </w:tc>
        <w:tc>
          <w:tcPr>
            <w:tcW w:type="dxa" w:w="342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Shows which email provider they use</w:t>
            </w:r>
          </w:p>
        </w:tc>
      </w:tr>
      <w:tr>
        <w:trPr>
          <w:cantSplit/>
        </w:trPr>
        <w:tc>
          <w:tcPr>
            <w:tcW w:type="dxa" w:w="19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 Sending subdomain</w:t>
            </w:r>
          </w:p>
        </w:tc>
        <w:tc>
          <w:tcPr>
            <w:tcW w:type="dxa" w:w="46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subdomain from the Return-Path in their email</w:t>
            </w:r>
          </w:p>
        </w:tc>
        <w:tc>
          <w:tcPr>
            <w:tcW w:type="dxa" w:w="342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Shows the sending setup</w:t>
            </w:r>
          </w:p>
        </w:tc>
      </w:tr>
      <w:tr>
        <w:trPr>
          <w:cantSplit/>
        </w:trPr>
        <w:tc>
          <w:tcPr>
            <w:tcW w:type="dxa" w:w="19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 DKIM</w:t>
            </w:r>
          </w:p>
        </w:tc>
        <w:tc>
          <w:tcPr>
            <w:tcW w:type="dxa" w:w="46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DKIM key named in their email's headers</w:t>
            </w:r>
          </w:p>
        </w:tc>
        <w:tc>
          <w:tcPr>
            <w:tcW w:type="dxa" w:w="342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valid key is published</w:t>
            </w:r>
          </w:p>
        </w:tc>
      </w:tr>
    </w:tbl>
    <w:p>
      <w:pPr>
        <w:spacing w:after="120" w:before="0"/>
      </w:pPr>
    </w:p>
    <w:p>
      <w:r>
        <w:rPr>
          <w:rFonts w:ascii="Arial" w:cs="Arial" w:eastAsia="Arial" w:hAnsi="Arial"/>
          <w:sz w:val="20"/>
          <w:szCs w:val="20"/>
        </w:rPr>
        <w:t xml:space="preserve">Run these commands in a terminal, replacing "brand.com" with the real domain: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4"/>
          <w:szCs w:val="14"/>
        </w:rPr>
        <w:t xml:space="preserve">DOMAIN=brand.com</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TXT $DOMAIN | grep -i "v=spf1"             # 1. SPF: expect exactly ONE record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TXT _dmarc.$DOMAIN                          # 2. DMARC: expect exactly ONE v=DMARC1 record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MX $DOMAIN                                  # 3. What email provider they use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TXT send.$DOMAIN                            # 4. Sending subdomain (from Return-Path in their email)</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4"/>
          <w:szCs w:val="14"/>
        </w:rPr>
        <w:t xml:space="preserve">dig +short TXT &lt;selector&gt;._domainkey.&lt;d-domain&gt;        # 5. DKIM key (from their email's headers)</w:t>
      </w:r>
    </w:p>
    <w:p>
      <w:r>
        <w:rPr>
          <w:rFonts w:ascii="Arial" w:cs="Arial" w:eastAsia="Arial" w:hAnsi="Arial"/>
          <w:sz w:val="20"/>
          <w:szCs w:val="20"/>
        </w:rPr>
        <w:t xml:space="preserve">Count the SPF lookups manually or with a free online SPF checker. The limit is 10.</w:t>
      </w:r>
    </w:p>
    <w:p>
      <w:pPr>
        <w:pStyle w:val="Heading3"/>
        <w:keepNext/>
      </w:pPr>
      <w:r>
        <w:rPr>
          <w:rFonts w:ascii="Arial" w:cs="Arial" w:eastAsia="Arial" w:hAnsi="Arial"/>
        </w:rPr>
        <w:t xml:space="preserve">Part 2: Check the inbox experience</w:t>
      </w:r>
    </w:p>
    <w:p>
      <w:r>
        <w:rPr>
          <w:rFonts w:ascii="Arial" w:cs="Arial" w:eastAsia="Arial" w:hAnsi="Arial"/>
          <w:sz w:val="20"/>
          <w:szCs w:val="20"/>
        </w:rPr>
        <w:t xml:space="preserve">Subscribe with a Gmail and an Outlook test inbox, then check the following.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3836"/>
        <w:gridCol w:w="4282"/>
      </w:tblGrid>
      <w:tr>
        <w:trPr>
          <w:cantSplit/>
          <w:tblHeader/>
        </w:trPr>
        <w:tc>
          <w:tcPr>
            <w:tcW w:type="dxa" w:w="196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check</w:t>
            </w:r>
          </w:p>
        </w:tc>
        <w:tc>
          <w:tcPr>
            <w:tcW w:type="dxa" w:w="38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Where to look</w:t>
            </w:r>
          </w:p>
        </w:tc>
        <w:tc>
          <w:tcPr>
            <w:tcW w:type="dxa" w:w="42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a problem looks like</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Sender label</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"From" line</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"via klaviyomail.com", or sender rewritten to shopifyemail.com</w:t>
            </w:r>
          </w:p>
        </w:tc>
      </w:tr>
      <w:tr>
        <w:trPr>
          <w:cantSplit/>
        </w:trPr>
        <w:tc>
          <w:tcPr>
            <w:tcW w:type="dxa" w:w="19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Security settings</w:t>
            </w:r>
          </w:p>
        </w:tc>
        <w:tc>
          <w:tcPr>
            <w:tcW w:type="dxa" w:w="38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then "Show original" message</w:t>
            </w:r>
          </w:p>
        </w:tc>
        <w:tc>
          <w:tcPr>
            <w:tcW w:type="dxa" w:w="4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DKIM, or DMARC showing "fail" instead of "pass"; From domain not matching</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One-click unsubscribe</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header: List-Unsubscribe-Post</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Missing on marketing emails</w:t>
            </w:r>
          </w:p>
        </w:tc>
      </w:tr>
      <w:tr>
        <w:trPr>
          <w:cantSplit/>
        </w:trPr>
        <w:tc>
          <w:tcPr>
            <w:tcW w:type="dxa" w:w="19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 email delivery</w:t>
            </w:r>
          </w:p>
        </w:tc>
        <w:tc>
          <w:tcPr>
            <w:tcW w:type="dxa" w:w="38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When it arrives and which folder</w:t>
            </w:r>
          </w:p>
        </w:tc>
        <w:tc>
          <w:tcPr>
            <w:tcW w:type="dxa" w:w="4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1 hour late, or landing in Outlook junk</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Sequence depth</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received over 14 days</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Single welcome email; daily blasts to a subscriber who never clicked</w:t>
            </w:r>
          </w:p>
        </w:tc>
      </w:tr>
      <w:tr>
        <w:trPr>
          <w:cantSplit/>
        </w:trPr>
        <w:tc>
          <w:tcPr>
            <w:tcW w:type="dxa" w:w="19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Form protection</w:t>
            </w:r>
          </w:p>
        </w:tc>
        <w:tc>
          <w:tcPr>
            <w:tcW w:type="dxa" w:w="38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Sign-up popup on the site</w:t>
            </w:r>
          </w:p>
        </w:tc>
        <w:tc>
          <w:tcPr>
            <w:tcW w:type="dxa" w:w="4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CAPTCHA; no double opt-in on risky sources</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Browse and cart</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Browse, then start checkout while logged in</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follow-up within 48 hours</w:t>
            </w:r>
          </w:p>
        </w:tc>
      </w:tr>
    </w:tbl>
    <w:p>
      <w:pPr>
        <w:spacing w:after="120" w:before="0"/>
      </w:pPr>
    </w:p>
    <w:p>
      <w:pPr>
        <w:pStyle w:val="Heading3"/>
        <w:keepNext/>
      </w:pPr>
      <w:r>
        <w:rPr>
          <w:rFonts w:ascii="Arial" w:cs="Arial" w:eastAsia="Arial" w:hAnsi="Arial"/>
        </w:rPr>
        <w:t xml:space="preserve">Part 3: Rate and explain the findings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6"/>
        <w:gridCol w:w="2159"/>
        <w:gridCol w:w="902"/>
        <w:gridCol w:w="3703"/>
      </w:tblGrid>
      <w:tr>
        <w:trPr>
          <w:cantSplit/>
          <w:tblHeader/>
        </w:trPr>
        <w:tc>
          <w:tcPr>
            <w:tcW w:type="dxa" w:w="33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Finding</w:t>
            </w:r>
          </w:p>
        </w:tc>
        <w:tc>
          <w:tcPr>
            <w:tcW w:type="dxa" w:w="21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serious</w:t>
            </w:r>
          </w:p>
        </w:tc>
        <w:tc>
          <w:tcPr>
            <w:tcW w:type="dxa" w:w="9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Which service</w:t>
            </w:r>
          </w:p>
        </w:tc>
        <w:tc>
          <w:tcPr>
            <w:tcW w:type="dxa" w:w="370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describe it simply</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DMARC, or two records</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domain has no DMARC record, which Gmail and Yahoo now require from bulk senders. It's a two-minute DNS fix."</w:t>
            </w:r>
          </w:p>
        </w:tc>
      </w:tr>
      <w:tr>
        <w:trPr>
          <w:cantSplit/>
        </w:trPr>
        <w:tc>
          <w:tcPr>
            <w:tcW w:type="dxa" w:w="33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Shared Klaviyo domain on 5,000+ subscribers</w:t>
            </w:r>
          </w:p>
        </w:tc>
        <w:tc>
          <w:tcPr>
            <w:tcW w:type="dxa" w:w="21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emails say 'via klaviyomail.com,' meaning your reputation is pooled with other senders."</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sender rewrite</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is replacing your sender address with shopifyemail.com because of a security gap."</w:t>
            </w:r>
          </w:p>
        </w:tc>
      </w:tr>
      <w:tr>
        <w:trPr>
          <w:cantSplit/>
        </w:trPr>
        <w:tc>
          <w:tcPr>
            <w:tcW w:type="dxa" w:w="33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Landing in Outlook junk</w:t>
            </w:r>
          </w:p>
        </w:tc>
        <w:tc>
          <w:tcPr>
            <w:tcW w:type="dxa" w:w="21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 (UK, Canada, Australia)</w:t>
            </w:r>
          </w:p>
        </w:tc>
        <w:tc>
          <w:tcPr>
            <w:tcW w:type="dxa" w:w="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welcome email landed in Outlook junk, and about a third of UK inboxes are Microsoft."</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one-click unsubscribe</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requires a one-click unsubscribe."</w:t>
            </w:r>
          </w:p>
        </w:tc>
      </w:tr>
      <w:tr>
        <w:trPr>
          <w:cantSplit/>
        </w:trPr>
        <w:tc>
          <w:tcPr>
            <w:tcW w:type="dxa" w:w="33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over the lookup limit</w:t>
            </w:r>
          </w:p>
        </w:tc>
        <w:tc>
          <w:tcPr>
            <w:tcW w:type="dxa" w:w="21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SPF record has too many lookups."</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one welcome email</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welcome is one email, and there's no reorder reminder for a 30-day product."</w:t>
            </w:r>
          </w:p>
        </w:tc>
      </w:tr>
      <w:tr>
        <w:trPr>
          <w:cantSplit/>
        </w:trPr>
        <w:tc>
          <w:tcPr>
            <w:tcW w:type="dxa" w:w="33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Daily full-list blasts</w:t>
            </w:r>
          </w:p>
        </w:tc>
        <w:tc>
          <w:tcPr>
            <w:tcW w:type="dxa" w:w="21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w:t>
            </w:r>
          </w:p>
        </w:tc>
        <w:tc>
          <w:tcPr>
            <w:tcW w:type="dxa" w:w="37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"Sending daily to people who never click is what pushes a list into spam."</w:t>
            </w:r>
          </w:p>
        </w:tc>
      </w:tr>
    </w:tbl>
    <w:p>
      <w:pPr>
        <w:spacing w:after="120" w:before="0"/>
      </w:pPr>
    </w:p>
    <w:p>
      <w:pPr>
        <w:pStyle w:val="Heading2"/>
        <w:keepNext/>
      </w:pPr>
      <w:bookmarkStart w:name="sec_17_4" w:id="106"/>
      <w:r>
        <w:rPr>
          <w:rFonts w:ascii="Arial" w:cs="Arial" w:eastAsia="Arial" w:hAnsi="Arial"/>
        </w:rPr>
        <w:t xml:space="preserve">17.4 Step 3: Record a 90-second audit video</w:t>
      </w:r>
      <w:bookmarkEnd w:id="106"/>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3"/>
        <w:gridCol w:w="3158"/>
        <w:gridCol w:w="5829"/>
      </w:tblGrid>
      <w:tr>
        <w:trPr>
          <w:cantSplit/>
          <w:tblHeader/>
        </w:trPr>
        <w:tc>
          <w:tcPr>
            <w:tcW w:type="dxa" w:w="109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Time</w:t>
            </w:r>
          </w:p>
        </w:tc>
        <w:tc>
          <w:tcPr>
            <w:tcW w:type="dxa" w:w="31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58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Example script</w:t>
            </w:r>
          </w:p>
        </w:tc>
      </w:tr>
      <w:tr>
        <w:trPr>
          <w:cantSplit/>
        </w:trPr>
        <w:tc>
          <w:tcPr>
            <w:tcW w:type="dxa" w:w="1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0:00–0:10</w:t>
            </w:r>
          </w:p>
        </w:tc>
        <w:tc>
          <w:tcPr>
            <w:tcW w:type="dxa" w:w="31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Hook</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 [name], I'm [your name] from GrowMailers. I joined the [Brand] list last week, and your [specific email] is genuinely good."</w:t>
            </w:r>
          </w:p>
        </w:tc>
      </w:tr>
      <w:tr>
        <w:trPr>
          <w:cantSplit/>
        </w:trPr>
        <w:tc>
          <w:tcPr>
            <w:tcW w:type="dxa" w:w="109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0:10–0:35</w:t>
            </w:r>
          </w:p>
        </w:tc>
        <w:tc>
          <w:tcPr>
            <w:tcW w:type="dxa" w:w="31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Show the finding on screen</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thing stood out in the headers. [Show it.] This line means [finding]. In plain terms: [impact]."</w:t>
            </w:r>
          </w:p>
        </w:tc>
      </w:tr>
      <w:tr>
        <w:trPr>
          <w:cantSplit/>
        </w:trPr>
        <w:tc>
          <w:tcPr>
            <w:tcW w:type="dxa" w:w="1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0:35–0:55</w:t>
            </w:r>
          </w:p>
        </w:tc>
        <w:tc>
          <w:tcPr>
            <w:tcW w:type="dxa" w:w="31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Explain why it matters now</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"With Black Friday on November 27 [or: Gmail's bulk-sender rules], this is the kind of thing that turns into bounces just as volume rises."</w:t>
            </w:r>
          </w:p>
        </w:tc>
      </w:tr>
      <w:tr>
        <w:trPr>
          <w:cantSplit/>
        </w:trPr>
        <w:tc>
          <w:tcPr>
            <w:tcW w:type="dxa" w:w="109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0:55–1:15</w:t>
            </w:r>
          </w:p>
        </w:tc>
        <w:tc>
          <w:tcPr>
            <w:tcW w:type="dxa" w:w="31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Give the free fix</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"Here's the exact fix. [Show it.] Your developer can add it in minutes, and it's in the email below."</w:t>
            </w:r>
          </w:p>
        </w:tc>
      </w:tr>
      <w:tr>
        <w:trPr>
          <w:cantSplit/>
        </w:trPr>
        <w:tc>
          <w:tcPr>
            <w:tcW w:type="dxa" w:w="1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1:15–1:30</w:t>
            </w:r>
          </w:p>
        </w:tc>
        <w:tc>
          <w:tcPr>
            <w:tcW w:type="dxa" w:w="31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Soft close</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"That's it. No pitch. If you want a second pair of eyes on the rest, just reply."</w:t>
            </w:r>
          </w:p>
        </w:tc>
      </w:tr>
    </w:tbl>
    <w:p>
      <w:pPr>
        <w:spacing w:after="120" w:before="0"/>
      </w:pPr>
    </w:p>
    <w:p>
      <w:r>
        <w:rPr>
          <w:rFonts w:ascii="Arial" w:cs="Arial" w:eastAsia="Arial" w:hAnsi="Arial"/>
          <w:sz w:val="20"/>
          <w:szCs w:val="20"/>
        </w:rPr>
        <w:t xml:space="preserve">Record the real inbox or DNS output, never a generic slide. Keep the video under two minutes.</w:t>
      </w:r>
    </w:p>
    <w:p>
      <w:pPr>
        <w:pStyle w:val="Heading2"/>
        <w:keepNext/>
      </w:pPr>
      <w:bookmarkStart w:name="sec_17_5" w:id="107"/>
      <w:r>
        <w:rPr>
          <w:rFonts w:ascii="Arial" w:cs="Arial" w:eastAsia="Arial" w:hAnsi="Arial"/>
        </w:rPr>
        <w:t xml:space="preserve">17.5 Step 4: Email templates</w:t>
      </w:r>
      <w:bookmarkEnd w:id="107"/>
    </w:p>
    <w:p>
      <w:r>
        <w:rPr>
          <w:rFonts w:ascii="Arial" w:cs="Arial" w:eastAsia="Arial" w:hAnsi="Arial"/>
          <w:sz w:val="20"/>
          <w:szCs w:val="20"/>
        </w:rPr>
        <w:t xml:space="preserve">Each template below is sent with the audit video. Replace every item in square brackets before sending.</w:t>
      </w:r>
    </w:p>
    <w:p>
      <w:pPr>
        <w:pStyle w:val="Heading3"/>
        <w:keepNext/>
      </w:pPr>
      <w:r>
        <w:rPr>
          <w:rFonts w:ascii="Arial" w:cs="Arial" w:eastAsia="Arial" w:hAnsi="Arial"/>
        </w:rPr>
        <w:t xml:space="preserve">Template A: Ascent, to a founder ($1M to $5M brand)</w:t>
      </w:r>
    </w:p>
    <w:p>
      <w:pPr>
        <w:pBdr>
          <w:left w:val="single" w:color="2E7D6B" w:sz="24" w:space="8"/>
        </w:pBdr>
        <w:shd w:fill="EAF4F1" w:color="auto" w:val="clear"/>
        <w:spacing w:after="100" w:before="120" w:line="276"/>
        <w:ind w:left="180" w:right="180"/>
      </w:pPr>
      <w:r>
        <w:rPr>
          <w:rFonts w:ascii="Arial" w:cs="Arial" w:eastAsia="Arial" w:hAnsi="Arial"/>
          <w:b/>
          <w:bCs/>
          <w:sz w:val="20"/>
          <w:szCs w:val="20"/>
        </w:rPr>
        <w:t xml:space="preserve">Subject:</w:t>
      </w:r>
      <w:r>
        <w:rPr>
          <w:rFonts w:ascii="Arial" w:cs="Arial" w:eastAsia="Arial" w:hAnsi="Arial"/>
          <w:sz w:val="20"/>
          <w:szCs w:val="20"/>
        </w:rPr>
        <w:t xml:space="preserve"> [Brand]'s DMARC record</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Hi [first name], I joined the [Brand] list to study your welcome emails (the [detail] one is great) and noticed something in the headers: [plain-English finding]. Since last year, Gmail, Yahoo, and Microsoft have been rejecting bulk email that fails this check, so it's worth fixing before Black Friday volume picks up. It's a small fix, and I recorded 90 seconds showing exactly what to change: [video link]. No strings attached. If you'd like me to look at the rest, just reply.</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[Your name], GrowMailers</w:t>
      </w:r>
    </w:p>
    <w:p>
      <w:pPr>
        <w:pBdr>
          <w:left w:val="single" w:color="2E7D6B" w:sz="24" w:space="8"/>
        </w:pBdr>
        <w:shd w:fill="EAF4F1" w:color="auto" w:val="clear"/>
        <w:spacing w:after="200" w:before="0" w:line="276"/>
        <w:ind w:left="180" w:right="180"/>
      </w:pPr>
      <w:r>
        <w:rPr>
          <w:rFonts w:ascii="Arial" w:cs="Arial" w:eastAsia="Arial" w:hAnsi="Arial"/>
          <w:i/>
          <w:iCs/>
          <w:sz w:val="20"/>
          <w:szCs w:val="20"/>
        </w:rPr>
        <w:t xml:space="preserve">GrowMailers · [mailing address] · A one-off business message about our email services. I found your address on [source]. Reply "no thanks" and I won't contact you again.</w:t>
      </w:r>
    </w:p>
    <w:p>
      <w:pPr>
        <w:pStyle w:val="Heading3"/>
        <w:keepNext/>
      </w:pPr>
      <w:r>
        <w:rPr>
          <w:rFonts w:ascii="Arial" w:cs="Arial" w:eastAsia="Arial" w:hAnsi="Arial"/>
        </w:rPr>
        <w:t xml:space="preserve">Template B: Lhotse, to a Head of Marketing or Head of Growth</w:t>
      </w:r>
    </w:p>
    <w:p>
      <w:pPr>
        <w:pBdr>
          <w:left w:val="single" w:color="2E7D6B" w:sz="24" w:space="8"/>
        </w:pBdr>
        <w:shd w:fill="EAF4F1" w:color="auto" w:val="clear"/>
        <w:spacing w:after="100" w:before="120" w:line="276"/>
        <w:ind w:left="180" w:right="180"/>
      </w:pPr>
      <w:r>
        <w:rPr>
          <w:rFonts w:ascii="Arial" w:cs="Arial" w:eastAsia="Arial" w:hAnsi="Arial"/>
          <w:b/>
          <w:bCs/>
          <w:sz w:val="20"/>
          <w:szCs w:val="20"/>
        </w:rPr>
        <w:t xml:space="preserve">Subject:</w:t>
      </w:r>
      <w:r>
        <w:rPr>
          <w:rFonts w:ascii="Arial" w:cs="Arial" w:eastAsia="Arial" w:hAnsi="Arial"/>
          <w:sz w:val="20"/>
          <w:szCs w:val="20"/>
        </w:rPr>
        <w:t xml:space="preserve"> reorder reminder at [Brand]</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Hi [first name], I've been on the [Brand] list for two weeks. Your campaigns are sharp, but I didn't see a reorder reminder for [product], which is roughly a [N]-day product. At your size, a working reorder and post-purchase system usually needs just 1–3% of monthly orders to be incremental to pay for a full retention team, and we prove it with a holdout control group rather than platform estimates. Worth 20 minutes in January, once peak is behind you?</w:t>
      </w:r>
    </w:p>
    <w:p>
      <w:pPr>
        <w:pBdr>
          <w:left w:val="single" w:color="2E7D6B" w:sz="24" w:space="8"/>
        </w:pBdr>
        <w:shd w:fill="EAF4F1" w:color="auto" w:val="clear"/>
        <w:spacing w:after="200" w:before="0" w:line="276"/>
        <w:ind w:left="180" w:right="180"/>
      </w:pPr>
      <w:r>
        <w:rPr>
          <w:rFonts w:ascii="Arial" w:cs="Arial" w:eastAsia="Arial" w:hAnsi="Arial"/>
          <w:sz w:val="20"/>
          <w:szCs w:val="20"/>
        </w:rPr>
        <w:t xml:space="preserve">[Your name], GrowMailers · </w:t>
      </w:r>
      <w:r>
        <w:rPr>
          <w:rFonts w:ascii="Arial" w:cs="Arial" w:eastAsia="Arial" w:hAnsi="Arial"/>
          <w:i/>
          <w:iCs/>
          <w:sz w:val="20"/>
          <w:szCs w:val="20"/>
        </w:rPr>
        <w:t xml:space="preserve">[compliant footer]</w:t>
      </w:r>
    </w:p>
    <w:p>
      <w:pPr>
        <w:pStyle w:val="Heading3"/>
        <w:keepNext/>
      </w:pPr>
      <w:r>
        <w:rPr>
          <w:rFonts w:ascii="Arial" w:cs="Arial" w:eastAsia="Arial" w:hAnsi="Arial"/>
        </w:rPr>
        <w:t xml:space="preserve">Template C: Ascent, to a CRM or Retention specialist at a large brand</w:t>
      </w:r>
    </w:p>
    <w:p>
      <w:pPr>
        <w:pBdr>
          <w:left w:val="single" w:color="2E7D6B" w:sz="24" w:space="8"/>
        </w:pBdr>
        <w:shd w:fill="EAF4F1" w:color="auto" w:val="clear"/>
        <w:spacing w:after="100" w:before="120" w:line="276"/>
        <w:ind w:left="180" w:right="180"/>
      </w:pPr>
      <w:r>
        <w:rPr>
          <w:rFonts w:ascii="Arial" w:cs="Arial" w:eastAsia="Arial" w:hAnsi="Arial"/>
          <w:b/>
          <w:bCs/>
          <w:sz w:val="20"/>
          <w:szCs w:val="20"/>
        </w:rPr>
        <w:t xml:space="preserve">Subject:</w:t>
      </w:r>
      <w:r>
        <w:rPr>
          <w:rFonts w:ascii="Arial" w:cs="Arial" w:eastAsia="Arial" w:hAnsi="Arial"/>
          <w:sz w:val="20"/>
          <w:szCs w:val="20"/>
        </w:rPr>
        <w:t xml:space="preserve"> DMARC enforcement at [Brand]</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Hi [first name], I work with enterprise brands moving from monitoring-only DMARC to full enforcement without disrupting sending. Looking at [Brand]'s headers, there are [N] sending tools currently not passing aligned checks. That is the kind of thing that becomes an emergency the week of a big send. I've outlined the full inventory below and included a zero-downtime repair sequence. Happy to walk through it in 20 minutes if useful.</w:t>
      </w:r>
    </w:p>
    <w:p>
      <w:pPr>
        <w:pBdr>
          <w:left w:val="single" w:color="2E7D6B" w:sz="24" w:space="8"/>
        </w:pBdr>
        <w:shd w:fill="EAF4F1" w:color="auto" w:val="clear"/>
        <w:spacing w:after="200" w:before="0" w:line="276"/>
        <w:ind w:left="180" w:right="180"/>
      </w:pPr>
      <w:r>
        <w:rPr>
          <w:rFonts w:ascii="Arial" w:cs="Arial" w:eastAsia="Arial" w:hAnsi="Arial"/>
          <w:sz w:val="20"/>
          <w:szCs w:val="20"/>
        </w:rPr>
        <w:t xml:space="preserve">[Your name], GrowMailers · </w:t>
      </w:r>
      <w:r>
        <w:rPr>
          <w:rFonts w:ascii="Arial" w:cs="Arial" w:eastAsia="Arial" w:hAnsi="Arial"/>
          <w:i/>
          <w:iCs/>
          <w:sz w:val="20"/>
          <w:szCs w:val="20"/>
        </w:rPr>
        <w:t xml:space="preserve">[compliant footer]</w:t>
      </w:r>
    </w:p>
    <w:p>
      <w:pPr>
        <w:pStyle w:val="Heading2"/>
        <w:keepNext/>
      </w:pPr>
      <w:bookmarkStart w:name="sec_17_6" w:id="108"/>
      <w:r>
        <w:rPr>
          <w:rFonts w:ascii="Arial" w:cs="Arial" w:eastAsia="Arial" w:hAnsi="Arial"/>
        </w:rPr>
        <w:t xml:space="preserve">17.6 Step 5: Build a financial model on the discovery call</w:t>
      </w:r>
      <w:bookmarkEnd w:id="108"/>
    </w:p>
    <w:p>
      <w:pPr>
        <w:pStyle w:val="Heading3"/>
        <w:keepNext/>
      </w:pPr>
      <w:r>
        <w:rPr>
          <w:rFonts w:ascii="Arial" w:cs="Arial" w:eastAsia="Arial" w:hAnsi="Arial"/>
        </w:rPr>
        <w:t xml:space="preserve">Discovery call questions</w:t>
      </w:r>
    </w:p>
    <w:p>
      <w:pPr>
        <w:pStyle w:val="ListParagraph"/>
        <w:numPr>
          <w:ilvl w:val="0"/>
          <w:numId w:val="6"/>
        </w:numPr>
        <w:spacing w:after="60"/>
      </w:pPr>
      <w:r>
        <w:rPr>
          <w:rFonts w:ascii="Arial" w:cs="Arial" w:eastAsia="Arial" w:hAnsi="Arial"/>
          <w:sz w:val="20"/>
          <w:szCs w:val="20"/>
        </w:rPr>
        <w:t xml:space="preserve">"What's your email's share of website revenue, and what attribution window does Klaviyo use?"</w:t>
      </w:r>
    </w:p>
    <w:p>
      <w:pPr>
        <w:pStyle w:val="ListParagraph"/>
        <w:numPr>
          <w:ilvl w:val="0"/>
          <w:numId w:val="6"/>
        </w:numPr>
        <w:spacing w:after="60"/>
      </w:pPr>
      <w:r>
        <w:rPr>
          <w:rFonts w:ascii="Arial" w:cs="Arial" w:eastAsia="Arial" w:hAnsi="Arial"/>
          <w:sz w:val="20"/>
          <w:szCs w:val="20"/>
        </w:rPr>
        <w:t xml:space="preserve">"How many total orders a month, and what's your average order value?"</w:t>
      </w:r>
    </w:p>
    <w:p>
      <w:pPr>
        <w:pStyle w:val="ListParagraph"/>
        <w:numPr>
          <w:ilvl w:val="0"/>
          <w:numId w:val="6"/>
        </w:numPr>
        <w:spacing w:after="60"/>
      </w:pPr>
      <w:r>
        <w:rPr>
          <w:rFonts w:ascii="Arial" w:cs="Arial" w:eastAsia="Arial" w:hAnsi="Arial"/>
          <w:sz w:val="20"/>
          <w:szCs w:val="20"/>
        </w:rPr>
        <w:t xml:space="preserve">"What percentage of buyers come back within 12 months?"</w:t>
      </w:r>
    </w:p>
    <w:p>
      <w:pPr>
        <w:pStyle w:val="ListParagraph"/>
        <w:numPr>
          <w:ilvl w:val="0"/>
          <w:numId w:val="6"/>
        </w:numPr>
        <w:spacing w:after="60"/>
      </w:pPr>
      <w:r>
        <w:rPr>
          <w:rFonts w:ascii="Arial" w:cs="Arial" w:eastAsia="Arial" w:hAnsi="Arial"/>
          <w:sz w:val="20"/>
          <w:szCs w:val="20"/>
        </w:rPr>
        <w:t xml:space="preserve">"What's your approximate gross margin?"</w:t>
      </w:r>
    </w:p>
    <w:p>
      <w:pPr>
        <w:pStyle w:val="ListParagraph"/>
        <w:numPr>
          <w:ilvl w:val="0"/>
          <w:numId w:val="6"/>
        </w:numPr>
        <w:spacing w:after="60"/>
      </w:pPr>
      <w:r>
        <w:rPr>
          <w:rFonts w:ascii="Arial" w:cs="Arial" w:eastAsia="Arial" w:hAnsi="Arial"/>
          <w:sz w:val="20"/>
          <w:szCs w:val="20"/>
        </w:rPr>
        <w:t xml:space="preserve">"What's your biggest email concern right now: delivery, revenue, or both?"</w:t>
      </w:r>
    </w:p>
    <w:p>
      <w:pPr>
        <w:spacing w:after="60" w:before="0"/>
      </w:pPr>
    </w:p>
    <w:p>
      <w:pPr>
        <w:pStyle w:val="Heading3"/>
        <w:keepNext/>
      </w:pPr>
      <w:r>
        <w:rPr>
          <w:rFonts w:ascii="Arial" w:cs="Arial" w:eastAsia="Arial" w:hAnsi="Arial"/>
        </w:rPr>
        <w:t xml:space="preserve">The breakeven model</w:t>
      </w:r>
    </w:p>
    <w:p>
      <w:r>
        <w:rPr>
          <w:rFonts w:ascii="Arial" w:cs="Arial" w:eastAsia="Arial" w:hAnsi="Arial"/>
          <w:sz w:val="20"/>
          <w:szCs w:val="20"/>
        </w:rPr>
        <w:t xml:space="preserve">Build the prospect's model live during the call using two formulas:</w:t>
      </w:r>
    </w:p>
    <w:p>
      <w:pPr>
        <w:pStyle w:val="ListParagraph"/>
        <w:numPr>
          <w:ilvl w:val="0"/>
          <w:numId w:val="5"/>
        </w:numPr>
        <w:spacing w:after="60"/>
      </w:pPr>
      <w:r>
        <w:rPr>
          <w:rFonts w:ascii="Arial" w:cs="Arial" w:eastAsia="Arial" w:hAnsi="Arial"/>
          <w:b/>
          <w:bCs/>
          <w:sz w:val="20"/>
          <w:szCs w:val="20"/>
        </w:rPr>
        <w:t xml:space="preserve">Repeat order contribution</w:t>
      </w:r>
      <w:r>
        <w:rPr>
          <w:rFonts w:ascii="Arial" w:cs="Arial" w:eastAsia="Arial" w:hAnsi="Arial"/>
          <w:sz w:val="20"/>
          <w:szCs w:val="20"/>
        </w:rPr>
        <w:t xml:space="preserve"> = order value × gross margin − shipping</w:t>
      </w:r>
    </w:p>
    <w:p>
      <w:pPr>
        <w:pStyle w:val="ListParagraph"/>
        <w:numPr>
          <w:ilvl w:val="0"/>
          <w:numId w:val="5"/>
        </w:numPr>
        <w:spacing w:after="60"/>
      </w:pPr>
      <w:r>
        <w:rPr>
          <w:rFonts w:ascii="Arial" w:cs="Arial" w:eastAsia="Arial" w:hAnsi="Arial"/>
          <w:b/>
          <w:bCs/>
          <w:sz w:val="20"/>
          <w:szCs w:val="20"/>
        </w:rPr>
        <w:t xml:space="preserve">Lhotse breakeven</w:t>
      </w:r>
      <w:r>
        <w:rPr>
          <w:rFonts w:ascii="Arial" w:cs="Arial" w:eastAsia="Arial" w:hAnsi="Arial"/>
          <w:sz w:val="20"/>
          <w:szCs w:val="20"/>
        </w:rPr>
        <w:t xml:space="preserve"> = monthly fee ($3,000 to $5,500) ÷ repeat order contribution. The result is the number of extra orders per month Lhotse needs to generate.</w:t>
      </w:r>
    </w:p>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5"/>
        <w:gridCol w:w="4791"/>
        <w:gridCol w:w="2794"/>
      </w:tblGrid>
      <w:tr>
        <w:trPr>
          <w:cantSplit/>
          <w:tblHeader/>
        </w:trPr>
        <w:tc>
          <w:tcPr>
            <w:tcW w:type="dxa" w:w="249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47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Calculation</w:t>
            </w:r>
          </w:p>
        </w:tc>
        <w:tc>
          <w:tcPr>
            <w:tcW w:type="dxa" w:w="279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Result</w:t>
            </w:r>
          </w:p>
        </w:tc>
      </w:tr>
      <w:tr>
        <w:trPr>
          <w:cantSplit/>
        </w:trPr>
        <w:tc>
          <w:tcPr>
            <w:tcW w:type="dxa" w:w="249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Inputs</w:t>
            </w:r>
          </w:p>
        </w:tc>
        <w:tc>
          <w:tcPr>
            <w:tcW w:type="dxa" w:w="47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$3,000/month fee; $69 supplement; 70% margin; $8 shipping</w:t>
            </w:r>
          </w:p>
        </w:tc>
        <w:tc>
          <w:tcPr>
            <w:tcW w:type="dxa" w:w="27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249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Repeat order contribution</w:t>
            </w:r>
          </w:p>
        </w:tc>
        <w:tc>
          <w:tcPr>
            <w:tcW w:type="dxa" w:w="47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$69 × 0.70 − $8</w:t>
            </w:r>
          </w:p>
        </w:tc>
        <w:tc>
          <w:tcPr>
            <w:tcW w:type="dxa" w:w="27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$40.30</w:t>
            </w:r>
          </w:p>
        </w:tc>
      </w:tr>
      <w:tr>
        <w:trPr>
          <w:cantSplit/>
        </w:trPr>
        <w:tc>
          <w:tcPr>
            <w:tcW w:type="dxa" w:w="249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Breakeven</w:t>
            </w:r>
          </w:p>
        </w:tc>
        <w:tc>
          <w:tcPr>
            <w:tcW w:type="dxa" w:w="47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$3,000 ÷ $40.30</w:t>
            </w:r>
          </w:p>
        </w:tc>
        <w:tc>
          <w:tcPr>
            <w:tcW w:type="dxa" w:w="27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74 extra orders/month</w:t>
            </w:r>
          </w:p>
        </w:tc>
      </w:tr>
      <w:tr>
        <w:trPr>
          <w:cantSplit/>
        </w:trPr>
        <w:tc>
          <w:tcPr>
            <w:tcW w:type="dxa" w:w="249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total orders</w:t>
            </w:r>
          </w:p>
        </w:tc>
        <w:tc>
          <w:tcPr>
            <w:tcW w:type="dxa" w:w="47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74 ÷ 4,000 orders/month</w:t>
            </w:r>
          </w:p>
        </w:tc>
        <w:tc>
          <w:tcPr>
            <w:tcW w:type="dxa" w:w="27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1.9% needs to be incremental</w:t>
            </w:r>
          </w:p>
        </w:tc>
      </w:tr>
    </w:tbl>
    <w:p>
      <w:pPr>
        <w:spacing w:after="120" w:before="0"/>
      </w:pPr>
    </w:p>
    <w:p>
      <w:r>
        <w:rPr>
          <w:rFonts w:ascii="Arial" w:cs="Arial" w:eastAsia="Arial" w:hAnsi="Arial"/>
          <w:sz w:val="20"/>
          <w:szCs w:val="20"/>
        </w:rPr>
        <w:t xml:space="preserve">When the prospect's own model shows that only 1% to 3% of orders need to be incremental, the price objection typically disappears.</w:t>
      </w:r>
    </w:p>
    <w:p>
      <w:pPr>
        <w:pStyle w:val="Heading2"/>
        <w:keepNext/>
      </w:pPr>
      <w:bookmarkStart w:name="sec_17_7" w:id="109"/>
      <w:r>
        <w:rPr>
          <w:rFonts w:ascii="Arial" w:cs="Arial" w:eastAsia="Arial" w:hAnsi="Arial"/>
        </w:rPr>
        <w:t xml:space="preserve">17.7 Step 6: The Ascent proposal</w:t>
      </w:r>
      <w:bookmarkEnd w:id="109"/>
    </w:p>
    <w:p>
      <w:r>
        <w:rPr>
          <w:rFonts w:ascii="Arial" w:cs="Arial" w:eastAsia="Arial" w:hAnsi="Arial"/>
          <w:sz w:val="20"/>
          <w:szCs w:val="20"/>
        </w:rPr>
        <w:t xml:space="preserve">The Ascent Statement of Work should include these eight parts.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236"/>
        <w:gridCol w:w="5944"/>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t>
            </w:r>
          </w:p>
        </w:tc>
        <w:tc>
          <w:tcPr>
            <w:tcW w:type="dxa" w:w="32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Part</w:t>
            </w:r>
          </w:p>
        </w:tc>
        <w:tc>
          <w:tcPr>
            <w:tcW w:type="dxa" w:w="59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covers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32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Audit findings</w:t>
            </w:r>
          </w:p>
        </w:tc>
        <w:tc>
          <w:tcPr>
            <w:tcW w:type="dxa" w:w="59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we found in their headers and inbox</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32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Repair plan</w:t>
            </w:r>
          </w:p>
        </w:tc>
        <w:tc>
          <w:tcPr>
            <w:tcW w:type="dxa" w:w="59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Which settings we fix, in what order, and how long it takes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32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Safety guardrails</w:t>
            </w:r>
          </w:p>
        </w:tc>
        <w:tc>
          <w:tcPr>
            <w:tcW w:type="dxa" w:w="59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we never touch; rollback plans for every DNS change</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32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Delivery schedule</w:t>
            </w:r>
          </w:p>
        </w:tc>
        <w:tc>
          <w:tcPr>
            <w:tcW w:type="dxa" w:w="59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14-day repair timeline from Section 12.8, plus the warm-up schedule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32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Measurement</w:t>
            </w:r>
          </w:p>
        </w:tc>
        <w:tc>
          <w:tcPr>
            <w:tcW w:type="dxa" w:w="59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Health Scorecard from Section 13.3</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w:t>
            </w:r>
          </w:p>
        </w:tc>
        <w:tc>
          <w:tcPr>
            <w:tcW w:type="dxa" w:w="32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Shared Klaviyo pool notice</w:t>
            </w:r>
          </w:p>
        </w:tc>
        <w:tc>
          <w:tcPr>
            <w:tcW w:type="dxa" w:w="59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Blocks on Klaviyo's shared pool are Klaviyo's to fix, not ours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w:t>
            </w:r>
          </w:p>
        </w:tc>
        <w:tc>
          <w:tcPr>
            <w:tcW w:type="dxa" w:w="32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pathway</w:t>
            </w:r>
          </w:p>
        </w:tc>
        <w:tc>
          <w:tcPr>
            <w:tcW w:type="dxa" w:w="59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30-day review; credit against the first month if they convert within 60 days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w:t>
            </w:r>
          </w:p>
        </w:tc>
        <w:tc>
          <w:tcPr>
            <w:tcW w:type="dxa" w:w="32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Price</w:t>
            </w:r>
          </w:p>
        </w:tc>
        <w:tc>
          <w:tcPr>
            <w:tcW w:type="dxa" w:w="59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 flat. No retainer lock-in.</w:t>
            </w:r>
          </w:p>
        </w:tc>
      </w:tr>
    </w:tbl>
    <w:p>
      <w:pPr>
        <w:spacing w:after="120" w:before="0"/>
      </w:pPr>
    </w:p>
    <w:p>
      <w:pPr>
        <w:pStyle w:val="Heading2"/>
        <w:keepNext/>
      </w:pPr>
      <w:bookmarkStart w:name="sec_17_8" w:id="110"/>
      <w:r>
        <w:rPr>
          <w:rFonts w:ascii="Arial" w:cs="Arial" w:eastAsia="Arial" w:hAnsi="Arial"/>
        </w:rPr>
        <w:t xml:space="preserve">17.8 Step 7: Lhotse onboarding</w:t>
      </w:r>
      <w:bookmarkEnd w:id="110"/>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6"/>
        <w:gridCol w:w="7804"/>
      </w:tblGrid>
      <w:tr>
        <w:trPr>
          <w:cantSplit/>
          <w:tblHeader/>
        </w:trPr>
        <w:tc>
          <w:tcPr>
            <w:tcW w:type="dxa" w:w="22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Timing</w:t>
            </w:r>
          </w:p>
        </w:tc>
        <w:tc>
          <w:tcPr>
            <w:tcW w:type="dxa" w:w="78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Activities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 1</w:t>
            </w:r>
          </w:p>
        </w:tc>
        <w:tc>
          <w:tcPr>
            <w:tcW w:type="dxa" w:w="7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Read-only Klaviyo access; review flows, campaigns, segments, and list; current metrics snapshot; discovery call to confirm goals; 90-day plan drafted</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 2</w:t>
            </w:r>
          </w:p>
        </w:tc>
        <w:tc>
          <w:tcPr>
            <w:tcW w:type="dxa" w:w="78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Segment rebuild (engaged, warm, cool, inactive) using clicks and orders, excluding Apple auto-opens; list review; suppress confirmed bots and hard-bounce profiles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Weeks 3–4</w:t>
            </w:r>
          </w:p>
        </w:tc>
        <w:tc>
          <w:tcPr>
            <w:tcW w:type="dxa" w:w="7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Rebuild the top-priority sequence (usually abandoned checkout, welcome, or reorder, whichever is the biggest gap); launch a 10% holdout control group</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Weeks 5–8</w:t>
            </w:r>
          </w:p>
        </w:tc>
        <w:tc>
          <w:tcPr>
            <w:tcW w:type="dxa" w:w="78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 the remaining sequences; migrate campaigns to engaged-only targeting; launch a sunset sequence for inactive subscribers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Month 3 onward</w:t>
            </w:r>
          </w:p>
        </w:tc>
        <w:tc>
          <w:tcPr>
            <w:tcW w:type="dxa" w:w="7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Weekly reporting; incremental test results; ongoing hygiene; move DMARC toward enforcement</w:t>
            </w:r>
          </w:p>
        </w:tc>
      </w:tr>
    </w:tbl>
    <w:p>
      <w:pPr>
        <w:spacing w:after="120" w:before="0"/>
      </w:pPr>
    </w:p>
    <w:p>
      <w:pPr>
        <w:pStyle w:val="Heading1"/>
        <w:keepNext/>
        <w:pageBreakBefore/>
      </w:pPr>
      <w:bookmarkStart w:name="app_A" w:id="111"/>
      <w:r>
        <w:rPr>
          <w:rFonts w:ascii="Arial" w:cs="Arial" w:eastAsia="Arial" w:hAnsi="Arial"/>
        </w:rPr>
        <w:t xml:space="preserve">Appendix A. Word List</w:t>
      </w:r>
      <w:bookmarkEnd w:id="111"/>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0"/>
        <w:gridCol w:w="5760"/>
      </w:tblGrid>
      <w:tr>
        <w:trPr>
          <w:cantSplit/>
          <w:tblHeader/>
        </w:trPr>
        <w:tc>
          <w:tcPr>
            <w:tcW w:type="dxa" w:w="43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Term</w:t>
            </w:r>
          </w:p>
        </w:tc>
        <w:tc>
          <w:tcPr>
            <w:tcW w:type="dxa" w:w="57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Plain meaning</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AOV (Average Order Value)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average amount a customer spends per order</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GrowMailers' one-time email repair service, priced at $5,000</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Attribution window</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far back Klaviyo looks when crediting a sale to an email (for example, "if they bought within 5 days of opening an email, we count it")</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BIMI</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feature that shows a brand's logo next to its email in Gmail. It has no effect on inbox delivery.</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Bounce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email that could not be delivered. A "hard bounce" means the address doesn't exist. A "soft bounce" means a temporary problem.</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CAC (Customer Acquisition Cost)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much money it costs to get one new customer</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CAN-SPAM</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US federal email marketing law. It runs on an opt-out basis.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CASL</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Canada's email marketing law and the strictest in our markets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CPA (Cost Per Purchase)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 spend divided by all purchases, including returning customers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DKIM</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digital signature added to emails proving they really came from the brand's domain</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DMARC</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security record that ties SPF and DKIM together and tells providers what to do when emails fail checks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DNS</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"phone book of the internet": a system that maps domain names to settings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DNVB</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brand that was born online and controls its products from design to delivery</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DTC (Direct-to-Consumer)</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brand that sells directly to shoppers through its own website, not through a retailer</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EOFY</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End of Financial Year. In Australia this is June 30.</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ESP (Email Service Provider)</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platform that sends the emails (for example Klaviyo or Mailchimp)</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Flow / Sequence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automated series of emails triggered by something a customer does (for example, adding to cart or buying for the first time)</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GTM (Go-to-Market)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plan for finding, pitching, and closing clients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Hard gate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requirement that must be met before we will pursue a prospect</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Holdout test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Holding back 10% of subscribers from an email and comparing their purchase rate with the 90% who got it, to prove the email caused purchases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ICP (Ideal Customer Profile)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detailed description of the perfect type of client for a business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Klaviyo</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email and SMS platform our target brands use</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GrowMailers' monthly email management retainer, priced at $3,000–$5,500/month</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List bombing</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When bots flood a sign-up form with fake or real email addresses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LTV (Lifetime Value)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total amount of money a customer spends over their entire relationship with the brand</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MER (Marketing Efficiency Ratio)</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Total revenue divided by total marketing spend. It measures how efficiently marketing dollars turn into sales.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MPP (Apple Mail Privacy Protection)</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Apple automatically "opens" emails when they arrive, which inflates open rate stats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PECR</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rules for electronic marketing</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Replenishment flow</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automated email reminder sent when a customer is likely about to run out of a product</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Retainer</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monthly fee paid for ongoing services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SAM (Serviceable Addressable Market)</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portion of the total market that actually fits our criteria</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Seed test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Sending a test email to a panel of fake accounts to see where it lands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Shopify Plus</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Shopify's enterprise tier, costing about $2,300–$2,500/month</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SMS</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Text messages, used alongside email in retention programs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SOM (Serviceable Obtainable Market)</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realistic share of the market GrowMailers can actually win</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SPF</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DNS record listing which computers are allowed to send email for a domain</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Sunset sequence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final series of emails asking inactive subscribers if they still want to hear from the brand, and removing them if they don't respond</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TAM (Total Addressable Market)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full size of the market if GrowMailers could capture 100% of it</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TCPA</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US law governing calls and texts to mobile phones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Warm-up</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Gradually increasing email volume on a new sending domain so email providers build trust with it</w:t>
            </w:r>
          </w:p>
        </w:tc>
      </w:tr>
    </w:tbl>
    <w:p>
      <w:pPr>
        <w:spacing w:after="120" w:before="0"/>
      </w:pPr>
    </w:p>
    <w:p>
      <w:pPr>
        <w:pStyle w:val="Heading1"/>
        <w:keepNext/>
        <w:pageBreakBefore/>
      </w:pPr>
      <w:bookmarkStart w:name="app_B" w:id="112"/>
      <w:r>
        <w:rPr>
          <w:rFonts w:ascii="Arial" w:cs="Arial" w:eastAsia="Arial" w:hAnsi="Arial"/>
        </w:rPr>
        <w:t xml:space="preserve">Appendix B. Sources</w:t>
      </w:r>
      <w:bookmarkEnd w:id="112"/>
    </w:p>
    <w:p>
      <w:r>
        <w:rPr>
          <w:rFonts w:ascii="Arial" w:cs="Arial" w:eastAsia="Arial" w:hAnsi="Arial"/>
          <w:sz w:val="20"/>
          <w:szCs w:val="20"/>
        </w:rPr>
        <w:t xml:space="preserve">All data is from public sources current to September 2026 unless noted.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51"/>
        <w:gridCol w:w="5829"/>
      </w:tblGrid>
      <w:tr>
        <w:trPr>
          <w:cantSplit/>
          <w:tblHeader/>
        </w:trPr>
        <w:tc>
          <w:tcPr>
            <w:tcW w:type="dxa" w:w="425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Source</w:t>
            </w:r>
          </w:p>
        </w:tc>
        <w:tc>
          <w:tcPr>
            <w:tcW w:type="dxa" w:w="58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was used for</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US Census Bureau</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Quarterly US e-commerce revenue</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Store Leads</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store counts, app data, and category mixes (September 18, 2026)</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Klaviyo</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Q2 2026 financial results; 2026 email benchmarks; sending setup documentation</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Omnisend</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2025 email marketing benchmarks</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Validity</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2025 inbox placement benchmarks (2024 data)</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Validity Heatwave</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Announcement of September 3, 2026</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Triple Whale</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DTC median order values and ad cost per purchase (US brands, 90 days to September 21, 2026)</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ShipBob</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2026 e-commerce survey</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Meta</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Q2 2026 earnings (ad pricing and impression data)</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Glassdoor</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Email Marketing Manager salary data</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FIGS, Hims &amp; Hers, Temple &amp; Webster</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Public company financial filings</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eMarketer</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DTC share of US e-commerce</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Litmus</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Apple MPP open rate data (July 2026)</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Flypost, Level CFO</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and SMS share of DTC website revenue benchmarks</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Adobe</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2025 Cyber Week spending data</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Shopify</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Q3 2026 financial results</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dmarcian</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enforcement rates among top retail domains</w:t>
            </w:r>
          </w:p>
        </w:tc>
      </w:tr>
      <w:tr>
        <w:trPr>
          <w:cantSplit/>
        </w:trPr>
        <w:tc>
          <w:tcPr>
            <w:tcW w:type="dxa" w:w="425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Eightx</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Team size data for online-first brands</w:t>
            </w:r>
          </w:p>
        </w:tc>
      </w:tr>
      <w:tr>
        <w:trPr>
          <w:cantSplit/>
        </w:trPr>
        <w:tc>
          <w:tcPr>
            <w:tcW w:type="dxa" w:w="425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Patrick Ta Beauty / Klaviyo</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2024 case study</w:t>
            </w:r>
          </w:p>
        </w:tc>
      </w:tr>
    </w:tbl>
    <w:p>
      <w:pPr>
        <w:spacing w:after="120" w:before="0"/>
      </w:pPr>
    </w:p>
    <w:p>
      <w:pPr>
        <w:spacing w:after="160" w:before="0"/>
      </w:pPr>
      <w:r>
        <w:rPr>
          <w:rFonts w:ascii="Arial" w:cs="Arial" w:eastAsia="Arial" w:hAnsi="Arial"/>
          <w:i/>
          <w:iCs/>
          <w:color w:val="5B6573"/>
          <w:sz w:val="16"/>
          <w:szCs w:val="16"/>
        </w:rPr>
        <w:t xml:space="preserve">Where we used estimates or planning assumptions, we said so in the relevant section.</w:t>
      </w:r>
    </w:p>
    <w:sectPr>
      <w:headerReference w:type="default" r:id="rId6"/>
      <w:headerReference w:type="first" r:id="rId7"/>
      <w:footerReference w:type="default" r:id="rId8"/>
      <w:footerReference w:type="first" r:id="rId9"/>
      <w:pgSz w:w="12240" w:h="15840" w:orient="portrait"/>
      <w:pgMar w:top="1080" w:right="1080" w:bottom="1080" w:left="1080" w:header="540" w:footer="54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B" w:sz="4" w:space="6"/>
      </w:pBdr>
      <w:tabs>
        <w:tab w:val="right" w:pos="10080"/>
      </w:tabs>
    </w:pPr>
    <w:r>
      <w:rPr>
        <w:rFonts w:ascii="Arial" w:cs="Arial" w:eastAsia="Arial" w:hAnsi="Arial"/>
        <w:color w:val="5B6573"/>
        <w:sz w:val="15"/>
        <w:szCs w:val="15"/>
      </w:rPr>
      <w:t xml:space="preserve">GrowMailers  |  Internal use only</w:t>
    </w:r>
    <w:r>
      <w:rPr>
        <w:rFonts w:ascii="Arial" w:cs="Arial" w:eastAsia="Arial" w:hAnsi="Arial"/>
        <w:color w:val="5B6573"/>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573"/>
        <w:sz w:val="15"/>
        <w:szCs w:val="15"/>
      </w:rPr>
      <w:t xml:space="preserve">DTC Market and Go-To-Market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E7D6B"/>
      </w:rPr>
    </w:lvl>
  </w:abstractNum>
  <w:abstractNum w:abstractNumId="3" w15:restartNumberingAfterBreak="0">
    <w:multiLevelType w:val="hybridMultilevel"/>
    <w:lvl w:ilvl="0" w:tentative="1">
      <w:start w:val="1"/>
      <w:numFmt w:val="decimal"/>
      <w:lvlText w:val="%1."/>
      <w:lvlJc w:val="left"/>
      <w:pPr>
        <w:ind w:left="480" w:hanging="400"/>
      </w:pPr>
      <w:rPr>
        <w:b/>
        <w:bCs/>
        <w:color w:val="1F3A5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733"/>
        <w:sz w:val="20"/>
        <w:szCs w:val="20"/>
      </w:rPr>
    </w:rPrDefault>
    <w:pPrDefault>
      <w:pPr>
        <w:spacing w:after="110" w:line="26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D6B" w:sz="12" w:space="6"/>
      </w:pBdr>
      <w:spacing w:after="200" w:before="480" w:line="252" w:lineRule="auto"/>
      <w:outlineLvl w:val="0"/>
    </w:pPr>
    <w:rPr>
      <w:rFonts w:ascii="Arial" w:cs="Arial" w:eastAsia="Arial" w:hAnsi="Arial"/>
      <w:b/>
      <w:bCs/>
      <w:color w:val="1F3A5F"/>
      <w:sz w:val="36"/>
      <w:szCs w:val="36"/>
    </w:rPr>
  </w:style>
  <w:style w:type="paragraph" w:styleId="Heading2">
    <w:name w:val="Heading 2"/>
    <w:basedOn w:val="Normal"/>
    <w:next w:val="Normal"/>
    <w:qFormat/>
    <w:pPr>
      <w:spacing w:after="120" w:before="320" w:line="252" w:lineRule="auto"/>
      <w:outlineLvl w:val="1"/>
    </w:pPr>
    <w:rPr>
      <w:rFonts w:ascii="Arial" w:cs="Arial" w:eastAsia="Arial" w:hAnsi="Arial"/>
      <w:b/>
      <w:bCs/>
      <w:color w:val="1F3A5F"/>
      <w:sz w:val="27"/>
      <w:szCs w:val="27"/>
    </w:rPr>
  </w:style>
  <w:style w:type="paragraph" w:styleId="Heading3">
    <w:name w:val="Heading 3"/>
    <w:basedOn w:val="Normal"/>
    <w:next w:val="Normal"/>
    <w:qFormat/>
    <w:pPr>
      <w:spacing w:after="80" w:before="220" w:line="252" w:lineRule="auto"/>
      <w:outlineLvl w:val="2"/>
    </w:pPr>
    <w:rPr>
      <w:rFonts w:ascii="Arial" w:cs="Arial" w:eastAsia="Arial" w:hAnsi="Arial"/>
      <w:b/>
      <w:bCs/>
      <w:color w:val="2E7D6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GrowMailers DTC Market and Go-To-Market Report</dc:title>
  <dc:creator>GrowMailers</dc:creator>
  <dc:description>Ideal Customer Profile, Market Sizing, Deliverability Framework and Go-To-Market Plan</dc:description>
  <cp:lastModifiedBy>Un-named</cp:lastModifiedBy>
  <cp:revision>1</cp:revision>
  <dcterms:created xsi:type="dcterms:W3CDTF">2026-09-28T07:43:20.902Z</dcterms:created>
  <dcterms:modified xsi:type="dcterms:W3CDTF">2026-09-28T07:43:20.902Z</dcterms:modified>
</cp:coreProperties>
</file>

<file path=docProps/custom.xml><?xml version="1.0" encoding="utf-8"?>
<Properties xmlns="http://schemas.openxmlformats.org/officeDocument/2006/custom-properties" xmlns:vt="http://schemas.openxmlformats.org/officeDocument/2006/docPropsVTypes"/>
</file>