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p>
    <w:p>
      <w:pPr>
        <w:pBdr>
          <w:bottom w:val="single" w:color="2E7D6B" w:sz="18" w:space="8"/>
        </w:pBdr>
        <w:spacing w:after="160"/>
      </w:pPr>
      <w:r>
        <w:rPr>
          <w:rFonts w:ascii="Arial" w:cs="Arial" w:eastAsia="Arial" w:hAnsi="Arial"/>
          <w:b/>
          <w:bCs/>
          <w:color w:val="1F3A5F"/>
          <w:sz w:val="60"/>
          <w:szCs w:val="60"/>
        </w:rPr>
        <w:t xml:space="preserve">GrowMailers Master Blueprint</w:t>
      </w:r>
    </w:p>
    <w:p>
      <w:pPr>
        <w:spacing w:after="600" w:before="120"/>
      </w:pPr>
      <w:r>
        <w:rPr>
          <w:rFonts w:ascii="Arial" w:cs="Arial" w:eastAsia="Arial" w:hAnsi="Arial"/>
          <w:color w:val="2E7D6B"/>
          <w:sz w:val="30"/>
          <w:szCs w:val="30"/>
        </w:rPr>
        <w:t xml:space="preserve">Who We Sell To, How Big the Market Is, How Email Works, and How to Find Clients</w:t>
      </w:r>
    </w:p>
    <w:p>
      <w:r>
        <w:rPr>
          <w:rFonts w:ascii="Arial" w:cs="Arial" w:eastAsia="Arial" w:hAnsi="Arial"/>
          <w:b/>
          <w:bCs/>
          <w:sz w:val="20"/>
          <w:szCs w:val="20"/>
        </w:rPr>
        <w:t xml:space="preserve">Prepared for:</w:t>
      </w:r>
      <w:r>
        <w:rPr>
          <w:rFonts w:ascii="Arial" w:cs="Arial" w:eastAsia="Arial" w:hAnsi="Arial"/>
          <w:sz w:val="20"/>
          <w:szCs w:val="20"/>
        </w:rPr>
        <w:t xml:space="preserve"> Shardul Phuyal, GrowMailers</w:t>
      </w:r>
    </w:p>
    <w:p>
      <w:r>
        <w:rPr>
          <w:rFonts w:ascii="Arial" w:cs="Arial" w:eastAsia="Arial" w:hAnsi="Arial"/>
          <w:b/>
          <w:bCs/>
          <w:sz w:val="20"/>
          <w:szCs w:val="20"/>
        </w:rPr>
        <w:t xml:space="preserve">Version:</w:t>
      </w:r>
      <w:r>
        <w:rPr>
          <w:rFonts w:ascii="Arial" w:cs="Arial" w:eastAsia="Arial" w:hAnsi="Arial"/>
          <w:sz w:val="20"/>
          <w:szCs w:val="20"/>
        </w:rPr>
        <w:t xml:space="preserve"> 2.0</w:t>
      </w:r>
    </w:p>
    <w:p>
      <w:r>
        <w:rPr>
          <w:rFonts w:ascii="Arial" w:cs="Arial" w:eastAsia="Arial" w:hAnsi="Arial"/>
          <w:b/>
          <w:bCs/>
          <w:sz w:val="20"/>
          <w:szCs w:val="20"/>
        </w:rPr>
        <w:t xml:space="preserve">Date:</w:t>
      </w:r>
      <w:r>
        <w:rPr>
          <w:rFonts w:ascii="Arial" w:cs="Arial" w:eastAsia="Arial" w:hAnsi="Arial"/>
          <w:sz w:val="20"/>
          <w:szCs w:val="20"/>
        </w:rPr>
        <w:t xml:space="preserve"> 28 September 2026</w:t>
      </w:r>
    </w:p>
    <w:p>
      <w:r>
        <w:rPr>
          <w:rFonts w:ascii="Arial" w:cs="Arial" w:eastAsia="Arial" w:hAnsi="Arial"/>
          <w:b/>
          <w:bCs/>
          <w:sz w:val="20"/>
          <w:szCs w:val="20"/>
        </w:rPr>
        <w:t xml:space="preserve">For internal use only</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How to read this.</w:t>
      </w:r>
      <w:r>
        <w:rPr>
          <w:rFonts w:ascii="Arial" w:cs="Arial" w:eastAsia="Arial" w:hAnsi="Arial"/>
          <w:sz w:val="20"/>
          <w:szCs w:val="20"/>
        </w:rPr>
        <w:t xml:space="preserve"> Every section starts with a "bottom line", one short paragraph that gives you the main point. If you only have ten minutes, read those. The rest of each section has the tables, step-by-step checklists and extra detail the team uses daily. All numbers come from named public sources as of September 2026, the US Census Bureau, Store Leads, Klaviyo, and others. When we calculated something ourselves, we say so.</w:t>
      </w:r>
    </w:p>
    <w:p>
      <w:pPr>
        <w:pStyle w:val="Heading3"/>
        <w:keepNext/>
      </w:pPr>
      <w:r>
        <w:rPr>
          <w:rFonts w:ascii="Arial" w:cs="Arial" w:eastAsia="Arial" w:hAnsi="Arial"/>
        </w:rPr>
        <w:t xml:space="preserve">Table of Contents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3"/>
        <w:gridCol w:w="8797"/>
      </w:tblGrid>
      <w:tr>
        <w:trPr>
          <w:cantSplit/>
          <w:tblHeader/>
        </w:trPr>
        <w:tc>
          <w:tcPr>
            <w:tcW w:type="dxa" w:w="128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Section</w:t>
            </w:r>
          </w:p>
        </w:tc>
        <w:tc>
          <w:tcPr>
            <w:tcW w:type="dxa" w:w="879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Title</w:t>
            </w:r>
          </w:p>
        </w:tc>
      </w:tr>
      <w:tr>
        <w:trPr>
          <w:cantSplit/>
        </w:trPr>
        <w:tc>
          <w:tcPr>
            <w:tcW w:type="dxa" w:w="12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w:t>
            </w:r>
          </w:p>
        </w:tc>
        <w:tc>
          <w:tcPr>
            <w:tcW w:type="dxa" w:w="8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Types of Online Stores and Which Ones We Target</w:t>
            </w:r>
          </w:p>
        </w:tc>
      </w:tr>
      <w:tr>
        <w:trPr>
          <w:cantSplit/>
        </w:trPr>
        <w:tc>
          <w:tcPr>
            <w:tcW w:type="dxa" w:w="12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w:t>
            </w:r>
          </w:p>
        </w:tc>
        <w:tc>
          <w:tcPr>
            <w:tcW w:type="dxa" w:w="87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Why Ad Costs Are Killing Profit (and How Email Fixes It)</w:t>
            </w:r>
          </w:p>
        </w:tc>
      </w:tr>
      <w:tr>
        <w:trPr>
          <w:cantSplit/>
        </w:trPr>
        <w:tc>
          <w:tcPr>
            <w:tcW w:type="dxa" w:w="12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w:t>
            </w:r>
          </w:p>
        </w:tc>
        <w:tc>
          <w:tcPr>
            <w:tcW w:type="dxa" w:w="8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How to Read a Store's Tech Setup to Know If It's a Good Fit</w:t>
            </w:r>
          </w:p>
        </w:tc>
      </w:tr>
      <w:tr>
        <w:trPr>
          <w:cantSplit/>
        </w:trPr>
        <w:tc>
          <w:tcPr>
            <w:tcW w:type="dxa" w:w="12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w:t>
            </w:r>
          </w:p>
        </w:tc>
        <w:tc>
          <w:tcPr>
            <w:tcW w:type="dxa" w:w="87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Who Our Perfect Clients Are</w:t>
            </w:r>
          </w:p>
        </w:tc>
      </w:tr>
      <w:tr>
        <w:trPr>
          <w:cantSplit/>
        </w:trPr>
        <w:tc>
          <w:tcPr>
            <w:tcW w:type="dxa" w:w="12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w:t>
            </w:r>
          </w:p>
        </w:tc>
        <w:tc>
          <w:tcPr>
            <w:tcW w:type="dxa" w:w="8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How Many Potential Clients Exist and Where They Are</w:t>
            </w:r>
          </w:p>
        </w:tc>
      </w:tr>
      <w:tr>
        <w:trPr>
          <w:cantSplit/>
        </w:trPr>
        <w:tc>
          <w:tcPr>
            <w:tcW w:type="dxa" w:w="12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w:t>
            </w:r>
          </w:p>
        </w:tc>
        <w:tc>
          <w:tcPr>
            <w:tcW w:type="dxa" w:w="87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Who Makes the Buying Decision and What They Care About</w:t>
            </w:r>
          </w:p>
        </w:tc>
      </w:tr>
      <w:tr>
        <w:trPr>
          <w:cantSplit/>
        </w:trPr>
        <w:tc>
          <w:tcPr>
            <w:tcW w:type="dxa" w:w="12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w:t>
            </w:r>
          </w:p>
        </w:tc>
        <w:tc>
          <w:tcPr>
            <w:tcW w:type="dxa" w:w="8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How Much Money Each Type of Product Makes</w:t>
            </w:r>
          </w:p>
        </w:tc>
      </w:tr>
      <w:tr>
        <w:trPr>
          <w:cantSplit/>
        </w:trPr>
        <w:tc>
          <w:tcPr>
            <w:tcW w:type="dxa" w:w="12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w:t>
            </w:r>
          </w:p>
        </w:tc>
        <w:tc>
          <w:tcPr>
            <w:tcW w:type="dxa" w:w="87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When to Sell (the Business Calendar)</w:t>
            </w:r>
          </w:p>
        </w:tc>
      </w:tr>
      <w:tr>
        <w:trPr>
          <w:cantSplit/>
        </w:trPr>
        <w:tc>
          <w:tcPr>
            <w:tcW w:type="dxa" w:w="12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w:t>
            </w:r>
          </w:p>
        </w:tc>
        <w:tc>
          <w:tcPr>
            <w:tcW w:type="dxa" w:w="8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How to Measure Whether Email Is Working</w:t>
            </w:r>
          </w:p>
        </w:tc>
      </w:tr>
      <w:tr>
        <w:trPr>
          <w:cantSplit/>
        </w:trPr>
        <w:tc>
          <w:tcPr>
            <w:tcW w:type="dxa" w:w="12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w:t>
            </w:r>
          </w:p>
        </w:tc>
        <w:tc>
          <w:tcPr>
            <w:tcW w:type="dxa" w:w="87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Automated Emails vs. One-Off Campaigns</w:t>
            </w:r>
          </w:p>
        </w:tc>
      </w:tr>
      <w:tr>
        <w:trPr>
          <w:cantSplit/>
        </w:trPr>
        <w:tc>
          <w:tcPr>
            <w:tcW w:type="dxa" w:w="12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11</w:t>
            </w:r>
          </w:p>
        </w:tc>
        <w:tc>
          <w:tcPr>
            <w:tcW w:type="dxa" w:w="8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Keeping the Email List Clean</w:t>
            </w:r>
          </w:p>
        </w:tc>
      </w:tr>
      <w:tr>
        <w:trPr>
          <w:cantSplit/>
        </w:trPr>
        <w:tc>
          <w:tcPr>
            <w:tcW w:type="dxa" w:w="12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w:t>
            </w:r>
          </w:p>
        </w:tc>
        <w:tc>
          <w:tcPr>
            <w:tcW w:type="dxa" w:w="87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 Security Settings Explained Simply</w:t>
            </w:r>
          </w:p>
        </w:tc>
      </w:tr>
      <w:tr>
        <w:trPr>
          <w:cantSplit/>
        </w:trPr>
        <w:tc>
          <w:tcPr>
            <w:tcW w:type="dxa" w:w="12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w:t>
            </w:r>
          </w:p>
        </w:tc>
        <w:tc>
          <w:tcPr>
            <w:tcW w:type="dxa" w:w="8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How to Test Whether Emails Actually Reach the Inbox</w:t>
            </w:r>
          </w:p>
        </w:tc>
      </w:tr>
      <w:tr>
        <w:trPr>
          <w:cantSplit/>
        </w:trPr>
        <w:tc>
          <w:tcPr>
            <w:tcW w:type="dxa" w:w="12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w:t>
            </w:r>
          </w:p>
        </w:tc>
        <w:tc>
          <w:tcPr>
            <w:tcW w:type="dxa" w:w="87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Shopping Holiday Calendar</w:t>
            </w:r>
          </w:p>
        </w:tc>
      </w:tr>
      <w:tr>
        <w:trPr>
          <w:cantSplit/>
        </w:trPr>
        <w:tc>
          <w:tcPr>
            <w:tcW w:type="dxa" w:w="12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w:t>
            </w:r>
          </w:p>
        </w:tc>
        <w:tc>
          <w:tcPr>
            <w:tcW w:type="dxa" w:w="8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When to Pitch Which Service</w:t>
            </w:r>
          </w:p>
        </w:tc>
      </w:tr>
      <w:tr>
        <w:trPr>
          <w:cantSplit/>
        </w:trPr>
        <w:tc>
          <w:tcPr>
            <w:tcW w:type="dxa" w:w="12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16</w:t>
            </w:r>
          </w:p>
        </w:tc>
        <w:tc>
          <w:tcPr>
            <w:tcW w:type="dxa" w:w="87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 Marketing Laws by Country</w:t>
            </w:r>
          </w:p>
        </w:tc>
      </w:tr>
      <w:tr>
        <w:trPr>
          <w:cantSplit/>
        </w:trPr>
        <w:tc>
          <w:tcPr>
            <w:tcW w:type="dxa" w:w="12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w:t>
            </w:r>
          </w:p>
        </w:tc>
        <w:tc>
          <w:tcPr>
            <w:tcW w:type="dxa" w:w="8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How to Find Clients, Audit Their Setup, and Close the Sale</w:t>
            </w:r>
          </w:p>
        </w:tc>
      </w:tr>
      <w:tr>
        <w:trPr>
          <w:cantSplit/>
        </w:trPr>
        <w:tc>
          <w:tcPr>
            <w:tcW w:type="dxa" w:w="12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w:t>
            </w:r>
          </w:p>
        </w:tc>
        <w:tc>
          <w:tcPr>
            <w:tcW w:type="dxa" w:w="87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Word List</w:t>
            </w:r>
          </w:p>
        </w:tc>
      </w:tr>
      <w:tr>
        <w:trPr>
          <w:cantSplit/>
        </w:trPr>
        <w:tc>
          <w:tcPr>
            <w:tcW w:type="dxa" w:w="12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w:t>
            </w:r>
          </w:p>
        </w:tc>
        <w:tc>
          <w:tcPr>
            <w:tcW w:type="dxa" w:w="87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Sources</w:t>
            </w:r>
          </w:p>
        </w:tc>
      </w:tr>
    </w:tbl>
    <w:p>
      <w:pPr>
        <w:spacing w:after="120" w:before="0"/>
      </w:pPr>
    </w:p>
    <w:p>
      <w:pPr>
        <w:pStyle w:val="Heading1"/>
        <w:keepNext/>
        <w:pageBreakBefore/>
      </w:pPr>
      <w:r>
        <w:rPr>
          <w:rFonts w:ascii="Arial" w:cs="Arial" w:eastAsia="Arial" w:hAnsi="Arial"/>
        </w:rPr>
        <w:t xml:space="preserve">1. Types of Online Stores and Which Ones We Target</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Whether a brand actually owns the contact information for its customers is what matters most, not how big the brand is. A $30M Amazon seller is a worse prospect than a $4M Shopify brand, because the Amazon seller cannot email most of its buyers. Dropshippers and print-on-demand stores are also excluded, even though they technically have an email list. They do not have the profit margin, product quality, or staying power to benefit from our work.</w:t>
      </w:r>
    </w:p>
    <w:p>
      <w:pPr>
        <w:pStyle w:val="Heading2"/>
        <w:keepNext/>
      </w:pPr>
      <w:r>
        <w:rPr>
          <w:rFonts w:ascii="Arial" w:cs="Arial" w:eastAsia="Arial" w:hAnsi="Arial"/>
        </w:rPr>
        <w:t xml:space="preserve">1.1 Types of online business and whether we can help</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6"/>
        <w:gridCol w:w="2533"/>
        <w:gridCol w:w="2164"/>
        <w:gridCol w:w="1583"/>
        <w:gridCol w:w="2164"/>
      </w:tblGrid>
      <w:tr>
        <w:trPr>
          <w:cantSplit/>
          <w:tblHeader/>
        </w:trPr>
        <w:tc>
          <w:tcPr>
            <w:tcW w:type="dxa" w:w="163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Business type</w:t>
            </w:r>
          </w:p>
        </w:tc>
        <w:tc>
          <w:tcPr>
            <w:tcW w:type="dxa" w:w="253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means</w:t>
            </w:r>
          </w:p>
        </w:tc>
        <w:tc>
          <w:tcPr>
            <w:tcW w:type="dxa" w:w="216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Can they email their customers?</w:t>
            </w:r>
          </w:p>
        </w:tc>
        <w:tc>
          <w:tcPr>
            <w:tcW w:type="dxa" w:w="158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Ascent fit</w:t>
            </w:r>
          </w:p>
        </w:tc>
        <w:tc>
          <w:tcPr>
            <w:tcW w:type="dxa" w:w="216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Lhotse fit</w:t>
            </w:r>
          </w:p>
        </w:tc>
      </w:tr>
      <w:tr>
        <w:trPr>
          <w:cantSplit/>
        </w:trPr>
        <w:tc>
          <w:tcPr>
            <w:tcW w:type="dxa" w:w="1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Direct-to-consumer brand (DTC)</w:t>
            </w:r>
          </w:p>
        </w:tc>
        <w:tc>
          <w:tcPr>
            <w:tcW w:type="dxa" w:w="25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Makes or owns its products; sells mainly through its own website</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Yes, fully</w:t>
            </w:r>
          </w:p>
        </w:tc>
        <w:tc>
          <w:tcPr>
            <w:tcW w:type="dxa" w:w="15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Strong</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Strong</w:t>
            </w:r>
          </w:p>
        </w:tc>
      </w:tr>
      <w:tr>
        <w:trPr>
          <w:cantSplit/>
        </w:trPr>
        <w:tc>
          <w:tcPr>
            <w:tcW w:type="dxa" w:w="1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Online-born brand (DNVB)</w:t>
            </w:r>
          </w:p>
        </w:tc>
        <w:tc>
          <w:tcPr>
            <w:tcW w:type="dxa" w:w="25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 online brand that controls everything from product design to delivery</w:t>
            </w:r>
          </w:p>
        </w:tc>
        <w:tc>
          <w:tcPr>
            <w:tcW w:type="dxa" w:w="21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Yes</w:t>
            </w:r>
          </w:p>
        </w:tc>
        <w:tc>
          <w:tcPr>
            <w:tcW w:type="dxa" w:w="15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Strong</w:t>
            </w:r>
          </w:p>
        </w:tc>
        <w:tc>
          <w:tcPr>
            <w:tcW w:type="dxa" w:w="21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Strong</w:t>
            </w:r>
            <w:r>
              <w:rPr>
                <w:rFonts w:ascii="Arial" w:cs="Arial" w:eastAsia="Arial" w:hAnsi="Arial"/>
                <w:sz w:val="16"/>
                <w:szCs w:val="16"/>
              </w:rPr>
              <w:t xml:space="preserve">, if finances are healthy</w:t>
            </w:r>
          </w:p>
        </w:tc>
      </w:tr>
      <w:tr>
        <w:trPr>
          <w:cantSplit/>
        </w:trPr>
        <w:tc>
          <w:tcPr>
            <w:tcW w:type="dxa" w:w="1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Subscription brand</w:t>
            </w:r>
          </w:p>
        </w:tc>
        <w:tc>
          <w:tcPr>
            <w:tcW w:type="dxa" w:w="25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Most revenue is repeat deliveries, often set up through an app called ReCharge</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Yes</w:t>
            </w:r>
          </w:p>
        </w:tc>
        <w:tc>
          <w:tcPr>
            <w:tcW w:type="dxa" w:w="15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Strong</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Strong</w:t>
            </w:r>
            <w:r>
              <w:rPr>
                <w:rFonts w:ascii="Arial" w:cs="Arial" w:eastAsia="Arial" w:hAnsi="Arial"/>
                <w:sz w:val="16"/>
                <w:szCs w:val="16"/>
              </w:rPr>
              <w:t xml:space="preserve"> (great for reducing cancellations)</w:t>
            </w:r>
          </w:p>
        </w:tc>
      </w:tr>
      <w:tr>
        <w:trPr>
          <w:cantSplit/>
        </w:trPr>
        <w:tc>
          <w:tcPr>
            <w:tcW w:type="dxa" w:w="1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Multi-channel retailer</w:t>
            </w:r>
          </w:p>
        </w:tc>
        <w:tc>
          <w:tcPr>
            <w:tcW w:type="dxa" w:w="25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Has its own stores, website, and sells through big retailers too</w:t>
            </w:r>
          </w:p>
        </w:tc>
        <w:tc>
          <w:tcPr>
            <w:tcW w:type="dxa" w:w="21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Web buyers yes; in-store buyers partially</w:t>
            </w:r>
          </w:p>
        </w:tc>
        <w:tc>
          <w:tcPr>
            <w:tcW w:type="dxa" w:w="15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Strong</w:t>
            </w:r>
            <w:r>
              <w:rPr>
                <w:rFonts w:ascii="Arial" w:cs="Arial" w:eastAsia="Arial" w:hAnsi="Arial"/>
                <w:sz w:val="16"/>
                <w:szCs w:val="16"/>
              </w:rPr>
              <w:t xml:space="preserve"> (for large repair jobs)</w:t>
            </w:r>
          </w:p>
        </w:tc>
        <w:tc>
          <w:tcPr>
            <w:tcW w:type="dxa" w:w="21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Depends: measure only website revenue</w:t>
            </w:r>
          </w:p>
        </w:tc>
      </w:tr>
      <w:tr>
        <w:trPr>
          <w:cantSplit/>
        </w:trPr>
        <w:tc>
          <w:tcPr>
            <w:tcW w:type="dxa" w:w="1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Half Amazon, half own website</w:t>
            </w:r>
          </w:p>
        </w:tc>
        <w:tc>
          <w:tcPr>
            <w:tcW w:type="dxa" w:w="25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Sells a lot through Amazon and its own site</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their own-site buyers</w:t>
            </w:r>
          </w:p>
        </w:tc>
        <w:tc>
          <w:tcPr>
            <w:tcW w:type="dxa" w:w="15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Maybe</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Maybe: own site must be big enough alone</w:t>
            </w:r>
          </w:p>
        </w:tc>
      </w:tr>
      <w:tr>
        <w:trPr>
          <w:cantSplit/>
        </w:trPr>
        <w:tc>
          <w:tcPr>
            <w:tcW w:type="dxa" w:w="1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Wholesale brand</w:t>
            </w:r>
          </w:p>
        </w:tc>
        <w:tc>
          <w:tcPr>
            <w:tcW w:type="dxa" w:w="25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Sells mainly to retailers, not directly to shoppers</w:t>
            </w:r>
          </w:p>
        </w:tc>
        <w:tc>
          <w:tcPr>
            <w:tcW w:type="dxa" w:w="21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Small own-site list</w:t>
            </w:r>
          </w:p>
        </w:tc>
        <w:tc>
          <w:tcPr>
            <w:tcW w:type="dxa" w:w="15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if own site makes $1M+</w:t>
            </w:r>
          </w:p>
        </w:tc>
        <w:tc>
          <w:tcPr>
            <w:tcW w:type="dxa" w:w="21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Skip</w:t>
            </w:r>
          </w:p>
        </w:tc>
      </w:tr>
      <w:tr>
        <w:trPr>
          <w:cantSplit/>
        </w:trPr>
        <w:tc>
          <w:tcPr>
            <w:tcW w:type="dxa" w:w="1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Marketplace-only seller</w:t>
            </w:r>
          </w:p>
        </w:tc>
        <w:tc>
          <w:tcPr>
            <w:tcW w:type="dxa" w:w="25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sells through Amazon, Etsy, or TikTok Shop</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Amazon hides buyer emails.</w:t>
            </w:r>
          </w:p>
        </w:tc>
        <w:tc>
          <w:tcPr>
            <w:tcW w:type="dxa" w:w="15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Skip</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Skip</w:t>
            </w:r>
          </w:p>
        </w:tc>
      </w:tr>
      <w:tr>
        <w:trPr>
          <w:cantSplit/>
        </w:trPr>
        <w:tc>
          <w:tcPr>
            <w:tcW w:type="dxa" w:w="1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Dropshipper</w:t>
            </w:r>
          </w:p>
        </w:tc>
        <w:tc>
          <w:tcPr>
            <w:tcW w:type="dxa" w:w="25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Has no stock; a supplier ships each order directly</w:t>
            </w:r>
          </w:p>
        </w:tc>
        <w:tc>
          <w:tcPr>
            <w:tcW w:type="dxa" w:w="21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Technically yes</w:t>
            </w:r>
          </w:p>
        </w:tc>
        <w:tc>
          <w:tcPr>
            <w:tcW w:type="dxa" w:w="15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Skip</w:t>
            </w:r>
          </w:p>
        </w:tc>
        <w:tc>
          <w:tcPr>
            <w:tcW w:type="dxa" w:w="216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Skip</w:t>
            </w:r>
          </w:p>
        </w:tc>
      </w:tr>
      <w:tr>
        <w:trPr>
          <w:cantSplit/>
        </w:trPr>
        <w:tc>
          <w:tcPr>
            <w:tcW w:type="dxa" w:w="1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Print-on-demand / creator merch</w:t>
            </w:r>
          </w:p>
        </w:tc>
        <w:tc>
          <w:tcPr>
            <w:tcW w:type="dxa" w:w="25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Products printed only when ordered (using apps like Printful)</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Rarely their own list</w:t>
            </w:r>
          </w:p>
        </w:tc>
        <w:tc>
          <w:tcPr>
            <w:tcW w:type="dxa" w:w="15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Skip</w:t>
            </w:r>
          </w:p>
        </w:tc>
        <w:tc>
          <w:tcPr>
            <w:tcW w:type="dxa" w:w="216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Skip</w:t>
            </w:r>
          </w:p>
        </w:tc>
      </w:tr>
    </w:tbl>
    <w:p>
      <w:pPr>
        <w:spacing w:after="120" w:before="0"/>
      </w:pPr>
    </w:p>
    <w:p>
      <w:r>
        <w:rPr>
          <w:rFonts w:ascii="Arial" w:cs="Arial" w:eastAsia="Arial" w:hAnsi="Arial"/>
          <w:sz w:val="20"/>
          <w:szCs w:val="20"/>
        </w:rPr>
        <w:t xml:space="preserve">The word "e-commerce" covers any online sale, from Amazon down to a one-person Shopify store. Only the rows marked Strong or Maybe are our market.</w:t>
      </w:r>
    </w:p>
    <w:p>
      <w:r>
        <w:rPr>
          <w:rFonts w:ascii="Arial" w:cs="Arial" w:eastAsia="Arial" w:hAnsi="Arial"/>
          <w:sz w:val="20"/>
          <w:szCs w:val="20"/>
        </w:rPr>
        <w:t xml:space="preserve">A survey by ShipBob in 2026 found 65% of brands say their own website is their main sales channel, 20% say Amazon, and 12% say wholesale or retail stores. Since 86% of brands sell through more than one channel, </w:t>
      </w:r>
      <w:r>
        <w:rPr>
          <w:rFonts w:ascii="Arial" w:cs="Arial" w:eastAsia="Arial" w:hAnsi="Arial"/>
          <w:b/>
          <w:bCs/>
          <w:sz w:val="20"/>
          <w:szCs w:val="20"/>
        </w:rPr>
        <w:t xml:space="preserve">always measure a potential client by their own website revenue only</w:t>
      </w:r>
      <w:r>
        <w:rPr>
          <w:rFonts w:ascii="Arial" w:cs="Arial" w:eastAsia="Arial" w:hAnsi="Arial"/>
          <w:sz w:val="20"/>
          <w:szCs w:val="20"/>
        </w:rPr>
        <w:t xml:space="preserve">. Amazon and wholesale sales never go through Klaviyo, so they do not count.</w:t>
      </w:r>
    </w:p>
    <w:p>
      <w:pPr>
        <w:pStyle w:val="Heading2"/>
        <w:keepNext/>
      </w:pPr>
      <w:r>
        <w:rPr>
          <w:rFonts w:ascii="Arial" w:cs="Arial" w:eastAsia="Arial" w:hAnsi="Arial"/>
        </w:rPr>
        <w:t xml:space="preserve">1.2 Why we skip dropshippers and print-on-demand</w:t>
      </w:r>
    </w:p>
    <w:p>
      <w:r>
        <w:rPr>
          <w:rFonts w:ascii="Arial" w:cs="Arial" w:eastAsia="Arial" w:hAnsi="Arial"/>
          <w:sz w:val="20"/>
          <w:szCs w:val="20"/>
        </w:rPr>
        <w:t xml:space="preserve">Email works best when customers run out of a product they love and trust the brand. Dropshipped generic products do not build that kind of loyalty. These businesses also:</w:t>
      </w:r>
    </w:p>
    <w:p>
      <w:pPr>
        <w:pStyle w:val="ListParagraph"/>
        <w:numPr>
          <w:ilvl w:val="0"/>
          <w:numId w:val="2"/>
        </w:numPr>
        <w:spacing w:after="60"/>
      </w:pPr>
      <w:r>
        <w:rPr>
          <w:rFonts w:ascii="Arial" w:cs="Arial" w:eastAsia="Arial" w:hAnsi="Arial"/>
          <w:sz w:val="20"/>
          <w:szCs w:val="20"/>
        </w:rPr>
        <w:t xml:space="preserve">Do not have enough profit margin to pay for our services</w:t>
      </w:r>
    </w:p>
    <w:p>
      <w:pPr>
        <w:pStyle w:val="ListParagraph"/>
        <w:numPr>
          <w:ilvl w:val="0"/>
          <w:numId w:val="2"/>
        </w:numPr>
        <w:spacing w:after="60"/>
      </w:pPr>
      <w:r>
        <w:rPr>
          <w:rFonts w:ascii="Arial" w:cs="Arial" w:eastAsia="Arial" w:hAnsi="Arial"/>
          <w:sz w:val="20"/>
          <w:szCs w:val="20"/>
        </w:rPr>
        <w:t xml:space="preserve">Often close within months, and our work depends on a domain the brand keeps for years</w:t>
      </w:r>
    </w:p>
    <w:p>
      <w:pPr>
        <w:pStyle w:val="ListParagraph"/>
        <w:numPr>
          <w:ilvl w:val="0"/>
          <w:numId w:val="2"/>
        </w:numPr>
        <w:spacing w:after="60"/>
      </w:pPr>
      <w:r>
        <w:rPr>
          <w:rFonts w:ascii="Arial" w:cs="Arial" w:eastAsia="Arial" w:hAnsi="Arial"/>
          <w:sz w:val="20"/>
          <w:szCs w:val="20"/>
        </w:rPr>
        <w:t xml:space="preserve">Attract low-quality subscribers who hurt both results and the case studies we show future clients</w:t>
      </w:r>
    </w:p>
    <w:p>
      <w:pPr>
        <w:spacing w:after="60" w:before="0"/>
      </w:pPr>
    </w:p>
    <w:p>
      <w:r>
        <w:rPr>
          <w:rFonts w:ascii="Arial" w:cs="Arial" w:eastAsia="Arial" w:hAnsi="Arial"/>
          <w:sz w:val="20"/>
          <w:szCs w:val="20"/>
        </w:rPr>
        <w:t xml:space="preserve">They are easy to spot and skip. Printful and Printify are two of the top ten apps on US Shopify stores. An app called Fourthwall is used by 7% of US Shopify stores that also have Klaviyo.</w:t>
      </w:r>
    </w:p>
    <w:p>
      <w:pPr>
        <w:pStyle w:val="Heading2"/>
        <w:keepNext/>
      </w:pPr>
      <w:r>
        <w:rPr>
          <w:rFonts w:ascii="Arial" w:cs="Arial" w:eastAsia="Arial" w:hAnsi="Arial"/>
        </w:rPr>
        <w:t xml:space="preserve">1.3 Quick decision checklist, is this store worth pursuing?</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5"/>
          <w:szCs w:val="15"/>
        </w:rPr>
        <w:t xml:space="preserve">START → Is the brand's own website their main way to sell?</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5"/>
          <w:szCs w:val="15"/>
        </w:rPr>
        <w:t xml:space="preserve">         ├─ NO → Does the website alone make $1M+ (for Ascent) or $3M+ (for Lhotse)?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5"/>
          <w:szCs w:val="15"/>
        </w:rPr>
        <w:t xml:space="preserve">         │         ├─ NO → SKIP (they sell mainly through Amazon or wholesalers)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5"/>
          <w:szCs w:val="15"/>
        </w:rPr>
        <w:t xml:space="preserve">         │         └─ YES → KEEP GOING, but use only website revenue numbers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5"/>
          <w:szCs w:val="15"/>
        </w:rPr>
        <w:t xml:space="preserve">         └─ YES → Do they make or own their products?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5"/>
          <w:szCs w:val="15"/>
        </w:rPr>
        <w:t xml:space="preserve">                    ├─ NO → SKIP (dropshipper, print-on-demand, reseller)</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5"/>
          <w:szCs w:val="15"/>
        </w:rPr>
        <w:t xml:space="preserve">                    └─ YES → Do they use Shopify or Shopify Plus?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5"/>
          <w:szCs w:val="15"/>
        </w:rPr>
        <w:t xml:space="preserve">                               ├─ NO → HOLD (check back later)</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5"/>
          <w:szCs w:val="15"/>
        </w:rPr>
        <w:t xml:space="preserve">                               └─ YES → Do they use Klaviyo for emails?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5"/>
          <w:szCs w:val="15"/>
        </w:rPr>
        <w:t xml:space="preserve">                                          ├─ Omnisend → HOLD (never make them switch)</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5"/>
          <w:szCs w:val="15"/>
        </w:rPr>
        <w:t xml:space="preserve">                                          ├─ Mailchimp → NURTURE (introduce our work)</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5"/>
          <w:szCs w:val="15"/>
        </w:rPr>
        <w:t xml:space="preserve">                                          └─ YES → Is it beauty, supplements, food, or pets?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5"/>
          <w:szCs w:val="15"/>
        </w:rPr>
        <w:t xml:space="preserve">                                                     ├─ YES → QUALIFIED. Score it (Section 3).</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5"/>
          <w:szCs w:val="15"/>
        </w:rPr>
        <w:t xml:space="preserve">                                                     └─ NO → SECONDARY. Only if repeat buying is visible.</w:t>
      </w:r>
    </w:p>
    <w:p>
      <w:pPr>
        <w:pStyle w:val="Heading2"/>
        <w:keepNext/>
      </w:pPr>
      <w:r>
        <w:rPr>
          <w:rFonts w:ascii="Arial" w:cs="Arial" w:eastAsia="Arial" w:hAnsi="Arial"/>
        </w:rPr>
        <w:t xml:space="preserve">1.4 Tricky cases</w:t>
      </w:r>
    </w:p>
    <w:p>
      <w:pPr>
        <w:pStyle w:val="ListParagraph"/>
        <w:numPr>
          <w:ilvl w:val="0"/>
          <w:numId w:val="2"/>
        </w:numPr>
        <w:spacing w:after="60"/>
      </w:pPr>
      <w:r>
        <w:rPr>
          <w:rFonts w:ascii="Arial" w:cs="Arial" w:eastAsia="Arial" w:hAnsi="Arial"/>
          <w:b/>
          <w:bCs/>
          <w:sz w:val="20"/>
          <w:szCs w:val="20"/>
        </w:rPr>
        <w:t xml:space="preserve">A $25M brand with 60% of sales on Amazon.</w:t>
      </w:r>
      <w:r>
        <w:rPr>
          <w:rFonts w:ascii="Arial" w:cs="Arial" w:eastAsia="Arial" w:hAnsi="Arial"/>
          <w:sz w:val="20"/>
          <w:szCs w:val="20"/>
        </w:rPr>
        <w:t xml:space="preserve"> Their website makes $10M, that qualifies for Lhotse. Use only the website number, and expect email to cover a smaller share of revenue since Amazon buyers never joined the email list.</w:t>
      </w:r>
    </w:p>
    <w:p>
      <w:pPr>
        <w:pStyle w:val="ListParagraph"/>
        <w:numPr>
          <w:ilvl w:val="0"/>
          <w:numId w:val="2"/>
        </w:numPr>
        <w:spacing w:after="60"/>
      </w:pPr>
      <w:r>
        <w:rPr>
          <w:rFonts w:ascii="Arial" w:cs="Arial" w:eastAsia="Arial" w:hAnsi="Arial"/>
          <w:b/>
          <w:bCs/>
          <w:sz w:val="20"/>
          <w:szCs w:val="20"/>
        </w:rPr>
        <w:t xml:space="preserve">A brand with physical stores.</w:t>
      </w:r>
      <w:r>
        <w:rPr>
          <w:rFonts w:ascii="Arial" w:cs="Arial" w:eastAsia="Arial" w:hAnsi="Arial"/>
          <w:sz w:val="20"/>
          <w:szCs w:val="20"/>
        </w:rPr>
        <w:t xml:space="preserve"> Great Ascent candidate, more sending tools (like a store POS system) mean more security gaps to fix. For Lhotse, check if in-store buyers are added to Klaviyo at checkout.</w:t>
      </w:r>
    </w:p>
    <w:p>
      <w:pPr>
        <w:pStyle w:val="ListParagraph"/>
        <w:numPr>
          <w:ilvl w:val="0"/>
          <w:numId w:val="2"/>
        </w:numPr>
        <w:spacing w:after="60"/>
      </w:pPr>
      <w:r>
        <w:rPr>
          <w:rFonts w:ascii="Arial" w:cs="Arial" w:eastAsia="Arial" w:hAnsi="Arial"/>
          <w:b/>
          <w:bCs/>
          <w:sz w:val="20"/>
          <w:szCs w:val="20"/>
        </w:rPr>
        <w:t xml:space="preserve">A company that owns several brands.</w:t>
      </w:r>
      <w:r>
        <w:rPr>
          <w:rFonts w:ascii="Arial" w:cs="Arial" w:eastAsia="Arial" w:hAnsi="Arial"/>
          <w:sz w:val="20"/>
          <w:szCs w:val="20"/>
        </w:rPr>
        <w:t xml:space="preserve"> Each brand has its own email domain and list, so each one is a separate Ascent project. Pitch the whole group, but price each brand separately.</w:t>
      </w:r>
    </w:p>
    <w:p>
      <w:pPr>
        <w:pStyle w:val="ListParagraph"/>
        <w:numPr>
          <w:ilvl w:val="0"/>
          <w:numId w:val="2"/>
        </w:numPr>
        <w:spacing w:after="60"/>
      </w:pPr>
      <w:r>
        <w:rPr>
          <w:rFonts w:ascii="Arial" w:cs="Arial" w:eastAsia="Arial" w:hAnsi="Arial"/>
          <w:b/>
          <w:bCs/>
          <w:sz w:val="20"/>
          <w:szCs w:val="20"/>
        </w:rPr>
        <w:t xml:space="preserve">A brand where most revenue is subscriptions.</w:t>
      </w:r>
      <w:r>
        <w:rPr>
          <w:rFonts w:ascii="Arial" w:cs="Arial" w:eastAsia="Arial" w:hAnsi="Arial"/>
          <w:sz w:val="20"/>
          <w:szCs w:val="20"/>
        </w:rPr>
        <w:t xml:space="preserve"> Subscriptions do not count as "email revenue" in Klaviyo reporting, so email looks weaker than it really is. Judge by cancelled subscription prevention and cross-selling instead.</w:t>
      </w:r>
    </w:p>
    <w:p>
      <w:pPr>
        <w:pStyle w:val="ListParagraph"/>
        <w:numPr>
          <w:ilvl w:val="0"/>
          <w:numId w:val="2"/>
        </w:numPr>
        <w:spacing w:after="60"/>
      </w:pPr>
      <w:r>
        <w:rPr>
          <w:rFonts w:ascii="Arial" w:cs="Arial" w:eastAsia="Arial" w:hAnsi="Arial"/>
          <w:b/>
          <w:bCs/>
          <w:sz w:val="20"/>
          <w:szCs w:val="20"/>
        </w:rPr>
        <w:t xml:space="preserve">A Shopify Plus store with a custom build.</w:t>
      </w:r>
      <w:r>
        <w:rPr>
          <w:rFonts w:ascii="Arial" w:cs="Arial" w:eastAsia="Arial" w:hAnsi="Arial"/>
          <w:sz w:val="20"/>
          <w:szCs w:val="20"/>
        </w:rPr>
        <w:t xml:space="preserve"> Website scanning tools might not detect their apps. Confirm by signing up for their email list and reading the technical headers in the email you receive (Section 17 explains how).</w:t>
      </w:r>
    </w:p>
    <w:p>
      <w:pPr>
        <w:spacing w:after="60" w:before="0"/>
      </w:pPr>
    </w:p>
    <w:p>
      <w:pPr>
        <w:pStyle w:val="Heading1"/>
        <w:keepNext/>
      </w:pPr>
      <w:r>
        <w:rPr>
          <w:rFonts w:ascii="Arial" w:cs="Arial" w:eastAsia="Arial" w:hAnsi="Arial"/>
        </w:rPr>
        <w:t xml:space="preserve">2. Why Ad Costs Are Killing Profit (and How Email Fixes It)</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Online shopping keeps growing, but the cost of getting each new customer is growing faster than the profit that customer brings on their first order. At the current rate of ad price increases, the average clothing brand's first sale will lose money within two years. Email keeps customers coming back at almost no cost, and that is what GrowMailers sells.</w:t>
      </w:r>
    </w:p>
    <w:p>
      <w:pPr>
        <w:pStyle w:val="Heading2"/>
        <w:keepNext/>
      </w:pPr>
      <w:r>
        <w:rPr>
          <w:rFonts w:ascii="Arial" w:cs="Arial" w:eastAsia="Arial" w:hAnsi="Arial"/>
        </w:rPr>
        <w:t xml:space="preserve">2.1 How big is online shopping?</w:t>
      </w:r>
    </w:p>
    <w:p>
      <w:r>
        <w:rPr>
          <w:rFonts w:ascii="Arial" w:cs="Arial" w:eastAsia="Arial" w:hAnsi="Arial"/>
          <w:sz w:val="20"/>
          <w:szCs w:val="20"/>
        </w:rPr>
        <w:t xml:space="preserve">The US Census Bureau reported $340.2 billion in US online shopping in just the second quarter of 2026, that is 17.1% of all retail and 12.2% more than the same quarter the year before. The full year 2025 was about $1.23 trillion.</w:t>
      </w:r>
    </w:p>
    <w:p>
      <w:r>
        <w:rPr>
          <w:rFonts w:ascii="Arial" w:cs="Arial" w:eastAsia="Arial" w:hAnsi="Arial"/>
          <w:sz w:val="20"/>
          <w:szCs w:val="20"/>
        </w:rPr>
        <w:t xml:space="preserve">Brands that sell direct to consumers (cutting out retailers and selling directly to shoppers) make up about 19% of US online shopping, roughly $234 billion. That share is expected to stay about the same through 2028.</w:t>
      </w:r>
    </w:p>
    <w:p>
      <w:r>
        <w:rPr>
          <w:rFonts w:ascii="Arial" w:cs="Arial" w:eastAsia="Arial" w:hAnsi="Arial"/>
          <w:sz w:val="20"/>
          <w:szCs w:val="20"/>
        </w:rPr>
        <w:t xml:space="preserve">But there is a catch: some of that growth comes from higher prices due to tariffs and inflation, not more units sold. Brands are making more dollars, but not necessarily making more profit.</w:t>
      </w:r>
    </w:p>
    <w:p>
      <w:pPr>
        <w:pStyle w:val="Heading2"/>
        <w:keepNext/>
      </w:pPr>
      <w:r>
        <w:rPr>
          <w:rFonts w:ascii="Arial" w:cs="Arial" w:eastAsia="Arial" w:hAnsi="Arial"/>
        </w:rPr>
        <w:t xml:space="preserve">2.2 Why ads keep getting more expensive</w:t>
      </w:r>
    </w:p>
    <w:p>
      <w:r>
        <w:rPr>
          <w:rFonts w:ascii="Arial" w:cs="Arial" w:eastAsia="Arial" w:hAnsi="Arial"/>
          <w:sz w:val="20"/>
          <w:szCs w:val="20"/>
        </w:rPr>
        <w:t xml:space="preserve">Meta (Facebook/Instagram) reported a 12% rise in its average ad price in mid-2026, while the number of times an ad was shown went up 14%. If conversion rates stay the same, that means brands spend about 12% more to get each purchase. Google advertising works the same way, it is an auction, and prices keep going up.</w:t>
      </w:r>
    </w:p>
    <w:p>
      <w:r>
        <w:rPr>
          <w:rFonts w:ascii="Arial" w:cs="Arial" w:eastAsia="Arial" w:hAnsi="Arial"/>
          <w:sz w:val="20"/>
          <w:szCs w:val="20"/>
        </w:rPr>
        <w:t xml:space="preserve">Here is what happens to a clothing brand's profit per first order if ad costs keep rising at 12% a year: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75"/>
        <w:gridCol w:w="3544"/>
        <w:gridCol w:w="4961"/>
      </w:tblGrid>
      <w:tr>
        <w:trPr>
          <w:cantSplit/>
          <w:tblHeader/>
        </w:trPr>
        <w:tc>
          <w:tcPr>
            <w:tcW w:type="dxa" w:w="157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Year</w:t>
            </w:r>
          </w:p>
        </w:tc>
        <w:tc>
          <w:tcPr>
            <w:tcW w:type="dxa" w:w="354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Ad cost per purchase</w:t>
            </w:r>
          </w:p>
        </w:tc>
        <w:tc>
          <w:tcPr>
            <w:tcW w:type="dxa" w:w="496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Profit left from first order</w:t>
            </w:r>
          </w:p>
        </w:tc>
      </w:tr>
      <w:tr>
        <w:trPr>
          <w:cantSplit/>
        </w:trPr>
        <w:tc>
          <w:tcPr>
            <w:tcW w:type="dxa" w:w="157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Today</w:t>
            </w:r>
          </w:p>
        </w:tc>
        <w:tc>
          <w:tcPr>
            <w:tcW w:type="dxa" w:w="35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$39.24</w:t>
            </w:r>
          </w:p>
        </w:tc>
        <w:tc>
          <w:tcPr>
            <w:tcW w:type="dxa" w:w="49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$5.62</w:t>
            </w:r>
          </w:p>
        </w:tc>
      </w:tr>
      <w:tr>
        <w:trPr>
          <w:cantSplit/>
        </w:trPr>
        <w:tc>
          <w:tcPr>
            <w:tcW w:type="dxa" w:w="157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 year</w:t>
            </w:r>
          </w:p>
        </w:tc>
        <w:tc>
          <w:tcPr>
            <w:tcW w:type="dxa" w:w="35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$43.95</w:t>
            </w:r>
          </w:p>
        </w:tc>
        <w:tc>
          <w:tcPr>
            <w:tcW w:type="dxa" w:w="49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$0.91</w:t>
            </w:r>
          </w:p>
        </w:tc>
      </w:tr>
      <w:tr>
        <w:trPr>
          <w:cantSplit/>
        </w:trPr>
        <w:tc>
          <w:tcPr>
            <w:tcW w:type="dxa" w:w="157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 years</w:t>
            </w:r>
          </w:p>
        </w:tc>
        <w:tc>
          <w:tcPr>
            <w:tcW w:type="dxa" w:w="35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$49.22</w:t>
            </w:r>
          </w:p>
        </w:tc>
        <w:tc>
          <w:tcPr>
            <w:tcW w:type="dxa" w:w="49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−$4.36 (a loss)</w:t>
            </w:r>
          </w:p>
        </w:tc>
      </w:tr>
      <w:tr>
        <w:trPr>
          <w:cantSplit/>
        </w:trPr>
        <w:tc>
          <w:tcPr>
            <w:tcW w:type="dxa" w:w="157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 years</w:t>
            </w:r>
          </w:p>
        </w:tc>
        <w:tc>
          <w:tcPr>
            <w:tcW w:type="dxa" w:w="35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$55.13</w:t>
            </w:r>
          </w:p>
        </w:tc>
        <w:tc>
          <w:tcPr>
            <w:tcW w:type="dxa" w:w="49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−$10.27 (a bigger loss)</w:t>
            </w:r>
          </w:p>
        </w:tc>
      </w:tr>
    </w:tbl>
    <w:p>
      <w:pPr>
        <w:spacing w:after="120" w:before="0"/>
      </w:pPr>
    </w:p>
    <w:p>
      <w:pPr>
        <w:spacing w:after="160" w:before="0"/>
      </w:pPr>
      <w:r>
        <w:rPr>
          <w:rFonts w:ascii="Arial" w:cs="Arial" w:eastAsia="Arial" w:hAnsi="Arial"/>
          <w:i/>
          <w:iCs/>
          <w:color w:val="5B6573"/>
          <w:sz w:val="16"/>
          <w:szCs w:val="16"/>
        </w:rPr>
        <w:t xml:space="preserve">Our estimate, assuming prices and conversion rates stay the same.</w:t>
      </w:r>
    </w:p>
    <w:p>
      <w:r>
        <w:rPr>
          <w:rFonts w:ascii="Arial" w:cs="Arial" w:eastAsia="Arial" w:hAnsi="Arial"/>
          <w:sz w:val="20"/>
          <w:szCs w:val="20"/>
        </w:rPr>
        <w:t xml:space="preserve">This does not cause an immediate crisis. The first order just earns a little less money each month, until quietly it starts losing money. Brands that already earn profit from repeat customers can handle this. Brands that do not will find their growth plan stops working.</w:t>
      </w:r>
    </w:p>
    <w:p>
      <w:pPr>
        <w:pStyle w:val="Heading2"/>
        <w:keepNext/>
      </w:pPr>
      <w:r>
        <w:rPr>
          <w:rFonts w:ascii="Arial" w:cs="Arial" w:eastAsia="Arial" w:hAnsi="Arial"/>
        </w:rPr>
        <w:t xml:space="preserve">2.3 Import taxes (tariffs) and higher costs</w:t>
      </w:r>
    </w:p>
    <w:p>
      <w:r>
        <w:rPr>
          <w:rFonts w:ascii="Arial" w:cs="Arial" w:eastAsia="Arial" w:hAnsi="Arial"/>
          <w:sz w:val="20"/>
          <w:szCs w:val="20"/>
        </w:rPr>
        <w:t xml:space="preserve">Import rules changed several times in 2026. The US paused duty-free entry (where small packages below $800 came in without taxes) and is ending it permanently on 1 July 2027. Brands that make products overseas now pay higher import taxes. Brands in Canada, the UK, and Australia that ship to US customers now face duties they did not pay before.</w:t>
      </w:r>
    </w:p>
    <w:p>
      <w:r>
        <w:rPr>
          <w:rFonts w:ascii="Arial" w:cs="Arial" w:eastAsia="Arial" w:hAnsi="Arial"/>
          <w:sz w:val="20"/>
          <w:szCs w:val="20"/>
        </w:rPr>
        <w:t xml:space="preserve">Several DTC businesses closed in 2025 because of this combination: tariffs, inflation, higher ad costs, and less investment money available.</w:t>
      </w:r>
    </w:p>
    <w:p>
      <w:pPr>
        <w:pStyle w:val="Heading2"/>
        <w:keepNext/>
      </w:pPr>
      <w:r>
        <w:rPr>
          <w:rFonts w:ascii="Arial" w:cs="Arial" w:eastAsia="Arial" w:hAnsi="Arial"/>
        </w:rPr>
        <w:t xml:space="preserve">2.4 The cost of getting a new customer vs. keeping one</w:t>
      </w:r>
    </w:p>
    <w:p>
      <w:r>
        <w:rPr>
          <w:rFonts w:ascii="Arial" w:cs="Arial" w:eastAsia="Arial" w:hAnsi="Arial"/>
          <w:sz w:val="20"/>
          <w:szCs w:val="20"/>
        </w:rPr>
        <w:t xml:space="preserve">There are two ways to measure ad spend per customer:</w:t>
      </w:r>
    </w:p>
    <w:p>
      <w:pPr>
        <w:pStyle w:val="ListParagraph"/>
        <w:numPr>
          <w:ilvl w:val="0"/>
          <w:numId w:val="2"/>
        </w:numPr>
        <w:spacing w:after="60"/>
      </w:pPr>
      <w:r>
        <w:rPr>
          <w:rFonts w:ascii="Arial" w:cs="Arial" w:eastAsia="Arial" w:hAnsi="Arial"/>
          <w:b/>
          <w:bCs/>
          <w:sz w:val="20"/>
          <w:szCs w:val="20"/>
        </w:rPr>
        <w:t xml:space="preserve">Cost per purchase:</w:t>
      </w:r>
      <w:r>
        <w:rPr>
          <w:rFonts w:ascii="Arial" w:cs="Arial" w:eastAsia="Arial" w:hAnsi="Arial"/>
          <w:sz w:val="20"/>
          <w:szCs w:val="20"/>
        </w:rPr>
        <w:t xml:space="preserve"> ad spend divided by all purchases, new and returning together. This is what Triple Whale (an analytics tool) reports.</w:t>
      </w:r>
    </w:p>
    <w:p>
      <w:pPr>
        <w:pStyle w:val="ListParagraph"/>
        <w:numPr>
          <w:ilvl w:val="0"/>
          <w:numId w:val="2"/>
        </w:numPr>
        <w:spacing w:after="60"/>
      </w:pPr>
      <w:r>
        <w:rPr>
          <w:rFonts w:ascii="Arial" w:cs="Arial" w:eastAsia="Arial" w:hAnsi="Arial"/>
          <w:b/>
          <w:bCs/>
          <w:sz w:val="20"/>
          <w:szCs w:val="20"/>
        </w:rPr>
        <w:t xml:space="preserve">Cost per new customer:</w:t>
      </w:r>
      <w:r>
        <w:rPr>
          <w:rFonts w:ascii="Arial" w:cs="Arial" w:eastAsia="Arial" w:hAnsi="Arial"/>
          <w:sz w:val="20"/>
          <w:szCs w:val="20"/>
        </w:rPr>
        <w:t xml:space="preserve"> ad spend divided by </w:t>
      </w:r>
      <w:r>
        <w:rPr>
          <w:rFonts w:ascii="Arial" w:cs="Arial" w:eastAsia="Arial" w:hAnsi="Arial"/>
          <w:i/>
          <w:iCs/>
          <w:sz w:val="20"/>
          <w:szCs w:val="20"/>
        </w:rPr>
        <w:t xml:space="preserve">new</w:t>
      </w:r>
      <w:r>
        <w:rPr>
          <w:rFonts w:ascii="Arial" w:cs="Arial" w:eastAsia="Arial" w:hAnsi="Arial"/>
          <w:sz w:val="20"/>
          <w:szCs w:val="20"/>
        </w:rPr>
        <w:t xml:space="preserve"> customers only. This is always higher than cost per purchase.</w:t>
      </w:r>
    </w:p>
    <w:p>
      <w:pPr>
        <w:spacing w:after="60" w:before="0"/>
      </w:pP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7"/>
          <w:szCs w:val="17"/>
        </w:rPr>
        <w:t xml:space="preserve">  How many sales it takes to recover the cost of getting a new customer:</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Beauty example:  Cost per new customer ≈ $50 (1.5× the $33.44 cost per purchase)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Profit per sale ≈ $38.93 (after product and shipping, before ads)</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7"/>
          <w:szCs w:val="17"/>
        </w:rPr>
        <w:t xml:space="preserve">                   → Takes about 1.3 sales to break even</w:t>
      </w:r>
    </w:p>
    <w:p>
      <w:r>
        <w:rPr>
          <w:rFonts w:ascii="Arial" w:cs="Arial" w:eastAsia="Arial" w:hAnsi="Arial"/>
          <w:sz w:val="20"/>
          <w:szCs w:val="20"/>
        </w:rPr>
        <w:t xml:space="preserve">In beauty, supplements, and clothing, a brand needs about 1.3–1.6 sales to recover the cost of getting that customer. In food and pet, it takes 2.2–2.5 sales. </w:t>
      </w:r>
      <w:r>
        <w:rPr>
          <w:rFonts w:ascii="Arial" w:cs="Arial" w:eastAsia="Arial" w:hAnsi="Arial"/>
          <w:b/>
          <w:bCs/>
          <w:sz w:val="20"/>
          <w:szCs w:val="20"/>
        </w:rPr>
        <w:t xml:space="preserve">In every product type we target, the brand needs customers to come back.</w:t>
      </w:r>
    </w:p>
    <w:p>
      <w:pPr>
        <w:pStyle w:val="Heading2"/>
        <w:keepNext/>
      </w:pPr>
      <w:r>
        <w:rPr>
          <w:rFonts w:ascii="Arial" w:cs="Arial" w:eastAsia="Arial" w:hAnsi="Arial"/>
        </w:rPr>
        <w:t xml:space="preserve">2.5 Why getting customers back is so profitable</w:t>
      </w:r>
    </w:p>
    <w:p>
      <w:r>
        <w:rPr>
          <w:rFonts w:ascii="Arial" w:cs="Arial" w:eastAsia="Arial" w:hAnsi="Arial"/>
          <w:sz w:val="20"/>
          <w:szCs w:val="20"/>
        </w:rPr>
        <w:t xml:space="preserve">Getting customers back (called "retention") earns more money through three levers:</w:t>
      </w:r>
    </w:p>
    <w:p>
      <w:pPr>
        <w:pStyle w:val="ListParagraph"/>
        <w:numPr>
          <w:ilvl w:val="0"/>
          <w:numId w:val="3"/>
        </w:numPr>
        <w:spacing w:after="60"/>
      </w:pPr>
      <w:r>
        <w:rPr>
          <w:rFonts w:ascii="Arial" w:cs="Arial" w:eastAsia="Arial" w:hAnsi="Arial"/>
          <w:b/>
          <w:bCs/>
          <w:sz w:val="20"/>
          <w:szCs w:val="20"/>
        </w:rPr>
        <w:t xml:space="preserve">Repeat rate</w:t>
      </w:r>
      <w:r>
        <w:rPr>
          <w:rFonts w:ascii="Arial" w:cs="Arial" w:eastAsia="Arial" w:hAnsi="Arial"/>
          <w:sz w:val="20"/>
          <w:szCs w:val="20"/>
        </w:rPr>
        <w:t xml:space="preserve">, what percentage of buyers come back at all</w:t>
      </w:r>
    </w:p>
    <w:p>
      <w:pPr>
        <w:pStyle w:val="ListParagraph"/>
        <w:numPr>
          <w:ilvl w:val="0"/>
          <w:numId w:val="3"/>
        </w:numPr>
        <w:spacing w:after="60"/>
      </w:pPr>
      <w:r>
        <w:rPr>
          <w:rFonts w:ascii="Arial" w:cs="Arial" w:eastAsia="Arial" w:hAnsi="Arial"/>
          <w:b/>
          <w:bCs/>
          <w:sz w:val="20"/>
          <w:szCs w:val="20"/>
        </w:rPr>
        <w:t xml:space="preserve">Frequency</w:t>
      </w:r>
      <w:r>
        <w:rPr>
          <w:rFonts w:ascii="Arial" w:cs="Arial" w:eastAsia="Arial" w:hAnsi="Arial"/>
          <w:sz w:val="20"/>
          <w:szCs w:val="20"/>
        </w:rPr>
        <w:t xml:space="preserve">, how often they buy</w:t>
      </w:r>
    </w:p>
    <w:p>
      <w:pPr>
        <w:pStyle w:val="ListParagraph"/>
        <w:numPr>
          <w:ilvl w:val="0"/>
          <w:numId w:val="3"/>
        </w:numPr>
        <w:spacing w:after="60"/>
      </w:pPr>
      <w:r>
        <w:rPr>
          <w:rFonts w:ascii="Arial" w:cs="Arial" w:eastAsia="Arial" w:hAnsi="Arial"/>
          <w:b/>
          <w:bCs/>
          <w:sz w:val="20"/>
          <w:szCs w:val="20"/>
        </w:rPr>
        <w:t xml:space="preserve">Profit per repeat order</w:t>
      </w:r>
      <w:r>
        <w:rPr>
          <w:rFonts w:ascii="Arial" w:cs="Arial" w:eastAsia="Arial" w:hAnsi="Arial"/>
          <w:sz w:val="20"/>
          <w:szCs w:val="20"/>
        </w:rPr>
        <w:t xml:space="preserve">, bundles, upsells, and not giving away unnecessary discounts</w:t>
      </w:r>
    </w:p>
    <w:p>
      <w:pPr>
        <w:spacing w:after="60" w:before="0"/>
      </w:pPr>
    </w:p>
    <w:p>
      <w:r>
        <w:rPr>
          <w:rFonts w:ascii="Arial" w:cs="Arial" w:eastAsia="Arial" w:hAnsi="Arial"/>
          <w:sz w:val="20"/>
          <w:szCs w:val="20"/>
        </w:rPr>
        <w:t xml:space="preserve">Example: A $8M beauty brand gets 50,000 new customers a year. If their 12-month repeat rate goes from 25% to 30%, that is 2,500 more returning customers. At 1.4 orders each and about $39 profit per order, that is roughly </w:t>
      </w:r>
      <w:r>
        <w:rPr>
          <w:rFonts w:ascii="Arial" w:cs="Arial" w:eastAsia="Arial" w:hAnsi="Arial"/>
          <w:b/>
          <w:bCs/>
          <w:sz w:val="20"/>
          <w:szCs w:val="20"/>
        </w:rPr>
        <w:t xml:space="preserve">$136,000 of extra profit per year</w:t>
      </w:r>
      <w:r>
        <w:rPr>
          <w:rFonts w:ascii="Arial" w:cs="Arial" w:eastAsia="Arial" w:hAnsi="Arial"/>
          <w:sz w:val="20"/>
          <w:szCs w:val="20"/>
        </w:rPr>
        <w:t xml:space="preserve">, from one improvement. That is 2–4 times the annual cost of Lhotse.</w:t>
      </w:r>
    </w:p>
    <w:p>
      <w:pPr>
        <w:pStyle w:val="Heading2"/>
        <w:keepNext/>
      </w:pPr>
      <w:r>
        <w:rPr>
          <w:rFonts w:ascii="Arial" w:cs="Arial" w:eastAsia="Arial" w:hAnsi="Arial"/>
        </w:rPr>
        <w:t xml:space="preserve">2.6 How to talk about this with clients</w:t>
      </w:r>
    </w:p>
    <w:p>
      <w:pPr>
        <w:pStyle w:val="ListParagraph"/>
        <w:numPr>
          <w:ilvl w:val="0"/>
          <w:numId w:val="2"/>
        </w:numPr>
        <w:spacing w:after="60"/>
      </w:pPr>
      <w:r>
        <w:rPr>
          <w:rFonts w:ascii="Arial" w:cs="Arial" w:eastAsia="Arial" w:hAnsi="Arial"/>
          <w:b/>
          <w:bCs/>
          <w:sz w:val="20"/>
          <w:szCs w:val="20"/>
        </w:rPr>
        <w:t xml:space="preserve">Talk about profit, not email open rates.</w:t>
      </w:r>
      <w:r>
        <w:rPr>
          <w:rFonts w:ascii="Arial" w:cs="Arial" w:eastAsia="Arial" w:hAnsi="Arial"/>
          <w:sz w:val="20"/>
          <w:szCs w:val="20"/>
        </w:rPr>
        <w:t xml:space="preserve"> "Orders you don't pay Facebook for" is what founders and finance people care about.</w:t>
      </w:r>
    </w:p>
    <w:p>
      <w:pPr>
        <w:pStyle w:val="ListParagraph"/>
        <w:numPr>
          <w:ilvl w:val="0"/>
          <w:numId w:val="2"/>
        </w:numPr>
        <w:spacing w:after="60"/>
      </w:pPr>
      <w:r>
        <w:rPr>
          <w:rFonts w:ascii="Arial" w:cs="Arial" w:eastAsia="Arial" w:hAnsi="Arial"/>
          <w:b/>
          <w:bCs/>
          <w:sz w:val="20"/>
          <w:szCs w:val="20"/>
        </w:rPr>
        <w:t xml:space="preserve">Compare Lhotse to buying the same orders through ads.</w:t>
      </w:r>
      <w:r>
        <w:rPr>
          <w:rFonts w:ascii="Arial" w:cs="Arial" w:eastAsia="Arial" w:hAnsi="Arial"/>
          <w:sz w:val="20"/>
          <w:szCs w:val="20"/>
        </w:rPr>
        <w:t xml:space="preserve"> At a $40 average ad cost per purchase, 150 extra repeat orders a month would cost $6,000 in ad spend. Lhotse is the same price.</w:t>
      </w:r>
    </w:p>
    <w:p>
      <w:pPr>
        <w:pStyle w:val="ListParagraph"/>
        <w:numPr>
          <w:ilvl w:val="0"/>
          <w:numId w:val="2"/>
        </w:numPr>
        <w:spacing w:after="60"/>
      </w:pPr>
      <w:r>
        <w:rPr>
          <w:rFonts w:ascii="Arial" w:cs="Arial" w:eastAsia="Arial" w:hAnsi="Arial"/>
          <w:b/>
          <w:bCs/>
          <w:sz w:val="20"/>
          <w:szCs w:val="20"/>
        </w:rPr>
        <w:t xml:space="preserve">Do not use made-up statistics.</w:t>
      </w:r>
      <w:r>
        <w:rPr>
          <w:rFonts w:ascii="Arial" w:cs="Arial" w:eastAsia="Arial" w:hAnsi="Arial"/>
          <w:sz w:val="20"/>
          <w:szCs w:val="20"/>
        </w:rPr>
        <w:t xml:space="preserve"> The popular claim that "customer acquisition costs rose 60% in five years" comes from a 2022 vendor blog post with no real data behind it. Smart buyers know this.</w:t>
      </w:r>
    </w:p>
    <w:p>
      <w:pPr>
        <w:spacing w:after="60" w:before="0"/>
      </w:pPr>
    </w:p>
    <w:p>
      <w:pPr>
        <w:pStyle w:val="Heading1"/>
        <w:keepNext/>
      </w:pPr>
      <w:r>
        <w:rPr>
          <w:rFonts w:ascii="Arial" w:cs="Arial" w:eastAsia="Arial" w:hAnsi="Arial"/>
        </w:rPr>
        <w:t xml:space="preserve">3. How to Read a Store's Tech Setup to Know If It's a Good Fit</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The apps a brand uses on their website tell us their size, budget, and likely problems, before we ever talk to them. Shopify plus Klaviyo is the minimum requirement. When a brand also uses paid growth tools like Attentive or Northbeam, that signals a larger brand with a real retention budget. We use these signals to give each prospect two scores: a </w:t>
      </w:r>
      <w:r>
        <w:rPr>
          <w:rFonts w:ascii="Arial" w:cs="Arial" w:eastAsia="Arial" w:hAnsi="Arial"/>
          <w:b/>
          <w:bCs/>
          <w:sz w:val="20"/>
          <w:szCs w:val="20"/>
        </w:rPr>
        <w:t xml:space="preserve">Lhotse Fit Score</w:t>
      </w:r>
      <w:r>
        <w:rPr>
          <w:rFonts w:ascii="Arial" w:cs="Arial" w:eastAsia="Arial" w:hAnsi="Arial"/>
          <w:sz w:val="20"/>
          <w:szCs w:val="20"/>
        </w:rPr>
        <w:t xml:space="preserve"> (how good a Lhotse client they would be) and an </w:t>
      </w:r>
      <w:r>
        <w:rPr>
          <w:rFonts w:ascii="Arial" w:cs="Arial" w:eastAsia="Arial" w:hAnsi="Arial"/>
          <w:b/>
          <w:bCs/>
          <w:sz w:val="20"/>
          <w:szCs w:val="20"/>
        </w:rPr>
        <w:t xml:space="preserve">Ascent Urgency Score</w:t>
      </w:r>
      <w:r>
        <w:rPr>
          <w:rFonts w:ascii="Arial" w:cs="Arial" w:eastAsia="Arial" w:hAnsi="Arial"/>
          <w:sz w:val="20"/>
          <w:szCs w:val="20"/>
        </w:rPr>
        <w:t xml:space="preserve"> (how badly their email delivery needs fixing).</w:t>
      </w:r>
    </w:p>
    <w:p>
      <w:pPr>
        <w:pStyle w:val="Heading2"/>
        <w:keepNext/>
      </w:pPr>
      <w:r>
        <w:rPr>
          <w:rFonts w:ascii="Arial" w:cs="Arial" w:eastAsia="Arial" w:hAnsi="Arial"/>
        </w:rPr>
        <w:t xml:space="preserve">3.1 What tools DTC brands use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7"/>
          <w:szCs w:val="17"/>
        </w:rPr>
        <w:t xml:space="preserve">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 STOREFRONT          Shopify · Shopify Plus ($2,300–2,500/month)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 EMAIL &amp; SMS         Klaviyo · Postscript · Attentive · Omnisend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 SUBSCRIPTIONS       ReCharge (handles repeat delivery orders)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 ANALYTICS           Triple Whale · Northbeam (ad tracking tools)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 CUSTOMER SERVICE    Gorgias (support chat/tickets) · Okendo/Yotpo (reviews)│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 FULFILLMENT         3PL warehouse partner (84% of brands use one)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Every tool that sends emails on the brand's behalf (support, reviews,</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7"/>
          <w:szCs w:val="17"/>
        </w:rPr>
        <w:t xml:space="preserve">   subscriptions) is another one we need to check in an Ascent audit.</w:t>
      </w:r>
    </w:p>
    <w:p>
      <w:pPr>
        <w:pStyle w:val="Heading2"/>
        <w:keepNext/>
      </w:pPr>
      <w:r>
        <w:rPr>
          <w:rFonts w:ascii="Arial" w:cs="Arial" w:eastAsia="Arial" w:hAnsi="Arial"/>
        </w:rPr>
        <w:t xml:space="preserve">3.2 What each tool tells 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8"/>
        <w:gridCol w:w="1911"/>
        <w:gridCol w:w="3088"/>
        <w:gridCol w:w="3023"/>
      </w:tblGrid>
      <w:tr>
        <w:trPr>
          <w:cantSplit/>
          <w:tblHeader/>
        </w:trPr>
        <w:tc>
          <w:tcPr>
            <w:tcW w:type="dxa" w:w="205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Tool</w:t>
            </w:r>
          </w:p>
        </w:tc>
        <w:tc>
          <w:tcPr>
            <w:tcW w:type="dxa" w:w="191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many US Shopify stores use it</w:t>
            </w:r>
          </w:p>
        </w:tc>
        <w:tc>
          <w:tcPr>
            <w:tcW w:type="dxa" w:w="308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signals</w:t>
            </w:r>
          </w:p>
        </w:tc>
        <w:tc>
          <w:tcPr>
            <w:tcW w:type="dxa" w:w="302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we say in our pitch</w:t>
            </w:r>
          </w:p>
        </w:tc>
      </w:tr>
      <w:tr>
        <w:trPr>
          <w:cantSplit/>
        </w:trPr>
        <w:tc>
          <w:tcPr>
            <w:tcW w:type="dxa" w:w="20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Shopify Plus</w:t>
            </w:r>
          </w:p>
        </w:tc>
        <w:tc>
          <w:tcPr>
            <w:tcW w:type="dxa" w:w="191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w:t>
            </w:r>
          </w:p>
        </w:tc>
        <w:tc>
          <w:tcPr>
            <w:tcW w:type="dxa" w:w="30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Strong signal of a bigger brand (fees alone cost $27,600+/yr, so this is almost always a $1M+ brand)</w:t>
            </w:r>
          </w:p>
        </w:tc>
        <w:tc>
          <w:tcPr>
            <w:tcW w:type="dxa" w:w="302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Good fit for both services</w:t>
            </w:r>
          </w:p>
        </w:tc>
      </w:tr>
      <w:tr>
        <w:trPr>
          <w:cantSplit/>
        </w:trPr>
        <w:tc>
          <w:tcPr>
            <w:tcW w:type="dxa" w:w="20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Klaviyo</w:t>
            </w:r>
          </w:p>
        </w:tc>
        <w:tc>
          <w:tcPr>
            <w:tcW w:type="dxa" w:w="191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14.5%</w:t>
            </w:r>
          </w:p>
        </w:tc>
        <w:tc>
          <w:tcPr>
            <w:tcW w:type="dxa" w:w="30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 this is the gate</w:t>
            </w:r>
          </w:p>
        </w:tc>
        <w:tc>
          <w:tcPr>
            <w:tcW w:type="dxa" w:w="302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Both</w:t>
            </w:r>
          </w:p>
        </w:tc>
      </w:tr>
      <w:tr>
        <w:trPr>
          <w:cantSplit/>
        </w:trPr>
        <w:tc>
          <w:tcPr>
            <w:tcW w:type="dxa" w:w="20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Attentive</w:t>
            </w:r>
          </w:p>
        </w:tc>
        <w:tc>
          <w:tcPr>
            <w:tcW w:type="dxa" w:w="191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0.58%</w:t>
            </w:r>
          </w:p>
        </w:tc>
        <w:tc>
          <w:tcPr>
            <w:tcW w:type="dxa" w:w="30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Large brand, enterprise-level, big SMS budget</w:t>
            </w:r>
          </w:p>
        </w:tc>
        <w:tc>
          <w:tcPr>
            <w:tcW w:type="dxa" w:w="302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Lhotse Scale</w:t>
            </w:r>
          </w:p>
        </w:tc>
      </w:tr>
      <w:tr>
        <w:trPr>
          <w:cantSplit/>
        </w:trPr>
        <w:tc>
          <w:tcPr>
            <w:tcW w:type="dxa" w:w="20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Northbeam</w:t>
            </w:r>
          </w:p>
        </w:tc>
        <w:tc>
          <w:tcPr>
            <w:tcW w:type="dxa" w:w="191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0.11%</w:t>
            </w:r>
          </w:p>
        </w:tc>
        <w:tc>
          <w:tcPr>
            <w:tcW w:type="dxa" w:w="30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Large ad budget, team that cares about measurement</w:t>
            </w:r>
          </w:p>
        </w:tc>
        <w:tc>
          <w:tcPr>
            <w:tcW w:type="dxa" w:w="302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Lead with real lift results</w:t>
            </w:r>
          </w:p>
        </w:tc>
      </w:tr>
      <w:tr>
        <w:trPr>
          <w:cantSplit/>
        </w:trPr>
        <w:tc>
          <w:tcPr>
            <w:tcW w:type="dxa" w:w="20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Postscript</w:t>
            </w:r>
          </w:p>
        </w:tc>
        <w:tc>
          <w:tcPr>
            <w:tcW w:type="dxa" w:w="191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w:t>
            </w:r>
          </w:p>
        </w:tc>
        <w:tc>
          <w:tcPr>
            <w:tcW w:type="dxa" w:w="30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Running SMS, has a retention budget</w:t>
            </w:r>
          </w:p>
        </w:tc>
        <w:tc>
          <w:tcPr>
            <w:tcW w:type="dxa" w:w="302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Growth</w:t>
            </w:r>
          </w:p>
        </w:tc>
      </w:tr>
      <w:tr>
        <w:trPr>
          <w:cantSplit/>
        </w:trPr>
        <w:tc>
          <w:tcPr>
            <w:tcW w:type="dxa" w:w="20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ReCharge</w:t>
            </w:r>
          </w:p>
        </w:tc>
        <w:tc>
          <w:tcPr>
            <w:tcW w:type="dxa" w:w="191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2.1%</w:t>
            </w:r>
          </w:p>
        </w:tc>
        <w:tc>
          <w:tcPr>
            <w:tcW w:type="dxa" w:w="30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Repeat-purchase model is already running</w:t>
            </w:r>
          </w:p>
        </w:tc>
        <w:tc>
          <w:tcPr>
            <w:tcW w:type="dxa" w:w="302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Focus on reducing cancellations, cross-selling</w:t>
            </w:r>
          </w:p>
        </w:tc>
      </w:tr>
      <w:tr>
        <w:trPr>
          <w:cantSplit/>
        </w:trPr>
        <w:tc>
          <w:tcPr>
            <w:tcW w:type="dxa" w:w="20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Triple Whale</w:t>
            </w:r>
          </w:p>
        </w:tc>
        <w:tc>
          <w:tcPr>
            <w:tcW w:type="dxa" w:w="191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w:t>
            </w:r>
          </w:p>
        </w:tc>
        <w:tc>
          <w:tcPr>
            <w:tcW w:type="dxa" w:w="30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Tracks all marketing spend carefully</w:t>
            </w:r>
          </w:p>
        </w:tc>
        <w:tc>
          <w:tcPr>
            <w:tcW w:type="dxa" w:w="302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Frame results as "lower blended marketing cost"</w:t>
            </w:r>
          </w:p>
        </w:tc>
      </w:tr>
      <w:tr>
        <w:trPr>
          <w:cantSplit/>
        </w:trPr>
        <w:tc>
          <w:tcPr>
            <w:tcW w:type="dxa" w:w="20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Gorgias</w:t>
            </w:r>
          </w:p>
        </w:tc>
        <w:tc>
          <w:tcPr>
            <w:tcW w:type="dxa" w:w="191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w:t>
            </w:r>
          </w:p>
        </w:tc>
        <w:tc>
          <w:tcPr>
            <w:tcW w:type="dxa" w:w="30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Has a customer service team sending from the brand domain</w:t>
            </w:r>
          </w:p>
        </w:tc>
        <w:tc>
          <w:tcPr>
            <w:tcW w:type="dxa" w:w="302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 email security settings on support emails</w:t>
            </w:r>
          </w:p>
        </w:tc>
      </w:tr>
      <w:tr>
        <w:trPr>
          <w:cantSplit/>
        </w:trPr>
        <w:tc>
          <w:tcPr>
            <w:tcW w:type="dxa" w:w="20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Mailchimp</w:t>
            </w:r>
          </w:p>
        </w:tc>
        <w:tc>
          <w:tcPr>
            <w:tcW w:type="dxa" w:w="191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5.8%</w:t>
            </w:r>
          </w:p>
        </w:tc>
        <w:tc>
          <w:tcPr>
            <w:tcW w:type="dxa" w:w="30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Rarely a serious email program</w:t>
            </w:r>
          </w:p>
        </w:tc>
        <w:tc>
          <w:tcPr>
            <w:tcW w:type="dxa" w:w="302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Nurture gently</w:t>
            </w:r>
          </w:p>
        </w:tc>
      </w:tr>
      <w:tr>
        <w:trPr>
          <w:cantSplit/>
        </w:trPr>
        <w:tc>
          <w:tcPr>
            <w:tcW w:type="dxa" w:w="20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Omnisend alone</w:t>
            </w:r>
          </w:p>
        </w:tc>
        <w:tc>
          <w:tcPr>
            <w:tcW w:type="dxa" w:w="191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2.2%</w:t>
            </w:r>
          </w:p>
        </w:tc>
        <w:tc>
          <w:tcPr>
            <w:tcW w:type="dxa" w:w="30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Often a deliberate choice</w:t>
            </w:r>
          </w:p>
        </w:tc>
        <w:tc>
          <w:tcPr>
            <w:tcW w:type="dxa" w:w="302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Hold, never push them to switch platforms</w:t>
            </w:r>
          </w:p>
        </w:tc>
      </w:tr>
      <w:tr>
        <w:trPr>
          <w:cantSplit/>
        </w:trPr>
        <w:tc>
          <w:tcPr>
            <w:tcW w:type="dxa" w:w="20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Printful / Printify / Fourthwall</w:t>
            </w:r>
          </w:p>
        </w:tc>
        <w:tc>
          <w:tcPr>
            <w:tcW w:type="dxa" w:w="191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Top-10 apps</w:t>
            </w:r>
          </w:p>
        </w:tc>
        <w:tc>
          <w:tcPr>
            <w:tcW w:type="dxa" w:w="30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Print-on-demand, skip</w:t>
            </w:r>
          </w:p>
        </w:tc>
        <w:tc>
          <w:tcPr>
            <w:tcW w:type="dxa" w:w="302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Skip</w:t>
            </w:r>
          </w:p>
        </w:tc>
      </w:tr>
    </w:tbl>
    <w:p>
      <w:pPr>
        <w:spacing w:after="120" w:before="0"/>
      </w:pPr>
    </w:p>
    <w:p>
      <w:pPr>
        <w:spacing w:after="160" w:before="0"/>
      </w:pPr>
      <w:r>
        <w:rPr>
          <w:rFonts w:ascii="Arial" w:cs="Arial" w:eastAsia="Arial" w:hAnsi="Arial"/>
          <w:i/>
          <w:iCs/>
          <w:color w:val="5B6573"/>
          <w:sz w:val="16"/>
          <w:szCs w:val="16"/>
        </w:rPr>
        <w:t xml:space="preserve">Counts from Store Leads data, 1,179,951 live US Shopify stores, September 2026.</w:t>
      </w:r>
    </w:p>
    <w:p>
      <w:r>
        <w:rPr>
          <w:rFonts w:ascii="Arial" w:cs="Arial" w:eastAsia="Arial" w:hAnsi="Arial"/>
          <w:sz w:val="20"/>
          <w:szCs w:val="20"/>
        </w:rPr>
        <w:t xml:space="preserve">Three important platform facts:</w:t>
      </w:r>
    </w:p>
    <w:p>
      <w:pPr>
        <w:pStyle w:val="ListParagraph"/>
        <w:numPr>
          <w:ilvl w:val="0"/>
          <w:numId w:val="4"/>
        </w:numPr>
        <w:spacing w:after="60"/>
      </w:pPr>
      <w:r>
        <w:rPr>
          <w:rFonts w:ascii="Arial" w:cs="Arial" w:eastAsia="Arial" w:hAnsi="Arial"/>
          <w:b/>
          <w:bCs/>
          <w:sz w:val="20"/>
          <w:szCs w:val="20"/>
        </w:rPr>
        <w:t xml:space="preserve">Klaviyo is growing fast.</w:t>
      </w:r>
      <w:r>
        <w:rPr>
          <w:rFonts w:ascii="Arial" w:cs="Arial" w:eastAsia="Arial" w:hAnsi="Arial"/>
          <w:sz w:val="20"/>
          <w:szCs w:val="20"/>
        </w:rPr>
        <w:t xml:space="preserve"> Revenue grew 26% in mid-2026. Brands paying Klaviyo more than $50,000/year grew 36%. Bigger brands are investing heavily in email.</w:t>
      </w:r>
    </w:p>
    <w:p>
      <w:pPr>
        <w:pStyle w:val="ListParagraph"/>
        <w:numPr>
          <w:ilvl w:val="0"/>
          <w:numId w:val="4"/>
        </w:numPr>
        <w:spacing w:after="60"/>
      </w:pPr>
      <w:r>
        <w:rPr>
          <w:rFonts w:ascii="Arial" w:cs="Arial" w:eastAsia="Arial" w:hAnsi="Arial"/>
          <w:b/>
          <w:bCs/>
          <w:sz w:val="20"/>
          <w:szCs w:val="20"/>
        </w:rPr>
        <w:t xml:space="preserve">Shopify rewrites the email sender</w:t>
      </w:r>
      <w:r>
        <w:rPr>
          <w:rFonts w:ascii="Arial" w:cs="Arial" w:eastAsia="Arial" w:hAnsi="Arial"/>
          <w:sz w:val="20"/>
          <w:szCs w:val="20"/>
        </w:rPr>
        <w:t xml:space="preserve"> when a brand has no security record (DMARC) set up. The email shows up to customers as being from "shopifyemail.com" instead of the brand's domain, this is a clear sign the brand needs Ascent.</w:t>
      </w:r>
    </w:p>
    <w:p>
      <w:pPr>
        <w:pStyle w:val="ListParagraph"/>
        <w:numPr>
          <w:ilvl w:val="0"/>
          <w:numId w:val="4"/>
        </w:numPr>
        <w:spacing w:after="60"/>
      </w:pPr>
      <w:r>
        <w:rPr>
          <w:rFonts w:ascii="Arial" w:cs="Arial" w:eastAsia="Arial" w:hAnsi="Arial"/>
          <w:b/>
          <w:bCs/>
          <w:sz w:val="20"/>
          <w:szCs w:val="20"/>
        </w:rPr>
        <w:t xml:space="preserve">Owners love Klaviyo's power but hate the bill.</w:t>
      </w:r>
      <w:r>
        <w:rPr>
          <w:rFonts w:ascii="Arial" w:cs="Arial" w:eastAsia="Arial" w:hAnsi="Arial"/>
          <w:sz w:val="20"/>
          <w:szCs w:val="20"/>
        </w:rPr>
        <w:t xml:space="preserve"> GrowMailers sells the expertise to make Klaviyo worth paying for. We never push them to switch.</w:t>
      </w:r>
    </w:p>
    <w:p>
      <w:pPr>
        <w:spacing w:after="60" w:before="0"/>
      </w:pPr>
    </w:p>
    <w:p>
      <w:pPr>
        <w:pStyle w:val="Heading2"/>
        <w:keepNext/>
      </w:pPr>
      <w:r>
        <w:rPr>
          <w:rFonts w:ascii="Arial" w:cs="Arial" w:eastAsia="Arial" w:hAnsi="Arial"/>
        </w:rPr>
        <w:t xml:space="preserve">3.3 How to score a prospect</w:t>
      </w:r>
    </w:p>
    <w:p>
      <w:pPr>
        <w:pStyle w:val="Heading3"/>
        <w:keepNext/>
      </w:pPr>
      <w:r>
        <w:rPr>
          <w:rFonts w:ascii="Arial" w:cs="Arial" w:eastAsia="Arial" w:hAnsi="Arial"/>
        </w:rPr>
        <w:t xml:space="preserve">Lhotse Fit Score (out of 100), "How good a Lhotse client would this be?"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7"/>
          <w:szCs w:val="17"/>
        </w:rPr>
        <w:t xml:space="preserve">  Score = Platform (0–20) + Size (0–30) + Tools they use (0–20)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Product type (0–15) + Email program gaps (0–15) − Penalties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7"/>
          <w:szCs w:val="17"/>
        </w:rPr>
        <w:t xml:space="preserve">  GATE: If they don't use Klaviyo → Score = 0 (hold or nurture)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72"/>
        <w:gridCol w:w="5376"/>
        <w:gridCol w:w="1232"/>
      </w:tblGrid>
      <w:tr>
        <w:trPr>
          <w:cantSplit/>
          <w:tblHeader/>
        </w:trPr>
        <w:tc>
          <w:tcPr>
            <w:tcW w:type="dxa" w:w="347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we measure</w:t>
            </w:r>
          </w:p>
        </w:tc>
        <w:tc>
          <w:tcPr>
            <w:tcW w:type="dxa" w:w="537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Criteria</w:t>
            </w:r>
          </w:p>
        </w:tc>
        <w:tc>
          <w:tcPr>
            <w:tcW w:type="dxa" w:w="123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Points</w:t>
            </w:r>
          </w:p>
        </w:tc>
      </w:tr>
      <w:tr>
        <w:trPr>
          <w:cantSplit/>
        </w:trPr>
        <w:tc>
          <w:tcPr>
            <w:tcW w:type="dxa" w:w="34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Platform</w:t>
            </w:r>
          </w:p>
        </w:tc>
        <w:tc>
          <w:tcPr>
            <w:tcW w:type="dxa" w:w="53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Plus / regular Shopify above $250k/month in sales / below that</w:t>
            </w:r>
          </w:p>
        </w:tc>
        <w:tc>
          <w:tcPr>
            <w:tcW w:type="dxa" w:w="12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 / 12 / 0</w:t>
            </w:r>
          </w:p>
        </w:tc>
      </w:tr>
      <w:tr>
        <w:trPr>
          <w:cantSplit/>
        </w:trPr>
        <w:tc>
          <w:tcPr>
            <w:tcW w:type="dxa" w:w="347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Size</w:t>
            </w:r>
            <w:r>
              <w:rPr>
                <w:rFonts w:ascii="Arial" w:cs="Arial" w:eastAsia="Arial" w:hAnsi="Arial"/>
                <w:sz w:val="16"/>
                <w:szCs w:val="16"/>
              </w:rPr>
              <w:t xml:space="preserve"> (estimated monthly sales)</w:t>
            </w:r>
          </w:p>
        </w:tc>
        <w:tc>
          <w:tcPr>
            <w:tcW w:type="dxa" w:w="53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$420k–$1.0M/month ($5M–$12M/year)</w:t>
            </w:r>
          </w:p>
        </w:tc>
        <w:tc>
          <w:tcPr>
            <w:tcW w:type="dxa" w:w="12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w:t>
            </w:r>
          </w:p>
        </w:tc>
      </w:tr>
      <w:tr>
        <w:trPr>
          <w:cantSplit/>
        </w:trPr>
        <w:tc>
          <w:tcPr>
            <w:tcW w:type="dxa" w:w="34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p>
        </w:tc>
        <w:tc>
          <w:tcPr>
            <w:tcW w:type="dxa" w:w="53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$1.0M–$1.67M/month ($12M–$20M/year) OR $250k–$420k ($3M–$5M/year)</w:t>
            </w:r>
          </w:p>
        </w:tc>
        <w:tc>
          <w:tcPr>
            <w:tcW w:type="dxa" w:w="12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 / 20</w:t>
            </w:r>
          </w:p>
        </w:tc>
      </w:tr>
      <w:tr>
        <w:trPr>
          <w:cantSplit/>
        </w:trPr>
        <w:tc>
          <w:tcPr>
            <w:tcW w:type="dxa" w:w="347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p>
        </w:tc>
        <w:tc>
          <w:tcPr>
            <w:tcW w:type="dxa" w:w="53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Above $1.67M OR below $250k/month</w:t>
            </w:r>
          </w:p>
        </w:tc>
        <w:tc>
          <w:tcPr>
            <w:tcW w:type="dxa" w:w="12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 / 5</w:t>
            </w:r>
          </w:p>
        </w:tc>
      </w:tr>
      <w:tr>
        <w:trPr>
          <w:cantSplit/>
        </w:trPr>
        <w:tc>
          <w:tcPr>
            <w:tcW w:type="dxa" w:w="34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Tools used</w:t>
            </w:r>
            <w:r>
              <w:rPr>
                <w:rFonts w:ascii="Arial" w:cs="Arial" w:eastAsia="Arial" w:hAnsi="Arial"/>
                <w:sz w:val="16"/>
                <w:szCs w:val="16"/>
              </w:rPr>
              <w:t xml:space="preserve"> (max 20)</w:t>
            </w:r>
          </w:p>
        </w:tc>
        <w:tc>
          <w:tcPr>
            <w:tcW w:type="dxa" w:w="53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Postscript or Attentive +6; ReCharge +6; Triple Whale or Northbeam +5; Gorgias +3; reviews or loyalty app +3</w:t>
            </w:r>
          </w:p>
        </w:tc>
        <w:tc>
          <w:tcPr>
            <w:tcW w:type="dxa" w:w="12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up to 20</w:t>
            </w:r>
          </w:p>
        </w:tc>
      </w:tr>
      <w:tr>
        <w:trPr>
          <w:cantSplit/>
        </w:trPr>
        <w:tc>
          <w:tcPr>
            <w:tcW w:type="dxa" w:w="347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Product type</w:t>
            </w:r>
          </w:p>
        </w:tc>
        <w:tc>
          <w:tcPr>
            <w:tcW w:type="dxa" w:w="53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 supplements, food, or pets / clothing with repeat buying / other</w:t>
            </w:r>
          </w:p>
        </w:tc>
        <w:tc>
          <w:tcPr>
            <w:tcW w:type="dxa" w:w="12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 / 8 / 3</w:t>
            </w:r>
          </w:p>
        </w:tc>
      </w:tr>
      <w:tr>
        <w:trPr>
          <w:cantSplit/>
        </w:trPr>
        <w:tc>
          <w:tcPr>
            <w:tcW w:type="dxa" w:w="34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Email gaps</w:t>
            </w:r>
            <w:r>
              <w:rPr>
                <w:rFonts w:ascii="Arial" w:cs="Arial" w:eastAsia="Arial" w:hAnsi="Arial"/>
                <w:sz w:val="16"/>
                <w:szCs w:val="16"/>
              </w:rPr>
              <w:t xml:space="preserve"> (max 15, from audit)</w:t>
            </w:r>
          </w:p>
        </w:tc>
        <w:tc>
          <w:tcPr>
            <w:tcW w:type="dxa" w:w="53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one welcome email or none +5; blasting full list more than 4x/week +4; no browse-abandonment email +3; no post-purchase or reorder reminder +3</w:t>
            </w:r>
          </w:p>
        </w:tc>
        <w:tc>
          <w:tcPr>
            <w:tcW w:type="dxa" w:w="12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up to 15</w:t>
            </w:r>
          </w:p>
        </w:tc>
      </w:tr>
      <w:tr>
        <w:trPr>
          <w:cantSplit/>
        </w:trPr>
        <w:tc>
          <w:tcPr>
            <w:tcW w:type="dxa" w:w="347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Deductions</w:t>
            </w:r>
          </w:p>
        </w:tc>
        <w:tc>
          <w:tcPr>
            <w:tcW w:type="dxa" w:w="53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Registered business agent address −20; hired email agency in last 6 months −10; dropshipper or print-on-demand → skip</w:t>
            </w:r>
          </w:p>
        </w:tc>
        <w:tc>
          <w:tcPr>
            <w:tcW w:type="dxa" w:w="12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p>
        </w:tc>
      </w:tr>
    </w:tbl>
    <w:p>
      <w:pPr>
        <w:spacing w:after="120" w:before="0"/>
      </w:pPr>
    </w:p>
    <w:p>
      <w:pPr>
        <w:pStyle w:val="Heading3"/>
        <w:keepNext/>
      </w:pPr>
      <w:r>
        <w:rPr>
          <w:rFonts w:ascii="Arial" w:cs="Arial" w:eastAsia="Arial" w:hAnsi="Arial"/>
        </w:rPr>
        <w:t xml:space="preserve">Ascent Urgency Score (out of 100), "How badly does their email delivery need fixing?"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8"/>
        <w:gridCol w:w="5372"/>
        <w:gridCol w:w="900"/>
      </w:tblGrid>
      <w:tr>
        <w:trPr>
          <w:cantSplit/>
          <w:tblHeader/>
        </w:trPr>
        <w:tc>
          <w:tcPr>
            <w:tcW w:type="dxa" w:w="380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we measure</w:t>
            </w:r>
          </w:p>
        </w:tc>
        <w:tc>
          <w:tcPr>
            <w:tcW w:type="dxa" w:w="537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Criteria</w:t>
            </w:r>
          </w:p>
        </w:tc>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Points</w:t>
            </w:r>
          </w:p>
        </w:tc>
      </w:tr>
      <w:tr>
        <w:trPr>
          <w:cantSplit/>
        </w:trPr>
        <w:tc>
          <w:tcPr>
            <w:tcW w:type="dxa" w:w="38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Security setting gaps</w:t>
            </w:r>
            <w:r>
              <w:rPr>
                <w:rFonts w:ascii="Arial" w:cs="Arial" w:eastAsia="Arial" w:hAnsi="Arial"/>
                <w:sz w:val="16"/>
                <w:szCs w:val="16"/>
              </w:rPr>
              <w:t xml:space="preserve"> (max 40)</w:t>
            </w:r>
          </w:p>
        </w:tc>
        <w:tc>
          <w:tcPr>
            <w:tcW w:type="dxa" w:w="53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DMARC record 20; two or broken DMARC records 20; emails show "via klaviyomail.com" above 5,000 subscribers 20; Shopify is rewriting their email sender 15; SPF record is broken 10</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up to 40</w:t>
            </w:r>
          </w:p>
        </w:tc>
      </w:tr>
      <w:tr>
        <w:trPr>
          <w:cantSplit/>
        </w:trPr>
        <w:tc>
          <w:tcPr>
            <w:tcW w:type="dxa" w:w="38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How exposed they are</w:t>
            </w:r>
            <w:r>
              <w:rPr>
                <w:rFonts w:ascii="Arial" w:cs="Arial" w:eastAsia="Arial" w:hAnsi="Arial"/>
                <w:sz w:val="16"/>
                <w:szCs w:val="16"/>
              </w:rPr>
              <w:t xml:space="preserve"> (max 30)</w:t>
            </w:r>
          </w:p>
        </w:tc>
        <w:tc>
          <w:tcPr>
            <w:tcW w:type="dxa" w:w="537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List above 50,000 10; using SMS heavily with frequent sends 10; in UK/Canada/Australia where Microsoft is big 5; Black Friday within 12 weeks 5</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up to 30</w:t>
            </w:r>
          </w:p>
        </w:tc>
      </w:tr>
      <w:tr>
        <w:trPr>
          <w:cantSplit/>
        </w:trPr>
        <w:tc>
          <w:tcPr>
            <w:tcW w:type="dxa" w:w="38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Visible signs of problems</w:t>
            </w:r>
            <w:r>
              <w:rPr>
                <w:rFonts w:ascii="Arial" w:cs="Arial" w:eastAsia="Arial" w:hAnsi="Arial"/>
                <w:sz w:val="16"/>
                <w:szCs w:val="16"/>
              </w:rPr>
              <w:t xml:space="preserve"> (max 30)</w:t>
            </w:r>
          </w:p>
        </w:tc>
        <w:tc>
          <w:tcPr>
            <w:tcW w:type="dxa" w:w="53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Test emails land in spam at 2+ email providers 15; order confirmation emails land in spam 10; no one-click unsubscribe button 10; welcome email arrives more than 1 hour late 5</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up to 30</w:t>
            </w:r>
          </w:p>
        </w:tc>
      </w:tr>
    </w:tbl>
    <w:p>
      <w:pPr>
        <w:spacing w:after="120" w:before="0"/>
      </w:pPr>
    </w:p>
    <w:p>
      <w:pPr>
        <w:pStyle w:val="Heading3"/>
        <w:keepNext/>
      </w:pPr>
      <w:r>
        <w:rPr>
          <w:rFonts w:ascii="Arial" w:cs="Arial" w:eastAsia="Arial" w:hAnsi="Arial"/>
        </w:rPr>
        <w:t xml:space="preserve">Priority guide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7"/>
          <w:szCs w:val="17"/>
        </w:rPr>
        <w:t xml:space="preserve">                        ASCENT URGENCY SCORE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Low (under 40)            High (40+)</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LHOTSE  High│ LHOTSE FIRST          │ ASCENT FIRST,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FIT    (60+)│ Lead with program     │ THEN LHOTSE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SCORE       │ gaps and upside       │ Fix delivery, then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                       │ pitch the retainer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Low │ NURTURE / SKIP        │ ASCENT ONLY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(&lt;60)│ Check back in         │ For $1–3M or $20M+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 3 months              │ brands               │</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7"/>
          <w:szCs w:val="17"/>
        </w:rPr>
        <w:t xml:space="preserve">              └──────────────────────┴──────────────────────┘</w:t>
      </w:r>
    </w:p>
    <w:p>
      <w:pPr>
        <w:pStyle w:val="Heading2"/>
        <w:keepNext/>
      </w:pPr>
      <w:r>
        <w:rPr>
          <w:rFonts w:ascii="Arial" w:cs="Arial" w:eastAsia="Arial" w:hAnsi="Arial"/>
        </w:rPr>
        <w:t xml:space="preserve">3.4 Always verify before reaching out</w:t>
      </w:r>
    </w:p>
    <w:p>
      <w:r>
        <w:rPr>
          <w:rFonts w:ascii="Arial" w:cs="Arial" w:eastAsia="Arial" w:hAnsi="Arial"/>
          <w:sz w:val="20"/>
          <w:szCs w:val="20"/>
        </w:rPr>
        <w:t xml:space="preserve">Tech databases can be wrong and miss some setups. Before reaching out to any prospect, confirm by hand:</w:t>
      </w:r>
    </w:p>
    <w:p>
      <w:pPr>
        <w:pStyle w:val="ListParagraph"/>
        <w:numPr>
          <w:ilvl w:val="0"/>
          <w:numId w:val="2"/>
        </w:numPr>
        <w:spacing w:after="60"/>
      </w:pPr>
      <w:r>
        <w:rPr>
          <w:rFonts w:ascii="Arial" w:cs="Arial" w:eastAsia="Arial" w:hAnsi="Arial"/>
          <w:sz w:val="20"/>
          <w:szCs w:val="20"/>
        </w:rPr>
        <w:t xml:space="preserve">Klaviyo is live (sign up for their list and check the email you receive)</w:t>
      </w:r>
    </w:p>
    <w:p>
      <w:pPr>
        <w:pStyle w:val="ListParagraph"/>
        <w:numPr>
          <w:ilvl w:val="0"/>
          <w:numId w:val="2"/>
        </w:numPr>
        <w:spacing w:after="60"/>
      </w:pPr>
      <w:r>
        <w:rPr>
          <w:rFonts w:ascii="Arial" w:cs="Arial" w:eastAsia="Arial" w:hAnsi="Arial"/>
          <w:sz w:val="20"/>
          <w:szCs w:val="20"/>
        </w:rPr>
        <w:t xml:space="preserve">Emails actually arrive after signup</w:t>
      </w:r>
    </w:p>
    <w:p>
      <w:pPr>
        <w:pStyle w:val="ListParagraph"/>
        <w:numPr>
          <w:ilvl w:val="0"/>
          <w:numId w:val="2"/>
        </w:numPr>
        <w:spacing w:after="60"/>
      </w:pPr>
      <w:r>
        <w:rPr>
          <w:rFonts w:ascii="Arial" w:cs="Arial" w:eastAsia="Arial" w:hAnsi="Arial"/>
          <w:sz w:val="20"/>
          <w:szCs w:val="20"/>
        </w:rPr>
        <w:t xml:space="preserve">The growth tools are visible on the site (a ReCharge membership portal, a Gorgias chat widget)</w:t>
      </w:r>
    </w:p>
    <w:p>
      <w:pPr>
        <w:spacing w:after="60" w:before="0"/>
      </w:pPr>
    </w:p>
    <w:p>
      <w:r>
        <w:rPr>
          <w:rFonts w:ascii="Arial" w:cs="Arial" w:eastAsia="Arial" w:hAnsi="Arial"/>
          <w:sz w:val="20"/>
          <w:szCs w:val="20"/>
        </w:rPr>
        <w:t xml:space="preserve">A wrong signal leads to a wrong pitch. </w:t>
      </w:r>
    </w:p>
    <w:p>
      <w:r>
        <w:rPr>
          <w:rFonts w:ascii="Arial" w:cs="Arial" w:eastAsia="Arial" w:hAnsi="Arial"/>
          <w:b/>
          <w:bCs/>
          <w:sz w:val="20"/>
          <w:szCs w:val="20"/>
        </w:rPr>
        <w:t xml:space="preserve">Australia has the highest rate of Klaviyo use</w:t>
      </w:r>
      <w:r>
        <w:rPr>
          <w:rFonts w:ascii="Arial" w:cs="Arial" w:eastAsia="Arial" w:hAnsi="Arial"/>
          <w:sz w:val="20"/>
          <w:szCs w:val="20"/>
        </w:rPr>
        <w:t xml:space="preserve"> among the six countries we target, 23.6% of their Shopify stores use Klaviyo, compared to 14.5% in the US. Australian and UK brands tend to be more experienced, so lead with delivery depth and measurement rather than basics.</w:t>
      </w:r>
    </w:p>
    <w:p>
      <w:pPr>
        <w:pStyle w:val="Heading1"/>
        <w:keepNext/>
      </w:pPr>
      <w:r>
        <w:rPr>
          <w:rFonts w:ascii="Arial" w:cs="Arial" w:eastAsia="Arial" w:hAnsi="Arial"/>
        </w:rPr>
        <w:t xml:space="preserve">4. Who Our Perfect Clients Are</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Our ideal client is a Shopify or Shopify Plus brand using Klaviyo that owns its products and sells mainly through its own website, in beauty, supplements, food, or pets. </w:t>
      </w:r>
      <w:r>
        <w:rPr>
          <w:rFonts w:ascii="Arial" w:cs="Arial" w:eastAsia="Arial" w:hAnsi="Arial"/>
          <w:b/>
          <w:bCs/>
          <w:sz w:val="20"/>
          <w:szCs w:val="20"/>
        </w:rPr>
        <w:t xml:space="preserve">Lhotse</w:t>
      </w:r>
      <w:r>
        <w:rPr>
          <w:rFonts w:ascii="Arial" w:cs="Arial" w:eastAsia="Arial" w:hAnsi="Arial"/>
          <w:sz w:val="20"/>
          <w:szCs w:val="20"/>
        </w:rPr>
        <w:t xml:space="preserve"> targets brands making $3M–$20M per year. That is the size where email earns $600k–$6M per year, and a $36k–$66k annual retainer makes more sense than hiring a $70k–$100k+ employee. </w:t>
      </w:r>
      <w:r>
        <w:rPr>
          <w:rFonts w:ascii="Arial" w:cs="Arial" w:eastAsia="Arial" w:hAnsi="Arial"/>
          <w:b/>
          <w:bCs/>
          <w:sz w:val="20"/>
          <w:szCs w:val="20"/>
        </w:rPr>
        <w:t xml:space="preserve">Ascent</w:t>
      </w:r>
      <w:r>
        <w:rPr>
          <w:rFonts w:ascii="Arial" w:cs="Arial" w:eastAsia="Arial" w:hAnsi="Arial"/>
          <w:sz w:val="20"/>
          <w:szCs w:val="20"/>
        </w:rPr>
        <w:t xml:space="preserve"> targets brands making $1M–$50M+, including large brands with in-house teams who need a specialist repair job.</w:t>
      </w:r>
    </w:p>
    <w:p>
      <w:pPr>
        <w:pStyle w:val="Heading2"/>
        <w:keepNext/>
      </w:pPr>
      <w:r>
        <w:rPr>
          <w:rFonts w:ascii="Arial" w:cs="Arial" w:eastAsia="Arial" w:hAnsi="Arial"/>
        </w:rPr>
        <w:t xml:space="preserve">4.1 The entry requirements (must have ALL of these)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6"/>
        <w:gridCol w:w="3902"/>
        <w:gridCol w:w="3902"/>
      </w:tblGrid>
      <w:tr>
        <w:trPr>
          <w:cantSplit/>
          <w:tblHeader/>
        </w:trPr>
        <w:tc>
          <w:tcPr>
            <w:tcW w:type="dxa" w:w="227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Requirement</w:t>
            </w:r>
          </w:p>
        </w:tc>
        <w:tc>
          <w:tcPr>
            <w:tcW w:type="dxa" w:w="390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means</w:t>
            </w:r>
          </w:p>
        </w:tc>
        <w:tc>
          <w:tcPr>
            <w:tcW w:type="dxa" w:w="390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we check</w:t>
            </w:r>
          </w:p>
        </w:tc>
      </w:tr>
      <w:tr>
        <w:trPr>
          <w:cantSplit/>
        </w:trPr>
        <w:tc>
          <w:tcPr>
            <w:tcW w:type="dxa" w:w="22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Uses Shopify or Shopify Plus</w:t>
            </w:r>
          </w:p>
        </w:tc>
        <w:tc>
          <w:tcPr>
            <w:tcW w:type="dxa" w:w="3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Their online store runs on Shopify</w:t>
            </w:r>
          </w:p>
        </w:tc>
        <w:tc>
          <w:tcPr>
            <w:tcW w:type="dxa" w:w="3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Store Leads database; look at the website source code</w:t>
            </w:r>
          </w:p>
        </w:tc>
      </w:tr>
      <w:tr>
        <w:trPr>
          <w:cantSplit/>
        </w:trPr>
        <w:tc>
          <w:tcPr>
            <w:tcW w:type="dxa" w:w="22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Uses Klaviyo for emails</w:t>
            </w:r>
          </w:p>
        </w:tc>
        <w:tc>
          <w:tcPr>
            <w:tcW w:type="dxa" w:w="3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Their email platform is Klaviyo</w:t>
            </w:r>
          </w:p>
        </w:tc>
        <w:tc>
          <w:tcPr>
            <w:tcW w:type="dxa" w:w="3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Sign up for their email list; check the email headers</w:t>
            </w:r>
          </w:p>
        </w:tc>
      </w:tr>
      <w:tr>
        <w:trPr>
          <w:cantSplit/>
        </w:trPr>
        <w:tc>
          <w:tcPr>
            <w:tcW w:type="dxa" w:w="22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Owns their email list</w:t>
            </w:r>
          </w:p>
        </w:tc>
        <w:tc>
          <w:tcPr>
            <w:tcW w:type="dxa" w:w="3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Their own website is their main sales channel</w:t>
            </w:r>
          </w:p>
        </w:tc>
        <w:tc>
          <w:tcPr>
            <w:tcW w:type="dxa" w:w="3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Look at the site; Amazon is not the primary "buy" button</w:t>
            </w:r>
          </w:p>
        </w:tc>
      </w:tr>
      <w:tr>
        <w:trPr>
          <w:cantSplit/>
        </w:trPr>
        <w:tc>
          <w:tcPr>
            <w:tcW w:type="dxa" w:w="22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Owns their products</w:t>
            </w:r>
          </w:p>
        </w:tc>
        <w:tc>
          <w:tcPr>
            <w:tcW w:type="dxa" w:w="3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Makes or sells branded products (not drop-shipped generics)</w:t>
            </w:r>
          </w:p>
        </w:tc>
        <w:tc>
          <w:tcPr>
            <w:tcW w:type="dxa" w:w="3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dropshipping apps on their store; branded product pages</w:t>
            </w:r>
          </w:p>
        </w:tc>
      </w:tr>
      <w:tr>
        <w:trPr>
          <w:cantSplit/>
        </w:trPr>
        <w:tc>
          <w:tcPr>
            <w:tcW w:type="dxa" w:w="22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Minimum revenue</w:t>
            </w:r>
          </w:p>
        </w:tc>
        <w:tc>
          <w:tcPr>
            <w:tcW w:type="dxa" w:w="3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$1M+/year for Ascent, or the minimum for their product type for Lhotse (see table below)</w:t>
            </w:r>
          </w:p>
        </w:tc>
        <w:tc>
          <w:tcPr>
            <w:tcW w:type="dxa" w:w="3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Store Leads estimated monthly sales</w:t>
            </w:r>
          </w:p>
        </w:tc>
      </w:tr>
      <w:tr>
        <w:trPr>
          <w:cantSplit/>
        </w:trPr>
        <w:tc>
          <w:tcPr>
            <w:tcW w:type="dxa" w:w="22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Location</w:t>
            </w:r>
          </w:p>
        </w:tc>
        <w:tc>
          <w:tcPr>
            <w:tcW w:type="dxa" w:w="3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UK, Canada, Australia, Ireland, or New Zealand, confirmed as their real base</w:t>
            </w:r>
          </w:p>
        </w:tc>
        <w:tc>
          <w:tcPr>
            <w:tcW w:type="dxa" w:w="3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 their address, phone, founder's LinkedIn, and shipping origin</w:t>
            </w:r>
          </w:p>
        </w:tc>
      </w:tr>
      <w:tr>
        <w:trPr>
          <w:cantSplit/>
        </w:trPr>
        <w:tc>
          <w:tcPr>
            <w:tcW w:type="dxa" w:w="22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Legal contact</w:t>
            </w:r>
          </w:p>
        </w:tc>
        <w:tc>
          <w:tcPr>
            <w:tcW w:type="dxa" w:w="3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 have a legal way to reach a decision-maker</w:t>
            </w:r>
          </w:p>
        </w:tc>
        <w:tc>
          <w:tcPr>
            <w:tcW w:type="dxa" w:w="3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Record where we found the contact</w:t>
            </w:r>
          </w:p>
        </w:tc>
      </w:tr>
    </w:tbl>
    <w:p>
      <w:pPr>
        <w:spacing w:after="120" w:before="0"/>
      </w:pPr>
    </w:p>
    <w:p>
      <w:pPr>
        <w:pStyle w:val="Heading2"/>
        <w:keepNext/>
      </w:pPr>
      <w:r>
        <w:rPr>
          <w:rFonts w:ascii="Arial" w:cs="Arial" w:eastAsia="Arial" w:hAnsi="Arial"/>
        </w:rPr>
        <w:t xml:space="preserve">4.2 Ascent client tiers (all technical repair jobs)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2846"/>
        <w:gridCol w:w="2846"/>
        <w:gridCol w:w="2846"/>
      </w:tblGrid>
      <w:tr>
        <w:trPr>
          <w:cantSplit/>
          <w:tblHeader/>
        </w:trPr>
        <w:tc>
          <w:tcPr>
            <w:tcW w:type="dxa" w:w="154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p>
        </w:tc>
        <w:tc>
          <w:tcPr>
            <w:tcW w:type="dxa" w:w="284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A1: Small brand</w:t>
            </w:r>
          </w:p>
        </w:tc>
        <w:tc>
          <w:tcPr>
            <w:tcW w:type="dxa" w:w="284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A2: Growing brand</w:t>
            </w:r>
          </w:p>
        </w:tc>
        <w:tc>
          <w:tcPr>
            <w:tcW w:type="dxa" w:w="284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A3: Large brand</w:t>
            </w:r>
          </w:p>
        </w:tc>
      </w:tr>
      <w:tr>
        <w:trPr>
          <w:cantSplit/>
        </w:trPr>
        <w:tc>
          <w:tcPr>
            <w:tcW w:type="dxa" w:w="15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Annual revenue</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$1M–$3M</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$3M–$20M</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$20M–$50M+</w:t>
            </w:r>
          </w:p>
        </w:tc>
      </w:tr>
      <w:tr>
        <w:trPr>
          <w:cantSplit/>
        </w:trPr>
        <w:tc>
          <w:tcPr>
            <w:tcW w:type="dxa" w:w="15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Estimated monthly sales</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$83k–$250k</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$250k–$1.67M</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$1.67M–$4.2M+</w:t>
            </w:r>
          </w:p>
        </w:tc>
      </w:tr>
      <w:tr>
        <w:trPr>
          <w:cantSplit/>
        </w:trPr>
        <w:tc>
          <w:tcPr>
            <w:tcW w:type="dxa" w:w="15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Typical team size</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3–10 people</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8–40 people</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40–80+ people</w:t>
            </w:r>
          </w:p>
        </w:tc>
      </w:tr>
      <w:tr>
        <w:trPr>
          <w:cantSplit/>
        </w:trPr>
        <w:tc>
          <w:tcPr>
            <w:tcW w:type="dxa" w:w="15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Active Klaviyo subscribers</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10k–40k</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40k–250k</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250k–1M+</w:t>
            </w:r>
          </w:p>
        </w:tc>
      </w:tr>
      <w:tr>
        <w:trPr>
          <w:cantSplit/>
        </w:trPr>
        <w:tc>
          <w:tcPr>
            <w:tcW w:type="dxa" w:w="15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Emails sent per month</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50k–250k</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250k–1.5M</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1.5M–8M+</w:t>
            </w:r>
          </w:p>
        </w:tc>
      </w:tr>
      <w:tr>
        <w:trPr>
          <w:cantSplit/>
        </w:trPr>
        <w:tc>
          <w:tcPr>
            <w:tcW w:type="dxa" w:w="15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Who signs the contract</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 (under $5M); Head of Marketing above</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CMO or VP; finance reviews</w:t>
            </w:r>
          </w:p>
        </w:tc>
      </w:tr>
      <w:tr>
        <w:trPr>
          <w:cantSplit/>
        </w:trPr>
        <w:tc>
          <w:tcPr>
            <w:tcW w:type="dxa" w:w="15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Common reason for calling</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is rewriting their sender; shared Klaviyo domain; fake subscribers; rising bill</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Emails landing in Microsoft spam; sudden bounce spike; worried about Black Friday</w:t>
            </w:r>
          </w:p>
        </w:tc>
        <w:tc>
          <w:tcPr>
            <w:tcW w:type="dxa" w:w="284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Moving to a new sending domain; enforcing security settings; recovering from an incident</w:t>
            </w:r>
          </w:p>
        </w:tc>
      </w:tr>
      <w:tr>
        <w:trPr>
          <w:cantSplit/>
        </w:trPr>
        <w:tc>
          <w:tcPr>
            <w:tcW w:type="dxa" w:w="15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How we pitch it</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"Fix the foundation once, for under 0.5% of revenue"</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"Protect the channel that earns you $1M+ a year"</w:t>
            </w:r>
          </w:p>
        </w:tc>
        <w:tc>
          <w:tcPr>
            <w:tcW w:type="dxa" w:w="284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specialist repair your team can hand off, no disruption to sending"</w:t>
            </w:r>
          </w:p>
        </w:tc>
      </w:tr>
    </w:tbl>
    <w:p>
      <w:pPr>
        <w:spacing w:after="120" w:before="0"/>
      </w:pPr>
    </w:p>
    <w:p>
      <w:pPr>
        <w:pStyle w:val="Heading2"/>
        <w:keepNext/>
      </w:pPr>
      <w:r>
        <w:rPr>
          <w:rFonts w:ascii="Arial" w:cs="Arial" w:eastAsia="Arial" w:hAnsi="Arial"/>
        </w:rPr>
        <w:t xml:space="preserve">4.3 Lhotse client tiers (monthly retainer)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19"/>
        <w:gridCol w:w="2749"/>
        <w:gridCol w:w="2463"/>
        <w:gridCol w:w="2749"/>
      </w:tblGrid>
      <w:tr>
        <w:trPr>
          <w:cantSplit/>
          <w:tblHeader/>
        </w:trPr>
        <w:tc>
          <w:tcPr>
            <w:tcW w:type="dxa" w:w="211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p>
        </w:tc>
        <w:tc>
          <w:tcPr>
            <w:tcW w:type="dxa" w:w="274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L1: Entry</w:t>
            </w:r>
          </w:p>
        </w:tc>
        <w:tc>
          <w:tcPr>
            <w:tcW w:type="dxa" w:w="246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L2: Core (sweet spot)</w:t>
            </w:r>
          </w:p>
        </w:tc>
        <w:tc>
          <w:tcPr>
            <w:tcW w:type="dxa" w:w="274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L3: Scale</w:t>
            </w:r>
          </w:p>
        </w:tc>
      </w:tr>
      <w:tr>
        <w:trPr>
          <w:cantSplit/>
        </w:trPr>
        <w:tc>
          <w:tcPr>
            <w:tcW w:type="dxa" w:w="21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Annual revenue</w:t>
            </w:r>
          </w:p>
        </w:tc>
        <w:tc>
          <w:tcPr>
            <w:tcW w:type="dxa" w:w="274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$3M–$5M</w:t>
            </w:r>
          </w:p>
        </w:tc>
        <w:tc>
          <w:tcPr>
            <w:tcW w:type="dxa" w:w="246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$5M–$12M</w:t>
            </w:r>
          </w:p>
        </w:tc>
        <w:tc>
          <w:tcPr>
            <w:tcW w:type="dxa" w:w="274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$12M–$20M</w:t>
            </w:r>
          </w:p>
        </w:tc>
      </w:tr>
      <w:tr>
        <w:trPr>
          <w:cantSplit/>
        </w:trPr>
        <w:tc>
          <w:tcPr>
            <w:tcW w:type="dxa" w:w="211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 revenue (at 20–30%)</w:t>
            </w:r>
          </w:p>
        </w:tc>
        <w:tc>
          <w:tcPr>
            <w:tcW w:type="dxa" w:w="274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$600k–$1.5M</w:t>
            </w:r>
          </w:p>
        </w:tc>
        <w:tc>
          <w:tcPr>
            <w:tcW w:type="dxa" w:w="246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$1.0M–$3.6M</w:t>
            </w:r>
          </w:p>
        </w:tc>
        <w:tc>
          <w:tcPr>
            <w:tcW w:type="dxa" w:w="274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$2.4M–$6.0M</w:t>
            </w:r>
          </w:p>
        </w:tc>
      </w:tr>
      <w:tr>
        <w:trPr>
          <w:cantSplit/>
        </w:trPr>
        <w:tc>
          <w:tcPr>
            <w:tcW w:type="dxa" w:w="21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Suggested price</w:t>
            </w:r>
          </w:p>
        </w:tc>
        <w:tc>
          <w:tcPr>
            <w:tcW w:type="dxa" w:w="274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Core ($3,000–$3,500)</w:t>
            </w:r>
          </w:p>
        </w:tc>
        <w:tc>
          <w:tcPr>
            <w:tcW w:type="dxa" w:w="246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Growth ($3,500–$4,500)</w:t>
            </w:r>
          </w:p>
        </w:tc>
        <w:tc>
          <w:tcPr>
            <w:tcW w:type="dxa" w:w="274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Scale ($4,500–$5,500)</w:t>
            </w:r>
          </w:p>
        </w:tc>
      </w:tr>
      <w:tr>
        <w:trPr>
          <w:cantSplit/>
        </w:trPr>
        <w:tc>
          <w:tcPr>
            <w:tcW w:type="dxa" w:w="211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Retainer as share of email revenue</w:t>
            </w:r>
          </w:p>
        </w:tc>
        <w:tc>
          <w:tcPr>
            <w:tcW w:type="dxa" w:w="274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2.4–7%</w:t>
            </w:r>
          </w:p>
        </w:tc>
        <w:tc>
          <w:tcPr>
            <w:tcW w:type="dxa" w:w="246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1.2–5.4%</w:t>
            </w:r>
          </w:p>
        </w:tc>
        <w:tc>
          <w:tcPr>
            <w:tcW w:type="dxa" w:w="274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0.9–2.8%</w:t>
            </w:r>
          </w:p>
        </w:tc>
      </w:tr>
      <w:tr>
        <w:trPr>
          <w:cantSplit/>
        </w:trPr>
        <w:tc>
          <w:tcPr>
            <w:tcW w:type="dxa" w:w="21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Who makes the decision</w:t>
            </w:r>
          </w:p>
        </w:tc>
        <w:tc>
          <w:tcPr>
            <w:tcW w:type="dxa" w:w="274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w:t>
            </w:r>
          </w:p>
        </w:tc>
        <w:tc>
          <w:tcPr>
            <w:tcW w:type="dxa" w:w="246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Head of Marketing or Head of Growth</w:t>
            </w:r>
          </w:p>
        </w:tc>
        <w:tc>
          <w:tcPr>
            <w:tcW w:type="dxa" w:w="274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CMO or VP of Marketing; a retention person influences the decision</w:t>
            </w:r>
          </w:p>
        </w:tc>
      </w:tr>
      <w:tr>
        <w:trPr>
          <w:cantSplit/>
        </w:trPr>
        <w:tc>
          <w:tcPr>
            <w:tcW w:type="dxa" w:w="211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 they are currently doing instead</w:t>
            </w:r>
          </w:p>
        </w:tc>
        <w:tc>
          <w:tcPr>
            <w:tcW w:type="dxa" w:w="274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freelancer, or the founder doing it themselves</w:t>
            </w:r>
          </w:p>
        </w:tc>
        <w:tc>
          <w:tcPr>
            <w:tcW w:type="dxa" w:w="246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to hire their first email specialist</w:t>
            </w:r>
          </w:p>
        </w:tc>
        <w:tc>
          <w:tcPr>
            <w:tcW w:type="dxa" w:w="274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Has an in-house team but also uses an agency</w:t>
            </w:r>
          </w:p>
        </w:tc>
      </w:tr>
      <w:tr>
        <w:trPr>
          <w:cantSplit/>
        </w:trPr>
        <w:tc>
          <w:tcPr>
            <w:tcW w:type="dxa" w:w="211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How we pitch it</w:t>
            </w:r>
          </w:p>
        </w:tc>
        <w:tc>
          <w:tcPr>
            <w:tcW w:type="dxa" w:w="274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full retention team for less than one hire"</w:t>
            </w:r>
          </w:p>
        </w:tc>
        <w:tc>
          <w:tcPr>
            <w:tcW w:type="dxa" w:w="246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"Stop hiring for skills you need part-time"</w:t>
            </w:r>
          </w:p>
        </w:tc>
        <w:tc>
          <w:tcPr>
            <w:tcW w:type="dxa" w:w="274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"Strategy, delivery, and testing your team doesn't have time for"</w:t>
            </w:r>
          </w:p>
        </w:tc>
      </w:tr>
    </w:tbl>
    <w:p>
      <w:pPr>
        <w:spacing w:after="120" w:before="0"/>
      </w:pPr>
    </w:p>
    <w:p>
      <w:r>
        <w:rPr>
          <w:rFonts w:ascii="Arial" w:cs="Arial" w:eastAsia="Arial" w:hAnsi="Arial"/>
          <w:b/>
          <w:bCs/>
          <w:sz w:val="20"/>
          <w:szCs w:val="20"/>
        </w:rPr>
        <w:t xml:space="preserve">Below $3M:</w:t>
      </w:r>
      <w:r>
        <w:rPr>
          <w:rFonts w:ascii="Arial" w:cs="Arial" w:eastAsia="Arial" w:hAnsi="Arial"/>
          <w:sz w:val="20"/>
          <w:szCs w:val="20"/>
        </w:rPr>
        <w:t xml:space="preserve"> Lhotse would take 12–22% of a $1.5M brand's email revenue. That's too much. Sell Ascent and revisit later.</w:t>
      </w:r>
    </w:p>
    <w:p>
      <w:r>
        <w:rPr>
          <w:rFonts w:ascii="Arial" w:cs="Arial" w:eastAsia="Arial" w:hAnsi="Arial"/>
          <w:b/>
          <w:bCs/>
          <w:sz w:val="20"/>
          <w:szCs w:val="20"/>
        </w:rPr>
        <w:t xml:space="preserve">Above $20M:</w:t>
      </w:r>
      <w:r>
        <w:rPr>
          <w:rFonts w:ascii="Arial" w:cs="Arial" w:eastAsia="Arial" w:hAnsi="Arial"/>
          <w:sz w:val="20"/>
          <w:szCs w:val="20"/>
        </w:rPr>
        <w:t xml:space="preserve"> These brands usually have in-house retention teams. Ascent is the right entry point.</w:t>
      </w:r>
    </w:p>
    <w:p>
      <w:r>
        <w:rPr>
          <w:rFonts w:ascii="Arial" w:cs="Arial" w:eastAsia="Arial" w:hAnsi="Arial"/>
          <w:b/>
          <w:bCs/>
          <w:sz w:val="20"/>
          <w:szCs w:val="20"/>
        </w:rPr>
        <w:t xml:space="preserve">Revenue floors by product type</w:t>
      </w:r>
      <w:r>
        <w:rPr>
          <w:rFonts w:ascii="Arial" w:cs="Arial" w:eastAsia="Arial" w:hAnsi="Arial"/>
          <w:sz w:val="20"/>
          <w:szCs w:val="20"/>
        </w:rPr>
        <w:t xml:space="preserve"> (from the profit data in Section 7):</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53"/>
        <w:gridCol w:w="2898"/>
        <w:gridCol w:w="4829"/>
      </w:tblGrid>
      <w:tr>
        <w:trPr>
          <w:cantSplit/>
          <w:tblHeader/>
        </w:trPr>
        <w:tc>
          <w:tcPr>
            <w:tcW w:type="dxa" w:w="235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289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Minimum revenue for Lhotse</w:t>
            </w:r>
          </w:p>
        </w:tc>
        <w:tc>
          <w:tcPr>
            <w:tcW w:type="dxa" w:w="482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Reason</w:t>
            </w:r>
          </w:p>
        </w:tc>
      </w:tr>
      <w:tr>
        <w:trPr>
          <w:cantSplit/>
        </w:trPr>
        <w:tc>
          <w:tcPr>
            <w:tcW w:type="dxa" w:w="23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 and skincare</w:t>
            </w:r>
          </w:p>
        </w:tc>
        <w:tc>
          <w:tcPr>
            <w:tcW w:type="dxa" w:w="28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$3M</w:t>
            </w:r>
          </w:p>
        </w:tc>
        <w:tc>
          <w:tcPr>
            <w:tcW w:type="dxa" w:w="4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$39 profit per repeat order</w:t>
            </w:r>
          </w:p>
        </w:tc>
      </w:tr>
      <w:tr>
        <w:trPr>
          <w:cantSplit/>
        </w:trPr>
        <w:tc>
          <w:tcPr>
            <w:tcW w:type="dxa" w:w="23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Health supplements</w:t>
            </w:r>
          </w:p>
        </w:tc>
        <w:tc>
          <w:tcPr>
            <w:tcW w:type="dxa" w:w="28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$3M</w:t>
            </w:r>
          </w:p>
        </w:tc>
        <w:tc>
          <w:tcPr>
            <w:tcW w:type="dxa" w:w="48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 margins and a 30-day reorder cycle</w:t>
            </w:r>
          </w:p>
        </w:tc>
      </w:tr>
      <w:tr>
        <w:trPr>
          <w:cantSplit/>
        </w:trPr>
        <w:tc>
          <w:tcPr>
            <w:tcW w:type="dxa" w:w="23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Pet supplies</w:t>
            </w:r>
          </w:p>
        </w:tc>
        <w:tc>
          <w:tcPr>
            <w:tcW w:type="dxa" w:w="28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$4M</w:t>
            </w:r>
          </w:p>
        </w:tc>
        <w:tc>
          <w:tcPr>
            <w:tcW w:type="dxa" w:w="4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about $22 profit per repeat order</w:t>
            </w:r>
          </w:p>
        </w:tc>
      </w:tr>
      <w:tr>
        <w:trPr>
          <w:cantSplit/>
        </w:trPr>
        <w:tc>
          <w:tcPr>
            <w:tcW w:type="dxa" w:w="23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c>
          <w:tcPr>
            <w:tcW w:type="dxa" w:w="28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$5M</w:t>
            </w:r>
          </w:p>
        </w:tc>
        <w:tc>
          <w:tcPr>
            <w:tcW w:type="dxa" w:w="48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about $17 profit per repeat order</w:t>
            </w:r>
          </w:p>
        </w:tc>
      </w:tr>
    </w:tbl>
    <w:p>
      <w:pPr>
        <w:spacing w:after="120" w:before="0"/>
      </w:pPr>
    </w:p>
    <w:p>
      <w:r>
        <w:rPr>
          <w:rFonts w:ascii="Arial" w:cs="Arial" w:eastAsia="Arial" w:hAnsi="Arial"/>
          <w:sz w:val="20"/>
          <w:szCs w:val="20"/>
        </w:rPr>
        <w:t xml:space="preserve">A food or pet brand with unusually large orders (above about $90 average) or a strong subscription base can qualify at $3M.</w:t>
      </w:r>
    </w:p>
    <w:p>
      <w:pPr>
        <w:pStyle w:val="Heading2"/>
        <w:keepNext/>
      </w:pPr>
      <w:r>
        <w:rPr>
          <w:rFonts w:ascii="Arial" w:cs="Arial" w:eastAsia="Arial" w:hAnsi="Arial"/>
        </w:rPr>
        <w:t xml:space="preserve">4.4 Why these four product types</w:t>
      </w:r>
    </w:p>
    <w:p>
      <w:r>
        <w:rPr>
          <w:rFonts w:ascii="Arial" w:cs="Arial" w:eastAsia="Arial" w:hAnsi="Arial"/>
          <w:sz w:val="20"/>
          <w:szCs w:val="20"/>
        </w:rPr>
        <w:t xml:space="preserve">US Klaviyo users are more concentrated in these categories than the average Shopify store:</w:t>
      </w:r>
    </w:p>
    <w:p>
      <w:pPr>
        <w:pStyle w:val="ListParagraph"/>
        <w:numPr>
          <w:ilvl w:val="0"/>
          <w:numId w:val="2"/>
        </w:numPr>
        <w:spacing w:after="60"/>
      </w:pPr>
      <w:r>
        <w:rPr>
          <w:rFonts w:ascii="Arial" w:cs="Arial" w:eastAsia="Arial" w:hAnsi="Arial"/>
          <w:sz w:val="20"/>
          <w:szCs w:val="20"/>
        </w:rPr>
        <w:t xml:space="preserve">Beauty and fitness: 12.8% of Klaviyo stores vs 10.9% of all Shopify stores</w:t>
      </w:r>
    </w:p>
    <w:p>
      <w:pPr>
        <w:pStyle w:val="ListParagraph"/>
        <w:numPr>
          <w:ilvl w:val="0"/>
          <w:numId w:val="2"/>
        </w:numPr>
        <w:spacing w:after="60"/>
      </w:pPr>
      <w:r>
        <w:rPr>
          <w:rFonts w:ascii="Arial" w:cs="Arial" w:eastAsia="Arial" w:hAnsi="Arial"/>
          <w:sz w:val="20"/>
          <w:szCs w:val="20"/>
        </w:rPr>
        <w:t xml:space="preserve">Food and drink: 8.8% vs 7.1%</w:t>
      </w:r>
    </w:p>
    <w:p>
      <w:pPr>
        <w:pStyle w:val="ListParagraph"/>
        <w:numPr>
          <w:ilvl w:val="0"/>
          <w:numId w:val="2"/>
        </w:numPr>
        <w:spacing w:after="60"/>
      </w:pPr>
      <w:r>
        <w:rPr>
          <w:rFonts w:ascii="Arial" w:cs="Arial" w:eastAsia="Arial" w:hAnsi="Arial"/>
          <w:sz w:val="20"/>
          <w:szCs w:val="20"/>
        </w:rPr>
        <w:t xml:space="preserve">Health: 7.3% vs 4.4%</w:t>
      </w:r>
    </w:p>
    <w:p>
      <w:pPr>
        <w:spacing w:after="60" w:before="0"/>
      </w:pPr>
    </w:p>
    <w:p>
      <w:r>
        <w:rPr>
          <w:rFonts w:ascii="Arial" w:cs="Arial" w:eastAsia="Arial" w:hAnsi="Arial"/>
          <w:sz w:val="20"/>
          <w:szCs w:val="20"/>
        </w:rPr>
        <w:t xml:space="preserve">The key is that customers </w:t>
      </w:r>
      <w:r>
        <w:rPr>
          <w:rFonts w:ascii="Arial" w:cs="Arial" w:eastAsia="Arial" w:hAnsi="Arial"/>
          <w:b/>
          <w:bCs/>
          <w:sz w:val="20"/>
          <w:szCs w:val="20"/>
        </w:rPr>
        <w:t xml:space="preserve">run out of the product and buy again</w:t>
      </w:r>
      <w:r>
        <w:rPr>
          <w:rFonts w:ascii="Arial" w:cs="Arial" w:eastAsia="Arial" w:hAnsi="Arial"/>
          <w:sz w:val="20"/>
          <w:szCs w:val="20"/>
        </w:rPr>
        <w:t xml:space="preserve">, this is what makes email so valuable.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7"/>
        <w:gridCol w:w="1865"/>
        <w:gridCol w:w="3429"/>
        <w:gridCol w:w="3429"/>
      </w:tblGrid>
      <w:tr>
        <w:trPr>
          <w:cantSplit/>
          <w:tblHeader/>
        </w:trPr>
        <w:tc>
          <w:tcPr>
            <w:tcW w:type="dxa" w:w="135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186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Typical time between reorders</w:t>
            </w:r>
          </w:p>
        </w:tc>
        <w:tc>
          <w:tcPr>
            <w:tcW w:type="dxa" w:w="342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Best automated email sequences</w:t>
            </w:r>
          </w:p>
        </w:tc>
        <w:tc>
          <w:tcPr>
            <w:tcW w:type="dxa" w:w="342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Watch out for</w:t>
            </w:r>
          </w:p>
        </w:tc>
      </w:tr>
      <w:tr>
        <w:trPr>
          <w:cantSplit/>
        </w:trPr>
        <w:tc>
          <w:tcPr>
            <w:tcW w:type="dxa" w:w="135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Beauty and skincare</w:t>
            </w:r>
          </w:p>
        </w:tc>
        <w:tc>
          <w:tcPr>
            <w:tcW w:type="dxa" w:w="18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30–75 days</w:t>
            </w:r>
          </w:p>
        </w:tc>
        <w:tc>
          <w:tcPr>
            <w:tcW w:type="dxa" w:w="34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Quiz-based welcome, reorder reminder, reviews, VIP program</w:t>
            </w:r>
          </w:p>
        </w:tc>
        <w:tc>
          <w:tcPr>
            <w:tcW w:type="dxa" w:w="34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Returns because of shade match; heavy discounting culture</w:t>
            </w:r>
          </w:p>
        </w:tc>
      </w:tr>
      <w:tr>
        <w:trPr>
          <w:cantSplit/>
        </w:trPr>
        <w:tc>
          <w:tcPr>
            <w:tcW w:type="dxa" w:w="135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Health supplements</w:t>
            </w:r>
          </w:p>
        </w:tc>
        <w:tc>
          <w:tcPr>
            <w:tcW w:type="dxa" w:w="18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 days</w:t>
            </w:r>
          </w:p>
        </w:tc>
        <w:tc>
          <w:tcPr>
            <w:tcW w:type="dxa" w:w="34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Reorder reminder, subscription cancellation save, education series</w:t>
            </w:r>
          </w:p>
        </w:tc>
        <w:tc>
          <w:tcPr>
            <w:tcW w:type="dxa" w:w="34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Health claim regulations (FTC in US, ASA in UK, TGA in Australia)</w:t>
            </w:r>
          </w:p>
        </w:tc>
      </w:tr>
      <w:tr>
        <w:trPr>
          <w:cantSplit/>
        </w:trPr>
        <w:tc>
          <w:tcPr>
            <w:tcW w:type="dxa" w:w="135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Food and drink</w:t>
            </w:r>
          </w:p>
        </w:tc>
        <w:tc>
          <w:tcPr>
            <w:tcW w:type="dxa" w:w="18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14–45 days</w:t>
            </w:r>
          </w:p>
        </w:tc>
        <w:tc>
          <w:tcPr>
            <w:tcW w:type="dxa" w:w="34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Back-in-stock, reorder, seasonal</w:t>
            </w:r>
          </w:p>
        </w:tc>
        <w:tc>
          <w:tcPr>
            <w:tcW w:type="dxa" w:w="34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Low profit margins; products expire; expensive to ship</w:t>
            </w:r>
          </w:p>
        </w:tc>
      </w:tr>
      <w:tr>
        <w:trPr>
          <w:cantSplit/>
        </w:trPr>
        <w:tc>
          <w:tcPr>
            <w:tcW w:type="dxa" w:w="135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Pet supplies</w:t>
            </w:r>
          </w:p>
        </w:tc>
        <w:tc>
          <w:tcPr>
            <w:tcW w:type="dxa" w:w="18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30–45 days</w:t>
            </w:r>
          </w:p>
        </w:tc>
        <w:tc>
          <w:tcPr>
            <w:tcW w:type="dxa" w:w="34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Reorder, pet birthday, win-back</w:t>
            </w:r>
          </w:p>
        </w:tc>
        <w:tc>
          <w:tcPr>
            <w:tcW w:type="dxa" w:w="34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Competing with Chewy and Amazon Subscribe &amp; Save</w:t>
            </w:r>
          </w:p>
        </w:tc>
      </w:tr>
    </w:tbl>
    <w:p>
      <w:pPr>
        <w:spacing w:after="120" w:before="0"/>
      </w:pPr>
    </w:p>
    <w:p>
      <w:pPr>
        <w:spacing w:after="160" w:before="0"/>
      </w:pPr>
      <w:r>
        <w:rPr>
          <w:rFonts w:ascii="Arial" w:cs="Arial" w:eastAsia="Arial" w:hAnsi="Arial"/>
          <w:i/>
          <w:iCs/>
          <w:color w:val="5B6573"/>
          <w:sz w:val="16"/>
          <w:szCs w:val="16"/>
        </w:rPr>
        <w:t xml:space="preserve">Reorder timing is a planning estimate. Always replace with the brand's own average days between orders.</w:t>
      </w:r>
    </w:p>
    <w:p>
      <w:r>
        <w:rPr>
          <w:rFonts w:ascii="Arial" w:cs="Arial" w:eastAsia="Arial" w:hAnsi="Arial"/>
          <w:sz w:val="20"/>
          <w:szCs w:val="20"/>
        </w:rPr>
        <w:t xml:space="preserve">Clothing is the largest category on Shopify (29.1% of US stores) and is a secondary target. It qualifies when repeat buying is visible, basics, uniforms, or restockable essentials.</w:t>
      </w:r>
    </w:p>
    <w:p>
      <w:pPr>
        <w:pStyle w:val="Heading2"/>
        <w:keepNext/>
      </w:pPr>
      <w:r>
        <w:rPr>
          <w:rFonts w:ascii="Arial" w:cs="Arial" w:eastAsia="Arial" w:hAnsi="Arial"/>
        </w:rPr>
        <w:t xml:space="preserve">4.5 Who to skip</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10"/>
        <w:gridCol w:w="3810"/>
        <w:gridCol w:w="2460"/>
      </w:tblGrid>
      <w:tr>
        <w:trPr>
          <w:cantSplit/>
          <w:tblHeader/>
        </w:trPr>
        <w:tc>
          <w:tcPr>
            <w:tcW w:type="dxa" w:w="381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Why we skip them</w:t>
            </w:r>
          </w:p>
        </w:tc>
        <w:tc>
          <w:tcPr>
            <w:tcW w:type="dxa" w:w="381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to spot them</w:t>
            </w:r>
          </w:p>
        </w:tc>
        <w:tc>
          <w:tcPr>
            <w:tcW w:type="dxa" w:w="246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to do</w:t>
            </w:r>
          </w:p>
        </w:tc>
      </w:tr>
      <w:tr>
        <w:trPr>
          <w:cantSplit/>
        </w:trPr>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Marketplace-only or mainly Amazon</w:t>
            </w:r>
          </w:p>
        </w:tc>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real checkout on their own site; "Buy on Amazon" is the main button</w:t>
            </w:r>
          </w:p>
        </w:tc>
        <w:tc>
          <w:tcPr>
            <w:tcW w:type="dxa" w:w="24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Skip</w:t>
            </w:r>
          </w:p>
        </w:tc>
      </w:tr>
      <w:tr>
        <w:trPr>
          <w:cantSplit/>
        </w:trPr>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Dropshipper</w:t>
            </w:r>
          </w:p>
        </w:tc>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DSers, Zendrop, AutoDS, or CJdropshipping apps; 2–4 week shipping; generic products</w:t>
            </w:r>
          </w:p>
        </w:tc>
        <w:tc>
          <w:tcPr>
            <w:tcW w:type="dxa" w:w="24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Skip</w:t>
            </w:r>
          </w:p>
        </w:tc>
      </w:tr>
      <w:tr>
        <w:trPr>
          <w:cantSplit/>
        </w:trPr>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Print-on-demand or creator merch</w:t>
            </w:r>
          </w:p>
        </w:tc>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Printful, Printify, Fourthwall, or Spring</w:t>
            </w:r>
          </w:p>
        </w:tc>
        <w:tc>
          <w:tcPr>
            <w:tcW w:type="dxa" w:w="24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Skip</w:t>
            </w:r>
          </w:p>
        </w:tc>
      </w:tr>
      <w:tr>
        <w:trPr>
          <w:cantSplit/>
        </w:trPr>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Does not own the customer relationship</w:t>
            </w:r>
          </w:p>
        </w:tc>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Resellers, affiliates, or white-label stores</w:t>
            </w:r>
          </w:p>
        </w:tc>
        <w:tc>
          <w:tcPr>
            <w:tcW w:type="dxa" w:w="24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Skip</w:t>
            </w:r>
          </w:p>
        </w:tc>
      </w:tr>
      <w:tr>
        <w:trPr>
          <w:cantSplit/>
        </w:trPr>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email tool, or basic Mailchimp with no automation</w:t>
            </w:r>
          </w:p>
        </w:tc>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welcome email after signup</w:t>
            </w:r>
          </w:p>
        </w:tc>
        <w:tc>
          <w:tcPr>
            <w:tcW w:type="dxa" w:w="24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Nurture</w:t>
            </w:r>
          </w:p>
        </w:tc>
      </w:tr>
      <w:tr>
        <w:trPr>
          <w:cantSplit/>
        </w:trPr>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Registered-agent address</w:t>
            </w:r>
          </w:p>
        </w:tc>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Address matches a known business agent, founder actually based abroad</w:t>
            </w:r>
          </w:p>
        </w:tc>
        <w:tc>
          <w:tcPr>
            <w:tcW w:type="dxa" w:w="24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Verify, then re-tag or skip</w:t>
            </w:r>
          </w:p>
        </w:tc>
      </w:tr>
      <w:tr>
        <w:trPr>
          <w:cantSplit/>
        </w:trPr>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Too small</w:t>
            </w:r>
          </w:p>
        </w:tc>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Estimated sales under $83k/month, or under the product-type floor</w:t>
            </w:r>
          </w:p>
        </w:tc>
        <w:tc>
          <w:tcPr>
            <w:tcW w:type="dxa" w:w="24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Nurture; rescore in 3 months</w:t>
            </w:r>
          </w:p>
        </w:tc>
      </w:tr>
      <w:tr>
        <w:trPr>
          <w:cantSplit/>
        </w:trPr>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$50M+ with their own in-house team</w:t>
            </w:r>
          </w:p>
        </w:tc>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CRM job postings; large marketing team</w:t>
            </w:r>
          </w:p>
        </w:tc>
        <w:tc>
          <w:tcPr>
            <w:tcW w:type="dxa" w:w="24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repair only</w:t>
            </w:r>
          </w:p>
        </w:tc>
      </w:tr>
      <w:tr>
        <w:trPr>
          <w:cantSplit/>
        </w:trPr>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 or UK brand with only a personal Gmail address</w:t>
            </w:r>
          </w:p>
        </w:tc>
        <w:tc>
          <w:tcPr>
            <w:tcW w:type="dxa" w:w="3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Contact data shows a Gmail</w:t>
            </w:r>
          </w:p>
        </w:tc>
        <w:tc>
          <w:tcPr>
            <w:tcW w:type="dxa" w:w="24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Do not cold email</w:t>
            </w:r>
          </w:p>
        </w:tc>
      </w:tr>
      <w:tr>
        <w:trPr>
          <w:cantSplit/>
        </w:trPr>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Hired an email agency in the last 6 months</w:t>
            </w:r>
          </w:p>
        </w:tc>
        <w:tc>
          <w:tcPr>
            <w:tcW w:type="dxa" w:w="3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Agency credited in emails or posts</w:t>
            </w:r>
          </w:p>
        </w:tc>
        <w:tc>
          <w:tcPr>
            <w:tcW w:type="dxa" w:w="24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Nurture; revisit in 9–12 months</w:t>
            </w:r>
          </w:p>
        </w:tc>
      </w:tr>
    </w:tbl>
    <w:p>
      <w:pPr>
        <w:spacing w:after="120" w:before="0"/>
      </w:pPr>
    </w:p>
    <w:p>
      <w:pPr>
        <w:pStyle w:val="Heading2"/>
        <w:keepNext/>
      </w:pPr>
      <w:r>
        <w:rPr>
          <w:rFonts w:ascii="Arial" w:cs="Arial" w:eastAsia="Arial" w:hAnsi="Arial"/>
        </w:rPr>
        <w:t xml:space="preserve">4.6 What our perfect Lhotse client looks like</w:t>
      </w:r>
    </w:p>
    <w:p>
      <w:r>
        <w:rPr>
          <w:rFonts w:ascii="Arial" w:cs="Arial" w:eastAsia="Arial" w:hAnsi="Arial"/>
          <w:i/>
          <w:iCs/>
          <w:sz w:val="20"/>
          <w:szCs w:val="20"/>
        </w:rPr>
        <w:t xml:space="preserve">This is an example, not a real brand.</w:t>
      </w:r>
      <w:r>
        <w:rPr>
          <w:rFonts w:ascii="Arial" w:cs="Arial" w:eastAsia="Arial" w:hAnsi="Arial"/>
          <w:sz w:val="20"/>
          <w:szCs w:val="20"/>
        </w:rPr>
        <w:t xml:space="preserve"> A $7M health supplement brand based in Austin, Texas, on Shopify Plus. 85% of revenue comes from their own website. They have 18 staff and a three-person marketing team led by a Head of Growth. They use Klaviyo, Postscript, ReCharge, Triple Whale, and Gorgias.</w:t>
      </w:r>
    </w:p>
    <w:p>
      <w:r>
        <w:rPr>
          <w:rFonts w:ascii="Arial" w:cs="Arial" w:eastAsia="Arial" w:hAnsi="Arial"/>
          <w:sz w:val="20"/>
          <w:szCs w:val="20"/>
        </w:rPr>
        <w:t xml:space="preserve">Their email list has 95,000 people in it, but only about 35,000 have clicked or bought something in the last six months. Their welcome email sequence is only two emails long. They have no reorder reminder email, even though 60% of their revenue comes from 30-day products. Email drives 14% of their website revenue.</w:t>
      </w:r>
    </w:p>
    <w:p>
      <w:r>
        <w:rPr>
          <w:rFonts w:ascii="Arial" w:cs="Arial" w:eastAsia="Arial" w:hAnsi="Arial"/>
          <w:b/>
          <w:bCs/>
          <w:sz w:val="20"/>
          <w:szCs w:val="20"/>
        </w:rPr>
        <w:t xml:space="preserve">This brand scores about 85 on the Lhotse Fit Score and 35 on the Ascent Urgency Score, which means we lead with Lhotse.</w:t>
      </w:r>
      <w:r>
        <w:rPr>
          <w:rFonts w:ascii="Arial" w:cs="Arial" w:eastAsia="Arial" w:hAnsi="Arial"/>
          <w:sz w:val="20"/>
          <w:szCs w:val="20"/>
        </w:rPr>
        <w:t xml:space="preserve"> In the first three months, we would: build reorder and post-purchase email sequences; move campaigns to engaged-only segments; remove about 40,000 inactive people from the list (cutting their Klaviyo bill); and set up a holdout test so the Head of Growth can show the founder real, proven numbers, not just platform estimates.</w:t>
      </w:r>
    </w:p>
    <w:p>
      <w:pPr>
        <w:pStyle w:val="Heading1"/>
        <w:keepNext/>
      </w:pPr>
      <w:r>
        <w:rPr>
          <w:rFonts w:ascii="Arial" w:cs="Arial" w:eastAsia="Arial" w:hAnsi="Arial"/>
        </w:rPr>
        <w:t xml:space="preserve">5. How Many Potential Clients Exist and Where They Are</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The usable pool of potential clients, anchored on Shopify Plus brands, is roughly </w:t>
      </w:r>
      <w:r>
        <w:rPr>
          <w:rFonts w:ascii="Arial" w:cs="Arial" w:eastAsia="Arial" w:hAnsi="Arial"/>
          <w:b/>
          <w:bCs/>
          <w:sz w:val="20"/>
          <w:szCs w:val="20"/>
        </w:rPr>
        <w:t xml:space="preserve">4,500 brands across six countries</w:t>
      </w:r>
      <w:r>
        <w:rPr>
          <w:rFonts w:ascii="Arial" w:cs="Arial" w:eastAsia="Arial" w:hAnsi="Arial"/>
          <w:sz w:val="20"/>
          <w:szCs w:val="20"/>
        </w:rPr>
        <w:t xml:space="preserve">, about two-thirds of them in the US. At our midpoint monthly fee, that pool is worth about $230M per year in possible revenue. GrowMailers only needs to win well under 1% of it. The limit is not the size of the market, it's our own delivery capacity. Also: some cities show thousands of Shopify stores because overseas founders register their businesses there, those are not real local brands and must be filtered out.</w:t>
      </w:r>
    </w:p>
    <w:p>
      <w:pPr>
        <w:pStyle w:val="Heading2"/>
        <w:keepNext/>
      </w:pPr>
      <w:r>
        <w:rPr>
          <w:rFonts w:ascii="Arial" w:cs="Arial" w:eastAsia="Arial" w:hAnsi="Arial"/>
        </w:rPr>
        <w:t xml:space="preserve">5.1 How many Shopify stores are there?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8"/>
        <w:gridCol w:w="1687"/>
        <w:gridCol w:w="1781"/>
        <w:gridCol w:w="1874"/>
        <w:gridCol w:w="3280"/>
      </w:tblGrid>
      <w:tr>
        <w:trPr>
          <w:cantSplit/>
          <w:tblHeader/>
        </w:trPr>
        <w:tc>
          <w:tcPr>
            <w:tcW w:type="dxa" w:w="145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Country</w:t>
            </w:r>
          </w:p>
        </w:tc>
        <w:tc>
          <w:tcPr>
            <w:tcW w:type="dxa" w:w="168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All Shopify stores</w:t>
            </w:r>
          </w:p>
        </w:tc>
        <w:tc>
          <w:tcPr>
            <w:tcW w:type="dxa" w:w="178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Shopify Plus stores</w:t>
            </w:r>
          </w:p>
        </w:tc>
        <w:tc>
          <w:tcPr>
            <w:tcW w:type="dxa" w:w="187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Stores using Klaviyo</w:t>
            </w:r>
          </w:p>
        </w:tc>
        <w:tc>
          <w:tcPr>
            <w:tcW w:type="dxa" w:w="328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Online shopping share of all retail</w:t>
            </w:r>
          </w:p>
        </w:tc>
      </w:tr>
      <w:tr>
        <w:trPr>
          <w:cantSplit/>
        </w:trPr>
        <w:tc>
          <w:tcPr>
            <w:tcW w:type="dxa" w:w="14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States</w:t>
            </w:r>
          </w:p>
        </w:tc>
        <w:tc>
          <w:tcPr>
            <w:tcW w:type="dxa" w:w="168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1,179,951</w:t>
            </w:r>
          </w:p>
        </w:tc>
        <w:tc>
          <w:tcPr>
            <w:tcW w:type="dxa" w:w="17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28,965</w:t>
            </w:r>
          </w:p>
        </w:tc>
        <w:tc>
          <w:tcPr>
            <w:tcW w:type="dxa" w:w="18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203,080</w:t>
            </w:r>
          </w:p>
        </w:tc>
        <w:tc>
          <w:tcPr>
            <w:tcW w:type="dxa" w:w="32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16.4%</w:t>
            </w:r>
          </w:p>
        </w:tc>
      </w:tr>
      <w:tr>
        <w:trPr>
          <w:cantSplit/>
        </w:trPr>
        <w:tc>
          <w:tcPr>
            <w:tcW w:type="dxa" w:w="14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Kingdom</w:t>
            </w:r>
          </w:p>
        </w:tc>
        <w:tc>
          <w:tcPr>
            <w:tcW w:type="dxa" w:w="168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231,312</w:t>
            </w:r>
          </w:p>
        </w:tc>
        <w:tc>
          <w:tcPr>
            <w:tcW w:type="dxa" w:w="17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6,311</w:t>
            </w:r>
          </w:p>
        </w:tc>
        <w:tc>
          <w:tcPr>
            <w:tcW w:type="dxa" w:w="187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43,546</w:t>
            </w:r>
          </w:p>
        </w:tc>
        <w:tc>
          <w:tcPr>
            <w:tcW w:type="dxa" w:w="32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27.5%</w:t>
            </w:r>
          </w:p>
        </w:tc>
      </w:tr>
      <w:tr>
        <w:trPr>
          <w:cantSplit/>
        </w:trPr>
        <w:tc>
          <w:tcPr>
            <w:tcW w:type="dxa" w:w="14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w:t>
            </w:r>
          </w:p>
        </w:tc>
        <w:tc>
          <w:tcPr>
            <w:tcW w:type="dxa" w:w="168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147,721</w:t>
            </w:r>
          </w:p>
        </w:tc>
        <w:tc>
          <w:tcPr>
            <w:tcW w:type="dxa" w:w="17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3,812</w:t>
            </w:r>
          </w:p>
        </w:tc>
        <w:tc>
          <w:tcPr>
            <w:tcW w:type="dxa" w:w="18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22,584</w:t>
            </w:r>
          </w:p>
        </w:tc>
        <w:tc>
          <w:tcPr>
            <w:tcW w:type="dxa" w:w="32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7.5%</w:t>
            </w:r>
          </w:p>
        </w:tc>
      </w:tr>
      <w:tr>
        <w:trPr>
          <w:cantSplit/>
        </w:trPr>
        <w:tc>
          <w:tcPr>
            <w:tcW w:type="dxa" w:w="14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w:t>
            </w:r>
          </w:p>
        </w:tc>
        <w:tc>
          <w:tcPr>
            <w:tcW w:type="dxa" w:w="168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138,276</w:t>
            </w:r>
          </w:p>
        </w:tc>
        <w:tc>
          <w:tcPr>
            <w:tcW w:type="dxa" w:w="17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3,725</w:t>
            </w:r>
          </w:p>
        </w:tc>
        <w:tc>
          <w:tcPr>
            <w:tcW w:type="dxa" w:w="187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35,621</w:t>
            </w:r>
          </w:p>
        </w:tc>
        <w:tc>
          <w:tcPr>
            <w:tcW w:type="dxa" w:w="32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w:t>
            </w:r>
          </w:p>
        </w:tc>
      </w:tr>
      <w:tr>
        <w:trPr>
          <w:cantSplit/>
        </w:trPr>
        <w:tc>
          <w:tcPr>
            <w:tcW w:type="dxa" w:w="14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Zealand</w:t>
            </w:r>
          </w:p>
        </w:tc>
        <w:tc>
          <w:tcPr>
            <w:tcW w:type="dxa" w:w="168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26,522</w:t>
            </w:r>
          </w:p>
        </w:tc>
        <w:tc>
          <w:tcPr>
            <w:tcW w:type="dxa" w:w="17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581</w:t>
            </w:r>
          </w:p>
        </w:tc>
        <w:tc>
          <w:tcPr>
            <w:tcW w:type="dxa" w:w="18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5,322</w:t>
            </w:r>
          </w:p>
        </w:tc>
        <w:tc>
          <w:tcPr>
            <w:tcW w:type="dxa" w:w="32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Not available</w:t>
            </w:r>
          </w:p>
        </w:tc>
      </w:tr>
      <w:tr>
        <w:trPr>
          <w:cantSplit/>
        </w:trPr>
        <w:tc>
          <w:tcPr>
            <w:tcW w:type="dxa" w:w="14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Ireland</w:t>
            </w:r>
          </w:p>
        </w:tc>
        <w:tc>
          <w:tcPr>
            <w:tcW w:type="dxa" w:w="168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12,873</w:t>
            </w:r>
          </w:p>
        </w:tc>
        <w:tc>
          <w:tcPr>
            <w:tcW w:type="dxa" w:w="17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502</w:t>
            </w:r>
          </w:p>
        </w:tc>
        <w:tc>
          <w:tcPr>
            <w:tcW w:type="dxa" w:w="187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2,786</w:t>
            </w:r>
          </w:p>
        </w:tc>
        <w:tc>
          <w:tcPr>
            <w:tcW w:type="dxa" w:w="32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5.7%</w:t>
            </w:r>
          </w:p>
        </w:tc>
      </w:tr>
      <w:tr>
        <w:trPr>
          <w:cantSplit/>
        </w:trPr>
        <w:tc>
          <w:tcPr>
            <w:tcW w:type="dxa" w:w="14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Total</w:t>
            </w:r>
          </w:p>
        </w:tc>
        <w:tc>
          <w:tcPr>
            <w:tcW w:type="dxa" w:w="168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1,736,655</w:t>
            </w:r>
          </w:p>
        </w:tc>
        <w:tc>
          <w:tcPr>
            <w:tcW w:type="dxa" w:w="17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43,896</w:t>
            </w:r>
          </w:p>
        </w:tc>
        <w:tc>
          <w:tcPr>
            <w:tcW w:type="dxa" w:w="18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312,939</w:t>
            </w:r>
          </w:p>
        </w:tc>
        <w:tc>
          <w:tcPr>
            <w:tcW w:type="dxa" w:w="32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p>
        </w:tc>
      </w:tr>
    </w:tbl>
    <w:p>
      <w:pPr>
        <w:spacing w:after="120" w:before="0"/>
      </w:pPr>
    </w:p>
    <w:p>
      <w:pPr>
        <w:spacing w:after="160" w:before="0"/>
      </w:pPr>
      <w:r>
        <w:rPr>
          <w:rFonts w:ascii="Arial" w:cs="Arial" w:eastAsia="Arial" w:hAnsi="Arial"/>
          <w:i/>
          <w:iCs/>
          <w:color w:val="5B6573"/>
          <w:sz w:val="16"/>
          <w:szCs w:val="16"/>
        </w:rPr>
        <w:t xml:space="preserve">Store Leads data, 18 September 2026.</w:t>
      </w:r>
    </w:p>
    <w:p>
      <w:pPr>
        <w:pStyle w:val="Heading2"/>
        <w:keepNext/>
      </w:pPr>
      <w:r>
        <w:rPr>
          <w:rFonts w:ascii="Arial" w:cs="Arial" w:eastAsia="Arial" w:hAnsi="Arial"/>
        </w:rPr>
        <w:t xml:space="preserve">5.2 Narrowing down to real prospects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7"/>
          <w:szCs w:val="17"/>
        </w:rPr>
        <w:t xml:space="preserve">  Shopify Plus stores across six countries         43,896</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 1.5 (some owners have multiple domains)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Distinct Shopify Plus businesses                 ≈ 29,263</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 60% using Klaviyo (planning estimate)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Plus brands that use Klaviyo                     ≈ 17,558</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 30% in beauty, supplements, food, or pets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Brands in our target product types               ≈ 5,268</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 85% after removing dropshippers, etc.</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7"/>
          <w:szCs w:val="17"/>
        </w:rPr>
        <w:t xml:space="preserve">  REAL PROSPECT POOL                               ≈ 4,478 brands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8"/>
        <w:gridCol w:w="1988"/>
        <w:gridCol w:w="1360"/>
        <w:gridCol w:w="2321"/>
        <w:gridCol w:w="1883"/>
        <w:gridCol w:w="900"/>
      </w:tblGrid>
      <w:tr>
        <w:trPr>
          <w:cantSplit/>
          <w:tblHeader/>
        </w:trPr>
        <w:tc>
          <w:tcPr>
            <w:tcW w:type="dxa" w:w="162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Country</w:t>
            </w:r>
          </w:p>
        </w:tc>
        <w:tc>
          <w:tcPr>
            <w:tcW w:type="dxa" w:w="198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Shopify Plus brands</w:t>
            </w:r>
          </w:p>
        </w:tc>
        <w:tc>
          <w:tcPr>
            <w:tcW w:type="dxa" w:w="136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Using Klaviyo</w:t>
            </w:r>
          </w:p>
        </w:tc>
        <w:tc>
          <w:tcPr>
            <w:tcW w:type="dxa" w:w="232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In target product types</w:t>
            </w:r>
          </w:p>
        </w:tc>
        <w:tc>
          <w:tcPr>
            <w:tcW w:type="dxa" w:w="188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Real prospect pool</w:t>
            </w:r>
          </w:p>
        </w:tc>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Share</w:t>
            </w:r>
          </w:p>
        </w:tc>
      </w:tr>
      <w:tr>
        <w:trPr>
          <w:cantSplit/>
        </w:trPr>
        <w:tc>
          <w:tcPr>
            <w:tcW w:type="dxa" w:w="162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States</w:t>
            </w:r>
          </w:p>
        </w:tc>
        <w:tc>
          <w:tcPr>
            <w:tcW w:type="dxa" w:w="19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19,310</w:t>
            </w:r>
          </w:p>
        </w:tc>
        <w:tc>
          <w:tcPr>
            <w:tcW w:type="dxa" w:w="13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11,586</w:t>
            </w:r>
          </w:p>
        </w:tc>
        <w:tc>
          <w:tcPr>
            <w:tcW w:type="dxa" w:w="232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3,476</w:t>
            </w:r>
          </w:p>
        </w:tc>
        <w:tc>
          <w:tcPr>
            <w:tcW w:type="dxa" w:w="18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2,955</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66%</w:t>
            </w:r>
          </w:p>
        </w:tc>
      </w:tr>
      <w:tr>
        <w:trPr>
          <w:cantSplit/>
        </w:trPr>
        <w:tc>
          <w:tcPr>
            <w:tcW w:type="dxa" w:w="162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Kingdom</w:t>
            </w:r>
          </w:p>
        </w:tc>
        <w:tc>
          <w:tcPr>
            <w:tcW w:type="dxa" w:w="19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4,207</w:t>
            </w:r>
          </w:p>
        </w:tc>
        <w:tc>
          <w:tcPr>
            <w:tcW w:type="dxa" w:w="13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2,524</w:t>
            </w:r>
          </w:p>
        </w:tc>
        <w:tc>
          <w:tcPr>
            <w:tcW w:type="dxa" w:w="232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757</w:t>
            </w:r>
          </w:p>
        </w:tc>
        <w:tc>
          <w:tcPr>
            <w:tcW w:type="dxa" w:w="18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643</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w:t>
            </w:r>
          </w:p>
        </w:tc>
      </w:tr>
      <w:tr>
        <w:trPr>
          <w:cantSplit/>
        </w:trPr>
        <w:tc>
          <w:tcPr>
            <w:tcW w:type="dxa" w:w="162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w:t>
            </w:r>
          </w:p>
        </w:tc>
        <w:tc>
          <w:tcPr>
            <w:tcW w:type="dxa" w:w="19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2,541</w:t>
            </w:r>
          </w:p>
        </w:tc>
        <w:tc>
          <w:tcPr>
            <w:tcW w:type="dxa" w:w="13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1,525</w:t>
            </w:r>
          </w:p>
        </w:tc>
        <w:tc>
          <w:tcPr>
            <w:tcW w:type="dxa" w:w="232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458</w:t>
            </w:r>
          </w:p>
        </w:tc>
        <w:tc>
          <w:tcPr>
            <w:tcW w:type="dxa" w:w="18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389</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w:t>
            </w:r>
          </w:p>
        </w:tc>
      </w:tr>
      <w:tr>
        <w:trPr>
          <w:cantSplit/>
        </w:trPr>
        <w:tc>
          <w:tcPr>
            <w:tcW w:type="dxa" w:w="162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w:t>
            </w:r>
          </w:p>
        </w:tc>
        <w:tc>
          <w:tcPr>
            <w:tcW w:type="dxa" w:w="19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2,483</w:t>
            </w:r>
          </w:p>
        </w:tc>
        <w:tc>
          <w:tcPr>
            <w:tcW w:type="dxa" w:w="13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1,490</w:t>
            </w:r>
          </w:p>
        </w:tc>
        <w:tc>
          <w:tcPr>
            <w:tcW w:type="dxa" w:w="232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447</w:t>
            </w:r>
          </w:p>
        </w:tc>
        <w:tc>
          <w:tcPr>
            <w:tcW w:type="dxa" w:w="18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380</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w:t>
            </w:r>
          </w:p>
        </w:tc>
      </w:tr>
      <w:tr>
        <w:trPr>
          <w:cantSplit/>
        </w:trPr>
        <w:tc>
          <w:tcPr>
            <w:tcW w:type="dxa" w:w="162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Zealand</w:t>
            </w:r>
          </w:p>
        </w:tc>
        <w:tc>
          <w:tcPr>
            <w:tcW w:type="dxa" w:w="19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387</w:t>
            </w:r>
          </w:p>
        </w:tc>
        <w:tc>
          <w:tcPr>
            <w:tcW w:type="dxa" w:w="13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232</w:t>
            </w:r>
          </w:p>
        </w:tc>
        <w:tc>
          <w:tcPr>
            <w:tcW w:type="dxa" w:w="232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70</w:t>
            </w:r>
          </w:p>
        </w:tc>
        <w:tc>
          <w:tcPr>
            <w:tcW w:type="dxa" w:w="18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60</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w:t>
            </w:r>
          </w:p>
        </w:tc>
      </w:tr>
      <w:tr>
        <w:trPr>
          <w:cantSplit/>
        </w:trPr>
        <w:tc>
          <w:tcPr>
            <w:tcW w:type="dxa" w:w="162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Ireland</w:t>
            </w:r>
          </w:p>
        </w:tc>
        <w:tc>
          <w:tcPr>
            <w:tcW w:type="dxa" w:w="19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335</w:t>
            </w:r>
          </w:p>
        </w:tc>
        <w:tc>
          <w:tcPr>
            <w:tcW w:type="dxa" w:w="13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201</w:t>
            </w:r>
          </w:p>
        </w:tc>
        <w:tc>
          <w:tcPr>
            <w:tcW w:type="dxa" w:w="232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60</w:t>
            </w:r>
          </w:p>
        </w:tc>
        <w:tc>
          <w:tcPr>
            <w:tcW w:type="dxa" w:w="18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51</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w:t>
            </w:r>
          </w:p>
        </w:tc>
      </w:tr>
      <w:tr>
        <w:trPr>
          <w:cantSplit/>
        </w:trPr>
        <w:tc>
          <w:tcPr>
            <w:tcW w:type="dxa" w:w="162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Total</w:t>
            </w:r>
          </w:p>
        </w:tc>
        <w:tc>
          <w:tcPr>
            <w:tcW w:type="dxa" w:w="19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29,263</w:t>
            </w:r>
          </w:p>
        </w:tc>
        <w:tc>
          <w:tcPr>
            <w:tcW w:type="dxa" w:w="13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17,558</w:t>
            </w:r>
          </w:p>
        </w:tc>
        <w:tc>
          <w:tcPr>
            <w:tcW w:type="dxa" w:w="232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5,268</w:t>
            </w:r>
          </w:p>
        </w:tc>
        <w:tc>
          <w:tcPr>
            <w:tcW w:type="dxa" w:w="18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4,478</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100%</w:t>
            </w:r>
          </w:p>
        </w:tc>
      </w:tr>
    </w:tbl>
    <w:p>
      <w:pPr>
        <w:spacing w:after="120" w:before="0"/>
      </w:pPr>
    </w:p>
    <w:p>
      <w:pPr>
        <w:spacing w:after="160" w:before="0"/>
      </w:pPr>
      <w:r>
        <w:rPr>
          <w:rFonts w:ascii="Arial" w:cs="Arial" w:eastAsia="Arial" w:hAnsi="Arial"/>
          <w:i/>
          <w:iCs/>
          <w:color w:val="5B6573"/>
          <w:sz w:val="16"/>
          <w:szCs w:val="16"/>
        </w:rPr>
        <w:t xml:space="preserve">These are estimates. Australia's real number is probably higher.</w:t>
      </w:r>
    </w:p>
    <w:p>
      <w:r>
        <w:rPr>
          <w:rFonts w:ascii="Arial" w:cs="Arial" w:eastAsia="Arial" w:hAnsi="Arial"/>
          <w:b/>
          <w:bCs/>
          <w:sz w:val="20"/>
          <w:szCs w:val="20"/>
        </w:rPr>
        <w:t xml:space="preserve">Important:</w:t>
      </w:r>
      <w:r>
        <w:rPr>
          <w:rFonts w:ascii="Arial" w:cs="Arial" w:eastAsia="Arial" w:hAnsi="Arial"/>
          <w:sz w:val="20"/>
          <w:szCs w:val="20"/>
        </w:rPr>
        <w:t xml:space="preserve"> This only counts Shopify Plus stores. Many smaller brands ($1M–$5M) use regular Shopify and are not counted here. The real pool is larger.</w:t>
      </w:r>
    </w:p>
    <w:p>
      <w:r>
        <w:rPr>
          <w:rFonts w:ascii="Arial" w:cs="Arial" w:eastAsia="Arial" w:hAnsi="Arial"/>
          <w:b/>
          <w:bCs/>
          <w:sz w:val="20"/>
          <w:szCs w:val="20"/>
        </w:rPr>
        <w:t xml:space="preserve">Validation step:</w:t>
      </w:r>
      <w:r>
        <w:rPr>
          <w:rFonts w:ascii="Arial" w:cs="Arial" w:eastAsia="Arial" w:hAnsi="Arial"/>
          <w:sz w:val="20"/>
          <w:szCs w:val="20"/>
        </w:rPr>
        <w:t xml:space="preserve"> Use GrowMailers' paid Store Leads account to export real counts by country, filtered to Klaviyo and our categories, in specific revenue ranges. Replace these estimates with real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75"/>
        <w:gridCol w:w="3655"/>
        <w:gridCol w:w="1096"/>
        <w:gridCol w:w="3654"/>
      </w:tblGrid>
      <w:tr>
        <w:trPr>
          <w:cantSplit/>
          <w:tblHeader/>
        </w:trPr>
        <w:tc>
          <w:tcPr>
            <w:tcW w:type="dxa" w:w="167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Level</w:t>
            </w:r>
          </w:p>
        </w:tc>
        <w:tc>
          <w:tcPr>
            <w:tcW w:type="dxa" w:w="365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includes</w:t>
            </w:r>
          </w:p>
        </w:tc>
        <w:tc>
          <w:tcPr>
            <w:tcW w:type="dxa" w:w="109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Number of brands</w:t>
            </w:r>
          </w:p>
        </w:tc>
        <w:tc>
          <w:tcPr>
            <w:tcW w:type="dxa" w:w="365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Annual value</w:t>
            </w:r>
          </w:p>
        </w:tc>
      </w:tr>
      <w:tr>
        <w:trPr>
          <w:cantSplit/>
        </w:trPr>
        <w:tc>
          <w:tcPr>
            <w:tcW w:type="dxa" w:w="167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Total market</w:t>
            </w:r>
          </w:p>
        </w:tc>
        <w:tc>
          <w:tcPr>
            <w:tcW w:type="dxa" w:w="365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 Plus brands on Klaviyo, any product type</w:t>
            </w:r>
          </w:p>
        </w:tc>
        <w:tc>
          <w:tcPr>
            <w:tcW w:type="dxa" w:w="109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17,558</w:t>
            </w:r>
          </w:p>
        </w:tc>
        <w:tc>
          <w:tcPr>
            <w:tcW w:type="dxa" w:w="365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$895M</w:t>
            </w:r>
          </w:p>
        </w:tc>
      </w:tr>
      <w:tr>
        <w:trPr>
          <w:cantSplit/>
        </w:trPr>
        <w:tc>
          <w:tcPr>
            <w:tcW w:type="dxa" w:w="167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Reachable market</w:t>
            </w:r>
          </w:p>
        </w:tc>
        <w:tc>
          <w:tcPr>
            <w:tcW w:type="dxa" w:w="365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Our four product types</w:t>
            </w:r>
          </w:p>
        </w:tc>
        <w:tc>
          <w:tcPr>
            <w:tcW w:type="dxa" w:w="109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4,478</w:t>
            </w:r>
          </w:p>
        </w:tc>
        <w:tc>
          <w:tcPr>
            <w:tcW w:type="dxa" w:w="365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$228M retainer value + ≈ $22M one-time Ascent</w:t>
            </w:r>
          </w:p>
        </w:tc>
      </w:tr>
      <w:tr>
        <w:trPr>
          <w:cantSplit/>
        </w:trPr>
        <w:tc>
          <w:tcPr>
            <w:tcW w:type="dxa" w:w="167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Target in 12–24 months</w:t>
            </w:r>
          </w:p>
        </w:tc>
        <w:tc>
          <w:tcPr>
            <w:tcW w:type="dxa" w:w="365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12–20 Lhotse clients and 30–50 Ascent projects per year</w:t>
            </w:r>
          </w:p>
        </w:tc>
        <w:tc>
          <w:tcPr>
            <w:tcW w:type="dxa" w:w="109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42–70</w:t>
            </w:r>
          </w:p>
        </w:tc>
        <w:tc>
          <w:tcPr>
            <w:tcW w:type="dxa" w:w="365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$760k–$1.27M/year (0.3–0.5% of reachable market)</w:t>
            </w:r>
          </w:p>
        </w:tc>
      </w:tr>
    </w:tbl>
    <w:p>
      <w:pPr>
        <w:spacing w:after="120" w:before="0"/>
      </w:pPr>
    </w:p>
    <w:p>
      <w:pPr>
        <w:spacing w:after="160" w:before="0"/>
      </w:pPr>
      <w:r>
        <w:rPr>
          <w:rFonts w:ascii="Arial" w:cs="Arial" w:eastAsia="Arial" w:hAnsi="Arial"/>
          <w:i/>
          <w:iCs/>
          <w:color w:val="5B6573"/>
          <w:sz w:val="16"/>
          <w:szCs w:val="16"/>
        </w:rPr>
        <w:t xml:space="preserve">Delivery capacity limits us, not demand.</w:t>
      </w:r>
    </w:p>
    <w:p>
      <w:pPr>
        <w:pStyle w:val="Heading2"/>
        <w:keepNext/>
      </w:pPr>
      <w:r>
        <w:rPr>
          <w:rFonts w:ascii="Arial" w:cs="Arial" w:eastAsia="Arial" w:hAnsi="Arial"/>
        </w:rPr>
        <w:t xml:space="preserve">5.3 Each country's role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339"/>
        <w:gridCol w:w="2553"/>
        <w:gridCol w:w="1615"/>
        <w:gridCol w:w="2673"/>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Country</w:t>
            </w:r>
          </w:p>
        </w:tc>
        <w:tc>
          <w:tcPr>
            <w:tcW w:type="dxa" w:w="233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Role</w:t>
            </w:r>
          </w:p>
        </w:tc>
        <w:tc>
          <w:tcPr>
            <w:tcW w:type="dxa" w:w="255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Key cities</w:t>
            </w:r>
          </w:p>
        </w:tc>
        <w:tc>
          <w:tcPr>
            <w:tcW w:type="dxa" w:w="161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Email risk</w:t>
            </w:r>
          </w:p>
        </w:tc>
        <w:tc>
          <w:tcPr>
            <w:tcW w:type="dxa" w:w="267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Special notes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United States</w:t>
            </w:r>
          </w:p>
        </w:tc>
        <w:tc>
          <w:tcPr>
            <w:tcW w:type="dxa" w:w="233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Primary, year-round (~2,955 brands)</w:t>
            </w:r>
          </w:p>
        </w:tc>
        <w:tc>
          <w:tcPr>
            <w:tcW w:type="dxa" w:w="25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California, New York, Florida, Texas, New Jersey, Utah</w:t>
            </w:r>
          </w:p>
        </w:tc>
        <w:tc>
          <w:tcPr>
            <w:tcW w:type="dxa" w:w="16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is dominant (54.4%)</w:t>
            </w:r>
          </w:p>
        </w:tc>
        <w:tc>
          <w:tcPr>
            <w:tcW w:type="dxa" w:w="26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Most lenient B2B email laws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United Kingdom</w:t>
            </w:r>
          </w:p>
        </w:tc>
        <w:tc>
          <w:tcPr>
            <w:tcW w:type="dxa" w:w="233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Secondary; best in Q1 (~643)</w:t>
            </w:r>
          </w:p>
        </w:tc>
        <w:tc>
          <w:tcPr>
            <w:tcW w:type="dxa" w:w="25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London (52,471 stores)</w:t>
            </w:r>
          </w:p>
        </w:tc>
        <w:tc>
          <w:tcPr>
            <w:tcW w:type="dxa" w:w="161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Microsoft is 32.3% of inboxes</w:t>
            </w:r>
          </w:p>
        </w:tc>
        <w:tc>
          <w:tcPr>
            <w:tcW w:type="dxa" w:w="267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Always test Microsoft delivery in every audit</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Australia</w:t>
            </w:r>
          </w:p>
        </w:tc>
        <w:tc>
          <w:tcPr>
            <w:tcW w:type="dxa" w:w="233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Secondary; best Jan–Mar and Jul–Aug (~380)</w:t>
            </w:r>
          </w:p>
        </w:tc>
        <w:tc>
          <w:tcPr>
            <w:tcW w:type="dxa" w:w="25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South Wales, Victoria</w:t>
            </w:r>
          </w:p>
        </w:tc>
        <w:tc>
          <w:tcPr>
            <w:tcW w:type="dxa" w:w="16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Microsoft is 30.2% of inboxes</w:t>
            </w:r>
          </w:p>
        </w:tc>
        <w:tc>
          <w:tcPr>
            <w:tcW w:type="dxa" w:w="26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Most experienced Klaviyo market; lead with depth</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Canada</w:t>
            </w:r>
          </w:p>
        </w:tc>
        <w:tc>
          <w:tcPr>
            <w:tcW w:type="dxa" w:w="233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Selective (~389)</w:t>
            </w:r>
          </w:p>
        </w:tc>
        <w:tc>
          <w:tcPr>
            <w:tcW w:type="dxa" w:w="25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Ontario (44.7%), Quebec (19.5%)</w:t>
            </w:r>
          </w:p>
        </w:tc>
        <w:tc>
          <w:tcPr>
            <w:tcW w:type="dxa" w:w="161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Microsoft is 27.9%</w:t>
            </w:r>
          </w:p>
        </w:tc>
        <w:tc>
          <w:tcPr>
            <w:tcW w:type="dxa" w:w="267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Strictest email marketing laws (CASL); Quebec needs French</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Ireland</w:t>
            </w:r>
          </w:p>
        </w:tc>
        <w:tc>
          <w:tcPr>
            <w:tcW w:type="dxa" w:w="233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Add-on to UK (~51)</w:t>
            </w:r>
          </w:p>
        </w:tc>
        <w:tc>
          <w:tcPr>
            <w:tcW w:type="dxa" w:w="25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Dublin</w:t>
            </w:r>
          </w:p>
        </w:tc>
        <w:tc>
          <w:tcPr>
            <w:tcW w:type="dxa" w:w="16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Microsoft-heavy (estimated)</w:t>
            </w:r>
          </w:p>
        </w:tc>
        <w:tc>
          <w:tcPr>
            <w:tcW w:type="dxa" w:w="26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Company email addresses only, not personal Gmail</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New Zealand</w:t>
            </w:r>
          </w:p>
        </w:tc>
        <w:tc>
          <w:tcPr>
            <w:tcW w:type="dxa" w:w="233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Add-on to Australia (~60)</w:t>
            </w:r>
          </w:p>
        </w:tc>
        <w:tc>
          <w:tcPr>
            <w:tcW w:type="dxa" w:w="25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Auckland (11,232 stores)</w:t>
            </w:r>
          </w:p>
        </w:tc>
        <w:tc>
          <w:tcPr>
            <w:tcW w:type="dxa" w:w="161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public data</w:t>
            </w:r>
          </w:p>
        </w:tc>
        <w:tc>
          <w:tcPr>
            <w:tcW w:type="dxa" w:w="267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 of stores are food brands</w:t>
            </w:r>
          </w:p>
        </w:tc>
      </w:tr>
    </w:tbl>
    <w:p>
      <w:pPr>
        <w:spacing w:after="120" w:before="0"/>
      </w:pPr>
    </w:p>
    <w:p>
      <w:pPr>
        <w:pStyle w:val="Heading2"/>
        <w:keepNext/>
      </w:pPr>
      <w:r>
        <w:rPr>
          <w:rFonts w:ascii="Arial" w:cs="Arial" w:eastAsia="Arial" w:hAnsi="Arial"/>
        </w:rPr>
        <w:t xml:space="preserve">5.4 Best US states to target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3"/>
        <w:gridCol w:w="2881"/>
        <w:gridCol w:w="1208"/>
        <w:gridCol w:w="4958"/>
      </w:tblGrid>
      <w:tr>
        <w:trPr>
          <w:cantSplit/>
          <w:tblHeader/>
        </w:trPr>
        <w:tc>
          <w:tcPr>
            <w:tcW w:type="dxa" w:w="103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State</w:t>
            </w:r>
          </w:p>
        </w:tc>
        <w:tc>
          <w:tcPr>
            <w:tcW w:type="dxa" w:w="288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Shopify stores with 10–49 staff</w:t>
            </w:r>
          </w:p>
        </w:tc>
        <w:tc>
          <w:tcPr>
            <w:tcW w:type="dxa" w:w="120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Klaviyo usage</w:t>
            </w:r>
          </w:p>
        </w:tc>
        <w:tc>
          <w:tcPr>
            <w:tcW w:type="dxa" w:w="495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Notes</w:t>
            </w:r>
          </w:p>
        </w:tc>
      </w:tr>
      <w:tr>
        <w:trPr>
          <w:cantSplit/>
        </w:trPr>
        <w:tc>
          <w:tcPr>
            <w:tcW w:type="dxa" w:w="10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California</w:t>
            </w:r>
          </w:p>
        </w:tc>
        <w:tc>
          <w:tcPr>
            <w:tcW w:type="dxa" w:w="28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3,407</w:t>
            </w:r>
          </w:p>
        </w:tc>
        <w:tc>
          <w:tcPr>
            <w:tcW w:type="dxa" w:w="12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16.6%</w:t>
            </w:r>
          </w:p>
        </w:tc>
        <w:tc>
          <w:tcPr>
            <w:tcW w:type="dxa" w:w="49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Largest cluster; beauty and wellness</w:t>
            </w:r>
          </w:p>
        </w:tc>
      </w:tr>
      <w:tr>
        <w:trPr>
          <w:cantSplit/>
        </w:trPr>
        <w:tc>
          <w:tcPr>
            <w:tcW w:type="dxa" w:w="10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York</w:t>
            </w:r>
          </w:p>
        </w:tc>
        <w:tc>
          <w:tcPr>
            <w:tcW w:type="dxa" w:w="28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1,730</w:t>
            </w:r>
          </w:p>
        </w:tc>
        <w:tc>
          <w:tcPr>
            <w:tcW w:type="dxa" w:w="12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Not tracked</w:t>
            </w:r>
          </w:p>
        </w:tc>
        <w:tc>
          <w:tcPr>
            <w:tcW w:type="dxa" w:w="49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Fashion and beauty density</w:t>
            </w:r>
          </w:p>
        </w:tc>
      </w:tr>
      <w:tr>
        <w:trPr>
          <w:cantSplit/>
        </w:trPr>
        <w:tc>
          <w:tcPr>
            <w:tcW w:type="dxa" w:w="10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Florida</w:t>
            </w:r>
          </w:p>
        </w:tc>
        <w:tc>
          <w:tcPr>
            <w:tcW w:type="dxa" w:w="28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1,134</w:t>
            </w:r>
          </w:p>
        </w:tc>
        <w:tc>
          <w:tcPr>
            <w:tcW w:type="dxa" w:w="12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14.8%</w:t>
            </w:r>
          </w:p>
        </w:tc>
        <w:tc>
          <w:tcPr>
            <w:tcW w:type="dxa" w:w="49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Many stores, but few are big enough. Filter tightly.</w:t>
            </w:r>
          </w:p>
        </w:tc>
      </w:tr>
      <w:tr>
        <w:trPr>
          <w:cantSplit/>
        </w:trPr>
        <w:tc>
          <w:tcPr>
            <w:tcW w:type="dxa" w:w="10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Texas</w:t>
            </w:r>
          </w:p>
        </w:tc>
        <w:tc>
          <w:tcPr>
            <w:tcW w:type="dxa" w:w="28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983</w:t>
            </w:r>
          </w:p>
        </w:tc>
        <w:tc>
          <w:tcPr>
            <w:tcW w:type="dxa" w:w="12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13.6%</w:t>
            </w:r>
          </w:p>
        </w:tc>
        <w:tc>
          <w:tcPr>
            <w:tcW w:type="dxa" w:w="49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Same as Florida</w:t>
            </w:r>
          </w:p>
        </w:tc>
      </w:tr>
      <w:tr>
        <w:trPr>
          <w:cantSplit/>
        </w:trPr>
        <w:tc>
          <w:tcPr>
            <w:tcW w:type="dxa" w:w="10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Jersey</w:t>
            </w:r>
          </w:p>
        </w:tc>
        <w:tc>
          <w:tcPr>
            <w:tcW w:type="dxa" w:w="28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469</w:t>
            </w:r>
          </w:p>
        </w:tc>
        <w:tc>
          <w:tcPr>
            <w:tcW w:type="dxa" w:w="12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Not tracked</w:t>
            </w:r>
          </w:p>
        </w:tc>
        <w:tc>
          <w:tcPr>
            <w:tcW w:type="dxa" w:w="49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Consumer goods and beauty</w:t>
            </w:r>
          </w:p>
        </w:tc>
      </w:tr>
      <w:tr>
        <w:trPr>
          <w:cantSplit/>
        </w:trPr>
        <w:tc>
          <w:tcPr>
            <w:tcW w:type="dxa" w:w="10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Utah</w:t>
            </w:r>
          </w:p>
        </w:tc>
        <w:tc>
          <w:tcPr>
            <w:tcW w:type="dxa" w:w="28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411</w:t>
            </w:r>
          </w:p>
        </w:tc>
        <w:tc>
          <w:tcPr>
            <w:tcW w:type="dxa" w:w="12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18.8%</w:t>
            </w:r>
          </w:p>
        </w:tc>
        <w:tc>
          <w:tcPr>
            <w:tcW w:type="dxa" w:w="49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Highest Klaviyo rate measured; supplements cluster</w:t>
            </w:r>
          </w:p>
        </w:tc>
      </w:tr>
      <w:tr>
        <w:trPr>
          <w:cantSplit/>
        </w:trPr>
        <w:tc>
          <w:tcPr>
            <w:tcW w:type="dxa" w:w="10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Illinois</w:t>
            </w:r>
          </w:p>
        </w:tc>
        <w:tc>
          <w:tcPr>
            <w:tcW w:type="dxa" w:w="28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398</w:t>
            </w:r>
          </w:p>
        </w:tc>
        <w:tc>
          <w:tcPr>
            <w:tcW w:type="dxa" w:w="12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13.5%</w:t>
            </w:r>
          </w:p>
        </w:tc>
        <w:tc>
          <w:tcPr>
            <w:tcW w:type="dxa" w:w="49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consumer goods</w:t>
            </w:r>
          </w:p>
        </w:tc>
      </w:tr>
      <w:tr>
        <w:trPr>
          <w:cantSplit/>
        </w:trPr>
        <w:tc>
          <w:tcPr>
            <w:tcW w:type="dxa" w:w="10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Colorado</w:t>
            </w:r>
          </w:p>
        </w:tc>
        <w:tc>
          <w:tcPr>
            <w:tcW w:type="dxa" w:w="28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380</w:t>
            </w:r>
          </w:p>
        </w:tc>
        <w:tc>
          <w:tcPr>
            <w:tcW w:type="dxa" w:w="12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15.3%</w:t>
            </w:r>
          </w:p>
        </w:tc>
        <w:tc>
          <w:tcPr>
            <w:tcW w:type="dxa" w:w="49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Outdoor, pet, natural products</w:t>
            </w:r>
          </w:p>
        </w:tc>
      </w:tr>
    </w:tbl>
    <w:p>
      <w:pPr>
        <w:spacing w:after="120" w:before="0"/>
      </w:pPr>
    </w:p>
    <w:p>
      <w:r>
        <w:rPr>
          <w:rFonts w:ascii="Arial" w:cs="Arial" w:eastAsia="Arial" w:hAnsi="Arial"/>
          <w:sz w:val="20"/>
          <w:szCs w:val="20"/>
        </w:rPr>
        <w:t xml:space="preserve">In Florida, Texas, and Georgia, only 1–1.5% of stores have 10+ staff, versus 3–3.8% in California and New York. Use stricter revenue filters in those states.</w:t>
      </w:r>
    </w:p>
    <w:p>
      <w:pPr>
        <w:pStyle w:val="Heading2"/>
        <w:keepNext/>
      </w:pPr>
      <w:r>
        <w:rPr>
          <w:rFonts w:ascii="Arial" w:cs="Arial" w:eastAsia="Arial" w:hAnsi="Arial"/>
        </w:rPr>
        <w:t xml:space="preserve">5.5 Watch out for fake US addresses</w:t>
      </w:r>
    </w:p>
    <w:p>
      <w:r>
        <w:rPr>
          <w:rFonts w:ascii="Arial" w:cs="Arial" w:eastAsia="Arial" w:hAnsi="Arial"/>
          <w:b/>
          <w:bCs/>
          <w:sz w:val="20"/>
          <w:szCs w:val="20"/>
        </w:rPr>
        <w:t xml:space="preserve">The town of Sheridan, Wyoming (population under 20,000) has 20,043 Shopify stores, the third highest of any US city.</w:t>
      </w:r>
      <w:r>
        <w:rPr>
          <w:rFonts w:ascii="Arial" w:cs="Arial" w:eastAsia="Arial" w:hAnsi="Arial"/>
          <w:sz w:val="20"/>
          <w:szCs w:val="20"/>
        </w:rPr>
        <w:t xml:space="preserve"> This is not a real DTC boom. It happens because founders outside the US set up an American business using a registered agent, and that agent's address becomes the store's listed address. The same thing happens in Cheyenne, Wyoming; Delaware; New Mexico; and at shared office addresses in London.</w:t>
      </w:r>
    </w:p>
    <w:p>
      <w:r>
        <w:rPr>
          <w:rFonts w:ascii="Arial" w:cs="Arial" w:eastAsia="Arial" w:hAnsi="Arial"/>
          <w:b/>
          <w:bCs/>
          <w:sz w:val="20"/>
          <w:szCs w:val="20"/>
        </w:rPr>
        <w:t xml:space="preserve">How to filter these out:</w:t>
      </w:r>
    </w:p>
    <w:p>
      <w:pPr>
        <w:pStyle w:val="ListParagraph"/>
        <w:numPr>
          <w:ilvl w:val="0"/>
          <w:numId w:val="5"/>
        </w:numPr>
        <w:spacing w:after="60"/>
      </w:pPr>
      <w:r>
        <w:rPr>
          <w:rFonts w:ascii="Arial" w:cs="Arial" w:eastAsia="Arial" w:hAnsi="Arial"/>
          <w:sz w:val="20"/>
          <w:szCs w:val="20"/>
        </w:rPr>
        <w:t xml:space="preserve">Flag any address that matches a known registered-agent location</w:t>
      </w:r>
    </w:p>
    <w:p>
      <w:pPr>
        <w:pStyle w:val="ListParagraph"/>
        <w:numPr>
          <w:ilvl w:val="0"/>
          <w:numId w:val="5"/>
        </w:numPr>
        <w:spacing w:after="60"/>
      </w:pPr>
      <w:r>
        <w:rPr>
          <w:rFonts w:ascii="Arial" w:cs="Arial" w:eastAsia="Arial" w:hAnsi="Arial"/>
          <w:sz w:val="20"/>
          <w:szCs w:val="20"/>
        </w:rPr>
        <w:t xml:space="preserve">Check for a local phone number, a real returns address, and confirmed shipping origin</w:t>
      </w:r>
    </w:p>
    <w:p>
      <w:pPr>
        <w:pStyle w:val="ListParagraph"/>
        <w:numPr>
          <w:ilvl w:val="0"/>
          <w:numId w:val="5"/>
        </w:numPr>
        <w:spacing w:after="60"/>
      </w:pPr>
      <w:r>
        <w:rPr>
          <w:rFonts w:ascii="Arial" w:cs="Arial" w:eastAsia="Arial" w:hAnsi="Arial"/>
          <w:sz w:val="20"/>
          <w:szCs w:val="20"/>
        </w:rPr>
        <w:t xml:space="preserve">Find where the founder actually works, using LinkedIn or the About page</w:t>
      </w:r>
    </w:p>
    <w:p>
      <w:pPr>
        <w:pStyle w:val="ListParagraph"/>
        <w:numPr>
          <w:ilvl w:val="0"/>
          <w:numId w:val="5"/>
        </w:numPr>
        <w:spacing w:after="60"/>
      </w:pPr>
      <w:r>
        <w:rPr>
          <w:rFonts w:ascii="Arial" w:cs="Arial" w:eastAsia="Arial" w:hAnsi="Arial"/>
          <w:sz w:val="20"/>
          <w:szCs w:val="20"/>
        </w:rPr>
        <w:t xml:space="preserve">If they are actually based outside our six countries, skip them. If they are inside, update their country tag and apply that country's laws.</w:t>
      </w:r>
    </w:p>
    <w:p>
      <w:pPr>
        <w:pStyle w:val="ListParagraph"/>
        <w:numPr>
          <w:ilvl w:val="0"/>
          <w:numId w:val="5"/>
        </w:numPr>
        <w:spacing w:after="60"/>
      </w:pPr>
      <w:r>
        <w:rPr>
          <w:rFonts w:ascii="Arial" w:cs="Arial" w:eastAsia="Arial" w:hAnsi="Arial"/>
          <w:sz w:val="20"/>
          <w:szCs w:val="20"/>
        </w:rPr>
        <w:t xml:space="preserve">Log the check in your CRM</w:t>
      </w:r>
    </w:p>
    <w:p>
      <w:pPr>
        <w:spacing w:after="60" w:before="0"/>
      </w:pPr>
    </w:p>
    <w:p>
      <w:pPr>
        <w:pStyle w:val="Heading2"/>
        <w:keepNext/>
      </w:pPr>
      <w:r>
        <w:rPr>
          <w:rFonts w:ascii="Arial" w:cs="Arial" w:eastAsia="Arial" w:hAnsi="Arial"/>
        </w:rPr>
        <w:t xml:space="preserve">5.6 Time zone guide (working from Nepal)</w:t>
      </w:r>
    </w:p>
    <w:p>
      <w:r>
        <w:rPr>
          <w:rFonts w:ascii="Arial" w:cs="Arial" w:eastAsia="Arial" w:hAnsi="Arial"/>
          <w:sz w:val="20"/>
          <w:szCs w:val="20"/>
        </w:rPr>
        <w:t xml:space="preserve">The GrowMailers team works in Nepal Standard Time (NPT, 5 hours and 45 minutes ahead of London/UTC):</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4"/>
        <w:gridCol w:w="3066"/>
        <w:gridCol w:w="4810"/>
      </w:tblGrid>
      <w:tr>
        <w:trPr>
          <w:cantSplit/>
          <w:tblHeader/>
        </w:trPr>
        <w:tc>
          <w:tcPr>
            <w:tcW w:type="dxa" w:w="220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Market</w:t>
            </w:r>
          </w:p>
        </w:tc>
        <w:tc>
          <w:tcPr>
            <w:tcW w:type="dxa" w:w="306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Their business hours in Nepal time</w:t>
            </w:r>
          </w:p>
        </w:tc>
        <w:tc>
          <w:tcPr>
            <w:tcW w:type="dxa" w:w="481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Best approach</w:t>
            </w:r>
          </w:p>
        </w:tc>
      </w:tr>
      <w:tr>
        <w:trPr>
          <w:cantSplit/>
        </w:trPr>
        <w:tc>
          <w:tcPr>
            <w:tcW w:type="dxa" w:w="22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UK and Ireland</w:t>
            </w:r>
          </w:p>
        </w:tc>
        <w:tc>
          <w:tcPr>
            <w:tcW w:type="dxa" w:w="3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1:45 PM – 9:45 PM Nepal time</w:t>
            </w:r>
          </w:p>
        </w:tc>
        <w:tc>
          <w:tcPr>
            <w:tcW w:type="dxa" w:w="4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Best overlap for calls; schedule for their afternoon</w:t>
            </w:r>
          </w:p>
        </w:tc>
      </w:tr>
      <w:tr>
        <w:trPr>
          <w:cantSplit/>
        </w:trPr>
        <w:tc>
          <w:tcPr>
            <w:tcW w:type="dxa" w:w="22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 (Sydney)</w:t>
            </w:r>
          </w:p>
        </w:tc>
        <w:tc>
          <w:tcPr>
            <w:tcW w:type="dxa" w:w="30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4:45 AM – 12:45 PM Nepal time</w:t>
            </w:r>
          </w:p>
        </w:tc>
        <w:tc>
          <w:tcPr>
            <w:tcW w:type="dxa" w:w="4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Call Australian afternoons during Nepal mornings</w:t>
            </w:r>
          </w:p>
        </w:tc>
      </w:tr>
      <w:tr>
        <w:trPr>
          <w:cantSplit/>
        </w:trPr>
        <w:tc>
          <w:tcPr>
            <w:tcW w:type="dxa" w:w="22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Zealand (Auckland)</w:t>
            </w:r>
          </w:p>
        </w:tc>
        <w:tc>
          <w:tcPr>
            <w:tcW w:type="dxa" w:w="3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2:45 AM – 10:45 AM Nepal time</w:t>
            </w:r>
          </w:p>
        </w:tc>
        <w:tc>
          <w:tcPr>
            <w:tcW w:type="dxa" w:w="4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Nepal mornings; schedule emails</w:t>
            </w:r>
          </w:p>
        </w:tc>
      </w:tr>
      <w:tr>
        <w:trPr>
          <w:cantSplit/>
        </w:trPr>
        <w:tc>
          <w:tcPr>
            <w:tcW w:type="dxa" w:w="22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and Canada Eastern</w:t>
            </w:r>
          </w:p>
        </w:tc>
        <w:tc>
          <w:tcPr>
            <w:tcW w:type="dxa" w:w="30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6:45 PM – 2:45 AM Nepal time</w:t>
            </w:r>
          </w:p>
        </w:tc>
        <w:tc>
          <w:tcPr>
            <w:tcW w:type="dxa" w:w="48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Evening call shift; schedule emails</w:t>
            </w:r>
          </w:p>
        </w:tc>
      </w:tr>
      <w:tr>
        <w:trPr>
          <w:cantSplit/>
        </w:trPr>
        <w:tc>
          <w:tcPr>
            <w:tcW w:type="dxa" w:w="22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and Canada Pacific</w:t>
            </w:r>
          </w:p>
        </w:tc>
        <w:tc>
          <w:tcPr>
            <w:tcW w:type="dxa" w:w="3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9:45 PM – 5:45 AM Nepal time</w:t>
            </w:r>
          </w:p>
        </w:tc>
        <w:tc>
          <w:tcPr>
            <w:tcW w:type="dxa" w:w="48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Late calls; schedule emails</w:t>
            </w:r>
          </w:p>
        </w:tc>
      </w:tr>
    </w:tbl>
    <w:p>
      <w:pPr>
        <w:spacing w:after="120" w:before="0"/>
      </w:pPr>
    </w:p>
    <w:p>
      <w:r>
        <w:rPr>
          <w:rFonts w:ascii="Arial" w:cs="Arial" w:eastAsia="Arial" w:hAnsi="Arial"/>
          <w:sz w:val="20"/>
          <w:szCs w:val="20"/>
        </w:rPr>
        <w:t xml:space="preserve">Schedule every outreach email to arrive at 8–10 AM in the recipient's time zone.</w:t>
      </w:r>
    </w:p>
    <w:p>
      <w:pPr>
        <w:pStyle w:val="Heading1"/>
        <w:keepNext/>
      </w:pPr>
      <w:r>
        <w:rPr>
          <w:rFonts w:ascii="Arial" w:cs="Arial" w:eastAsia="Arial" w:hAnsi="Arial"/>
        </w:rPr>
        <w:t xml:space="preserve">6. Who Makes the Buying Decision and What They Care About</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For brands under $5M, the founder signs everything. From $5M to $20M, a marketing leader signs and a retention specialist influences them. Above $20M, finance reviews the contract. Founders care about cash and profit. Growth leaders care about lowering their blended marketing cost. Retention staff care about getting relief from heavy workload and risk. Lhotse starts competing directly with a new hire when the brand would normally be considering their first email specialist, usually between $3M and $8M in revenue.</w:t>
      </w:r>
    </w:p>
    <w:p>
      <w:pPr>
        <w:pStyle w:val="Heading2"/>
        <w:keepNext/>
      </w:pPr>
      <w:r>
        <w:rPr>
          <w:rFonts w:ascii="Arial" w:cs="Arial" w:eastAsia="Arial" w:hAnsi="Arial"/>
        </w:rPr>
        <w:t xml:space="preserve">6.1 How teams change as brands grow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255"/>
        <w:gridCol w:w="2638"/>
        <w:gridCol w:w="1804"/>
        <w:gridCol w:w="2483"/>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Revenue</w:t>
            </w:r>
          </w:p>
        </w:tc>
        <w:tc>
          <w:tcPr>
            <w:tcW w:type="dxa" w:w="225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Marketing team</w:t>
            </w:r>
          </w:p>
        </w:tc>
        <w:tc>
          <w:tcPr>
            <w:tcW w:type="dxa" w:w="263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much they spend on outside agencies</w:t>
            </w:r>
          </w:p>
        </w:tc>
        <w:tc>
          <w:tcPr>
            <w:tcW w:type="dxa" w:w="180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Who runs email</w:t>
            </w:r>
          </w:p>
        </w:tc>
        <w:tc>
          <w:tcPr>
            <w:tcW w:type="dxa" w:w="248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Who signs contracts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$1M–$3M</w:t>
            </w:r>
          </w:p>
        </w:tc>
        <w:tc>
          <w:tcPr>
            <w:tcW w:type="dxa" w:w="225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 people</w:t>
            </w:r>
          </w:p>
        </w:tc>
        <w:tc>
          <w:tcPr>
            <w:tcW w:type="dxa" w:w="26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5% of revenue</w:t>
            </w:r>
          </w:p>
        </w:tc>
        <w:tc>
          <w:tcPr>
            <w:tcW w:type="dxa" w:w="18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 or freelancer</w:t>
            </w:r>
          </w:p>
        </w:tc>
        <w:tc>
          <w:tcPr>
            <w:tcW w:type="dxa" w:w="24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$3M–$8M</w:t>
            </w:r>
          </w:p>
        </w:tc>
        <w:tc>
          <w:tcPr>
            <w:tcW w:type="dxa" w:w="225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4–6, including an email person</w:t>
            </w:r>
          </w:p>
        </w:tc>
        <w:tc>
          <w:tcPr>
            <w:tcW w:type="dxa" w:w="263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7%</w:t>
            </w:r>
          </w:p>
        </w:tc>
        <w:tc>
          <w:tcPr>
            <w:tcW w:type="dxa" w:w="18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First email hire</w:t>
            </w:r>
          </w:p>
        </w:tc>
        <w:tc>
          <w:tcPr>
            <w:tcW w:type="dxa" w:w="24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$8M–$20M</w:t>
            </w:r>
          </w:p>
        </w:tc>
        <w:tc>
          <w:tcPr>
            <w:tcW w:type="dxa" w:w="225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7–12</w:t>
            </w:r>
          </w:p>
        </w:tc>
        <w:tc>
          <w:tcPr>
            <w:tcW w:type="dxa" w:w="26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7%</w:t>
            </w:r>
          </w:p>
        </w:tc>
        <w:tc>
          <w:tcPr>
            <w:tcW w:type="dxa" w:w="18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Retention specialist</w:t>
            </w:r>
          </w:p>
        </w:tc>
        <w:tc>
          <w:tcPr>
            <w:tcW w:type="dxa" w:w="24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VP Marketing, CMO, or Head of Growth</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$20M–$50M</w:t>
            </w:r>
          </w:p>
        </w:tc>
        <w:tc>
          <w:tcPr>
            <w:tcW w:type="dxa" w:w="225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15–25, led by a VP or CMO</w:t>
            </w:r>
          </w:p>
        </w:tc>
        <w:tc>
          <w:tcPr>
            <w:tcW w:type="dxa" w:w="263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5%</w:t>
            </w:r>
          </w:p>
        </w:tc>
        <w:tc>
          <w:tcPr>
            <w:tcW w:type="dxa" w:w="18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Head of Retention + team</w:t>
            </w:r>
          </w:p>
        </w:tc>
        <w:tc>
          <w:tcPr>
            <w:tcW w:type="dxa" w:w="24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CMO or VP; finance reviews</w:t>
            </w:r>
          </w:p>
        </w:tc>
      </w:tr>
    </w:tbl>
    <w:p>
      <w:pPr>
        <w:spacing w:after="120" w:before="0"/>
      </w:pPr>
    </w:p>
    <w:p>
      <w:r>
        <w:rPr>
          <w:rFonts w:ascii="Arial" w:cs="Arial" w:eastAsia="Arial" w:hAnsi="Arial"/>
          <w:sz w:val="20"/>
          <w:szCs w:val="20"/>
        </w:rPr>
        <w:t xml:space="preserve">Between about $3M and $15M, brands shift from needing "a Klaviyo specialist" to needing "a retention strategist." Many have someone who can build an email sequence but no one who can design a full retention strategy, and Lhotse fills exactly that gap.</w:t>
      </w:r>
    </w:p>
    <w:p>
      <w:r>
        <w:rPr>
          <w:rFonts w:ascii="Arial" w:cs="Arial" w:eastAsia="Arial" w:hAnsi="Arial"/>
          <w:sz w:val="20"/>
          <w:szCs w:val="20"/>
        </w:rPr>
        <w:t xml:space="preserve">Also: as brands get bigger, they spend a smaller share of revenue on marketing. Brands under $5M spend 30–45% of revenue on marketing. Ten public consumer brands spend a median of 13.3%. Smaller brands feel every dollar, so for small clients (L1), we sell Lhotse as a money-saver, not just a growth driver.</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6"/>
          <w:szCs w:val="16"/>
        </w:rPr>
        <w:t xml:space="preserve">  $3M BRAND                      $10M BRAND                     $30M BRAND</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Founder/CEO                    Founder/CEO                    CEO</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 Operations                  ├─ Head of Growth               ├─ CMO</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 Marketing (generalist)      │   ├─ Paid media                │   ├─ Head of Retention</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 Customer service            │   ├─ Email / retention ←─LHOTSE    │   │   ├─ Email manager</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Email: founder/freelancer   │   └─ Creative                  │   │   ├─ SMS manager</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 LHOTSE L1               ├─ Finance                       │   │   └─ CRM analyst</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 Customer service              │   └─ Paid media VP</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(LHOTSE L2 competes with        ◄── ASCENT A3</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6"/>
          <w:szCs w:val="16"/>
        </w:rPr>
        <w:t xml:space="preserve">                                   the email/retention hire)</w:t>
      </w:r>
    </w:p>
    <w:p>
      <w:pPr>
        <w:pStyle w:val="Heading2"/>
        <w:keepNext/>
      </w:pPr>
      <w:r>
        <w:rPr>
          <w:rFonts w:ascii="Arial" w:cs="Arial" w:eastAsia="Arial" w:hAnsi="Arial"/>
        </w:rPr>
        <w:t xml:space="preserve">6.2 The four types of decision-makers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6"/>
        <w:gridCol w:w="2261"/>
        <w:gridCol w:w="2261"/>
        <w:gridCol w:w="2261"/>
        <w:gridCol w:w="2261"/>
      </w:tblGrid>
      <w:tr>
        <w:trPr>
          <w:cantSplit/>
          <w:tblHeader/>
        </w:trPr>
        <w:tc>
          <w:tcPr>
            <w:tcW w:type="dxa" w:w="103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p>
        </w:tc>
        <w:tc>
          <w:tcPr>
            <w:tcW w:type="dxa" w:w="226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Founder / CEO</w:t>
            </w:r>
          </w:p>
        </w:tc>
        <w:tc>
          <w:tcPr>
            <w:tcW w:type="dxa" w:w="226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Head of Marketing / Head of Growth</w:t>
            </w:r>
          </w:p>
        </w:tc>
        <w:tc>
          <w:tcPr>
            <w:tcW w:type="dxa" w:w="226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CMO</w:t>
            </w:r>
          </w:p>
        </w:tc>
        <w:tc>
          <w:tcPr>
            <w:tcW w:type="dxa" w:w="226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Retention Specialist</w:t>
            </w:r>
          </w:p>
        </w:tc>
      </w:tr>
      <w:tr>
        <w:trPr>
          <w:cantSplit/>
        </w:trPr>
        <w:tc>
          <w:tcPr>
            <w:tcW w:type="dxa" w:w="10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Responsible for</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Cash, profit, strategy</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Growing revenue per marketing dollar</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Brand, growth, team</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 sequences, campaigns, list health, delivery</w:t>
            </w:r>
          </w:p>
        </w:tc>
      </w:tr>
      <w:tr>
        <w:trPr>
          <w:cantSplit/>
        </w:trPr>
        <w:tc>
          <w:tcPr>
            <w:tcW w:type="dxa" w:w="10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 they measure</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Cash, contribution margin, marketing efficiency</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Marketing efficiency, new customer revenue, ad cost per customer</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Growth, lifetime value vs. acquisition cost, team productivity</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Flow revenue, email share, spam and bounce rates</w:t>
            </w:r>
          </w:p>
        </w:tc>
      </w:tr>
      <w:tr>
        <w:trPr>
          <w:cantSplit/>
        </w:trPr>
        <w:tc>
          <w:tcPr>
            <w:tcW w:type="dxa" w:w="10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Biggest fear</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Paying an agency that overpromises</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Missing revenue targets as ad costs rise</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public failure during Black Friday or peak season</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Being blamed for a deliverability incident; burning out</w:t>
            </w:r>
          </w:p>
        </w:tc>
      </w:tr>
      <w:tr>
        <w:trPr>
          <w:cantSplit/>
        </w:trPr>
        <w:tc>
          <w:tcPr>
            <w:tcW w:type="dxa" w:w="10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 they need to hear</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"Here's the cost, the payback, and how you'll know if it's working."</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"Owned-channel revenue lowers your blended marketing cost."</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"Specialist depth, measured by real lift tests, no risk to peak season."</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 take the heavy lifting and fix what you haven't had time for."</w:t>
            </w:r>
          </w:p>
        </w:tc>
      </w:tr>
      <w:tr>
        <w:trPr>
          <w:cantSplit/>
        </w:trPr>
        <w:tc>
          <w:tcPr>
            <w:tcW w:type="dxa" w:w="10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Evidence they trust</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model built with their own numbers</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Holdout-tested lift results</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Case studies at their revenue level</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Technical audit findings and a clear process</w:t>
            </w:r>
          </w:p>
        </w:tc>
      </w:tr>
      <w:tr>
        <w:trPr>
          <w:cantSplit/>
        </w:trPr>
        <w:tc>
          <w:tcPr>
            <w:tcW w:type="dxa" w:w="10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Best starting offer</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A1 or Lhotse Core</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Growth</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A3, then Lhotse Scale</w:t>
            </w:r>
          </w:p>
        </w:tc>
        <w:tc>
          <w:tcPr>
            <w:tcW w:type="dxa" w:w="22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positioned as their ally, not their replacement</w:t>
            </w:r>
          </w:p>
        </w:tc>
      </w:tr>
      <w:tr>
        <w:trPr>
          <w:cantSplit/>
        </w:trPr>
        <w:tc>
          <w:tcPr>
            <w:tcW w:type="dxa" w:w="10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 kills the deal</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Vague promises; long lock-in contracts</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Vanity metrics like "open rates"</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junior team; no risk management plan</w:t>
            </w:r>
          </w:p>
        </w:tc>
        <w:tc>
          <w:tcPr>
            <w:tcW w:type="dxa" w:w="22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Anything that makes them feel threatened</w:t>
            </w:r>
          </w:p>
        </w:tc>
      </w:tr>
    </w:tbl>
    <w:p>
      <w:pPr>
        <w:spacing w:after="120" w:before="0"/>
      </w:pPr>
    </w:p>
    <w:p>
      <w:pPr>
        <w:pStyle w:val="Heading2"/>
        <w:keepNext/>
      </w:pPr>
      <w:r>
        <w:rPr>
          <w:rFonts w:ascii="Arial" w:cs="Arial" w:eastAsia="Arial" w:hAnsi="Arial"/>
        </w:rPr>
        <w:t xml:space="preserve">6.3 How to handle common objections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1"/>
        <w:gridCol w:w="2688"/>
        <w:gridCol w:w="2933"/>
        <w:gridCol w:w="1588"/>
      </w:tblGrid>
      <w:tr>
        <w:trPr>
          <w:cantSplit/>
          <w:tblHeader/>
        </w:trPr>
        <w:tc>
          <w:tcPr>
            <w:tcW w:type="dxa" w:w="287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Objection</w:t>
            </w:r>
          </w:p>
        </w:tc>
        <w:tc>
          <w:tcPr>
            <w:tcW w:type="dxa" w:w="268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they really mean</w:t>
            </w:r>
          </w:p>
        </w:tc>
        <w:tc>
          <w:tcPr>
            <w:tcW w:type="dxa" w:w="293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Our response</w:t>
            </w:r>
          </w:p>
        </w:tc>
        <w:tc>
          <w:tcPr>
            <w:tcW w:type="dxa" w:w="158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Evidence we offer</w:t>
            </w:r>
          </w:p>
        </w:tc>
      </w:tr>
      <w:tr>
        <w:trPr>
          <w:cantSplit/>
        </w:trPr>
        <w:tc>
          <w:tcPr>
            <w:tcW w:type="dxa" w:w="28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 already have an agency."</w:t>
            </w:r>
          </w:p>
        </w:tc>
        <w:tc>
          <w:tcPr>
            <w:tcW w:type="dxa" w:w="26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Inertia, or quiet dissatisfaction</w:t>
            </w:r>
          </w:p>
        </w:tc>
        <w:tc>
          <w:tcPr>
            <w:tcW w:type="dxa" w:w="29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need to switch. Ascent is a technical repair job most agencies don't do. Here's what we found in your email headers."</w:t>
            </w:r>
          </w:p>
        </w:tc>
        <w:tc>
          <w:tcPr>
            <w:tcW w:type="dxa" w:w="15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external audit results</w:t>
            </w:r>
          </w:p>
        </w:tc>
      </w:tr>
      <w:tr>
        <w:trPr>
          <w:cantSplit/>
        </w:trPr>
        <w:tc>
          <w:tcPr>
            <w:tcW w:type="dxa" w:w="287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"We'll just hire someone."</w:t>
            </w:r>
          </w:p>
        </w:tc>
        <w:tc>
          <w:tcPr>
            <w:tcW w:type="dxa" w:w="26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They think a hire is cheaper</w:t>
            </w:r>
          </w:p>
        </w:tc>
        <w:tc>
          <w:tcPr>
            <w:tcW w:type="dxa" w:w="29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good hire costs $85k–$135k fully loaded and has one skill set. Lhotse is $36k–$66k and brings a whole team."</w:t>
            </w:r>
          </w:p>
        </w:tc>
        <w:tc>
          <w:tcPr>
            <w:tcW w:type="dxa" w:w="15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Section 1.3 comparison</w:t>
            </w:r>
          </w:p>
        </w:tc>
      </w:tr>
      <w:tr>
        <w:trPr>
          <w:cantSplit/>
        </w:trPr>
        <w:tc>
          <w:tcPr>
            <w:tcW w:type="dxa" w:w="28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"Our open rates are fine."</w:t>
            </w:r>
          </w:p>
        </w:tc>
        <w:tc>
          <w:tcPr>
            <w:tcW w:type="dxa" w:w="26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Open rates are inflated by Apple auto-opens</w:t>
            </w:r>
          </w:p>
        </w:tc>
        <w:tc>
          <w:tcPr>
            <w:tcW w:type="dxa" w:w="29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"Apple auto-opens most emails without anyone actually reading them. Let's look at clicks and actual orders placed."</w:t>
            </w:r>
          </w:p>
        </w:tc>
        <w:tc>
          <w:tcPr>
            <w:tcW w:type="dxa" w:w="15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Section 9 benchmarks</w:t>
            </w:r>
          </w:p>
        </w:tc>
      </w:tr>
      <w:tr>
        <w:trPr>
          <w:cantSplit/>
        </w:trPr>
        <w:tc>
          <w:tcPr>
            <w:tcW w:type="dxa" w:w="287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 says delivery is fine."</w:t>
            </w:r>
          </w:p>
        </w:tc>
        <w:tc>
          <w:tcPr>
            <w:tcW w:type="dxa" w:w="26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Averages hide problems at specific providers</w:t>
            </w:r>
          </w:p>
        </w:tc>
        <w:tc>
          <w:tcPr>
            <w:tcW w:type="dxa" w:w="29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a third of UK, Canadian, and Australian inboxes are Microsoft. Let's check by provider specifically."</w:t>
            </w:r>
          </w:p>
        </w:tc>
        <w:tc>
          <w:tcPr>
            <w:tcW w:type="dxa" w:w="15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Provider-level check</w:t>
            </w:r>
          </w:p>
        </w:tc>
      </w:tr>
      <w:tr>
        <w:trPr>
          <w:cantSplit/>
        </w:trPr>
        <w:tc>
          <w:tcPr>
            <w:tcW w:type="dxa" w:w="28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"Not right now, it's Black Friday prep."</w:t>
            </w:r>
          </w:p>
        </w:tc>
        <w:tc>
          <w:tcPr>
            <w:tcW w:type="dxa" w:w="26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real freeze, do not push</w:t>
            </w:r>
          </w:p>
        </w:tc>
        <w:tc>
          <w:tcPr>
            <w:tcW w:type="dxa" w:w="29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"Completely understood, no retainer now. Here are two quick safe fixes, and let's book a January conversation."</w:t>
            </w:r>
          </w:p>
        </w:tc>
        <w:tc>
          <w:tcPr>
            <w:tcW w:type="dxa" w:w="15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Section 15 safe-fix list</w:t>
            </w:r>
          </w:p>
        </w:tc>
      </w:tr>
      <w:tr>
        <w:trPr>
          <w:cantSplit/>
        </w:trPr>
        <w:tc>
          <w:tcPr>
            <w:tcW w:type="dxa" w:w="287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"Too expensive."</w:t>
            </w:r>
          </w:p>
        </w:tc>
        <w:tc>
          <w:tcPr>
            <w:tcW w:type="dxa" w:w="26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ROI is not clear yet, or cash is tight</w:t>
            </w:r>
          </w:p>
        </w:tc>
        <w:tc>
          <w:tcPr>
            <w:tcW w:type="dxa" w:w="29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"At your margins, Lhotse needs about 80–140 extra repeat orders a month. You already do 6,000."</w:t>
            </w:r>
          </w:p>
        </w:tc>
        <w:tc>
          <w:tcPr>
            <w:tcW w:type="dxa" w:w="15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Section 7 breakeven math</w:t>
            </w:r>
          </w:p>
        </w:tc>
      </w:tr>
      <w:tr>
        <w:trPr>
          <w:cantSplit/>
        </w:trPr>
        <w:tc>
          <w:tcPr>
            <w:tcW w:type="dxa" w:w="28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 agency already disappointed us."</w:t>
            </w:r>
          </w:p>
        </w:tc>
        <w:tc>
          <w:tcPr>
            <w:tcW w:type="dxa" w:w="26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Past over-promising</w:t>
            </w:r>
          </w:p>
        </w:tc>
        <w:tc>
          <w:tcPr>
            <w:tcW w:type="dxa" w:w="293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 did they measure? We report lift tested against a control group, not platform credits."</w:t>
            </w:r>
          </w:p>
        </w:tc>
        <w:tc>
          <w:tcPr>
            <w:tcW w:type="dxa" w:w="15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Sample holdout test report</w:t>
            </w:r>
          </w:p>
        </w:tc>
      </w:tr>
      <w:tr>
        <w:trPr>
          <w:cantSplit/>
        </w:trPr>
        <w:tc>
          <w:tcPr>
            <w:tcW w:type="dxa" w:w="287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"Isn't not having DMARC enforcement a failure?"</w:t>
            </w:r>
          </w:p>
        </w:tc>
        <w:tc>
          <w:tcPr>
            <w:tcW w:type="dxa" w:w="26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scare tactic from past vendors</w:t>
            </w:r>
          </w:p>
        </w:tc>
        <w:tc>
          <w:tcPr>
            <w:tcW w:type="dxa" w:w="293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a monitoring-only DMARC record meets every major email provider's rules. Moving to enforcement is best practice, done carefully, not urgently."</w:t>
            </w:r>
          </w:p>
        </w:tc>
        <w:tc>
          <w:tcPr>
            <w:tcW w:type="dxa" w:w="15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Section 12</w:t>
            </w:r>
          </w:p>
        </w:tc>
      </w:tr>
    </w:tbl>
    <w:p>
      <w:pPr>
        <w:spacing w:after="120" w:before="0"/>
      </w:pPr>
    </w:p>
    <w:p>
      <w:pPr>
        <w:pStyle w:val="Heading1"/>
        <w:keepNext/>
      </w:pPr>
      <w:r>
        <w:rPr>
          <w:rFonts w:ascii="Arial" w:cs="Arial" w:eastAsia="Arial" w:hAnsi="Arial"/>
        </w:rPr>
        <w:t xml:space="preserve">7. How Much Money Each Type of Product Makes</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For every product type we target, the first sale through ads barely breaks even, or actually loses money. Profit starts with the second order. Beauty and supplements have the best margins, so Lhotse pays for itself fastest there. Food and pet earn less per sale, so we need a higher revenue minimum for those. Also: when brands automatically put a discount in every repeat-order email "out of habit," they can wipe out a third of their profit per sale. Managing discounts is part of what Lhotse does.</w:t>
      </w:r>
    </w:p>
    <w:p>
      <w:pPr>
        <w:pStyle w:val="Heading2"/>
        <w:keepNext/>
      </w:pPr>
      <w:r>
        <w:rPr>
          <w:rFonts w:ascii="Arial" w:cs="Arial" w:eastAsia="Arial" w:hAnsi="Arial"/>
        </w:rPr>
        <w:t xml:space="preserve">7.1 What real company financials look like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61"/>
        <w:gridCol w:w="900"/>
        <w:gridCol w:w="1585"/>
        <w:gridCol w:w="1658"/>
        <w:gridCol w:w="2176"/>
      </w:tblGrid>
      <w:tr>
        <w:trPr>
          <w:cantSplit/>
          <w:tblHeader/>
        </w:trPr>
        <w:tc>
          <w:tcPr>
            <w:tcW w:type="dxa" w:w="376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Company</w:t>
            </w:r>
          </w:p>
        </w:tc>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Revenue</w:t>
            </w:r>
          </w:p>
        </w:tc>
        <w:tc>
          <w:tcPr>
            <w:tcW w:type="dxa" w:w="158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Gross profit rate</w:t>
            </w:r>
          </w:p>
        </w:tc>
        <w:tc>
          <w:tcPr>
            <w:tcW w:type="dxa" w:w="165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Marketing spend</w:t>
            </w:r>
          </w:p>
        </w:tc>
        <w:tc>
          <w:tcPr>
            <w:tcW w:type="dxa" w:w="217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Net profit</w:t>
            </w:r>
          </w:p>
        </w:tc>
      </w:tr>
      <w:tr>
        <w:trPr>
          <w:cantSplit/>
        </w:trPr>
        <w:tc>
          <w:tcPr>
            <w:tcW w:type="dxa" w:w="37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FIGS (US clothing, 2025)</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$631M</w:t>
            </w:r>
          </w:p>
        </w:tc>
        <w:tc>
          <w:tcPr>
            <w:tcW w:type="dxa" w:w="158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66.5%</w:t>
            </w:r>
          </w:p>
        </w:tc>
        <w:tc>
          <w:tcPr>
            <w:tcW w:type="dxa" w:w="16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14.8% of revenue</w:t>
            </w:r>
          </w:p>
        </w:tc>
        <w:tc>
          <w:tcPr>
            <w:tcW w:type="dxa" w:w="21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5.4% net</w:t>
            </w:r>
          </w:p>
        </w:tc>
      </w:tr>
      <w:tr>
        <w:trPr>
          <w:cantSplit/>
        </w:trPr>
        <w:tc>
          <w:tcPr>
            <w:tcW w:type="dxa" w:w="37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Hims &amp; Hers (US health, 2025)</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$2.3B</w:t>
            </w:r>
          </w:p>
        </w:tc>
        <w:tc>
          <w:tcPr>
            <w:tcW w:type="dxa" w:w="158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74%</w:t>
            </w:r>
          </w:p>
        </w:tc>
        <w:tc>
          <w:tcPr>
            <w:tcW w:type="dxa" w:w="16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39% of revenue</w:t>
            </w:r>
          </w:p>
        </w:tc>
        <w:tc>
          <w:tcPr>
            <w:tcW w:type="dxa" w:w="217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5.5% net</w:t>
            </w:r>
          </w:p>
        </w:tc>
      </w:tr>
      <w:tr>
        <w:trPr>
          <w:cantSplit/>
        </w:trPr>
        <w:tc>
          <w:tcPr>
            <w:tcW w:type="dxa" w:w="37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Temple &amp; Webster (AU home goods, 2026)</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A$665M</w:t>
            </w:r>
          </w:p>
        </w:tc>
        <w:tc>
          <w:tcPr>
            <w:tcW w:type="dxa" w:w="158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30.2%</w:t>
            </w:r>
          </w:p>
        </w:tc>
        <w:tc>
          <w:tcPr>
            <w:tcW w:type="dxa" w:w="16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15.2% of revenue</w:t>
            </w:r>
          </w:p>
        </w:tc>
        <w:tc>
          <w:tcPr>
            <w:tcW w:type="dxa" w:w="217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3.3% operating profit</w:t>
            </w:r>
          </w:p>
        </w:tc>
      </w:tr>
    </w:tbl>
    <w:p>
      <w:pPr>
        <w:spacing w:after="120" w:before="0"/>
      </w:pPr>
    </w:p>
    <w:p>
      <w:r>
        <w:rPr>
          <w:rFonts w:ascii="Arial" w:cs="Arial" w:eastAsia="Arial" w:hAnsi="Arial"/>
          <w:sz w:val="20"/>
          <w:szCs w:val="20"/>
        </w:rPr>
        <w:t xml:space="preserve">Even at large scale with strong gross margins, DTC brands make only about 5% net profit. The ones that survive are built on repeat customers. At Temple &amp; Webster, 62% of orders in their latest year came from repeat customers.</w:t>
      </w:r>
    </w:p>
    <w:p>
      <w:pPr>
        <w:pStyle w:val="Heading2"/>
        <w:keepNext/>
      </w:pPr>
      <w:r>
        <w:rPr>
          <w:rFonts w:ascii="Arial" w:cs="Arial" w:eastAsia="Arial" w:hAnsi="Arial"/>
        </w:rPr>
        <w:t xml:space="preserve">7.2 Profit per order by product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1282"/>
        <w:gridCol w:w="900"/>
        <w:gridCol w:w="1780"/>
        <w:gridCol w:w="1948"/>
        <w:gridCol w:w="1495"/>
        <w:gridCol w:w="1567"/>
      </w:tblGrid>
      <w:tr>
        <w:trPr>
          <w:cantSplit/>
          <w:tblHeader/>
        </w:trPr>
        <w:tc>
          <w:tcPr>
            <w:tcW w:type="dxa" w:w="110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128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Average order size</w:t>
            </w:r>
          </w:p>
        </w:tc>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Gross margin</w:t>
            </w:r>
          </w:p>
        </w:tc>
        <w:tc>
          <w:tcPr>
            <w:tcW w:type="dxa" w:w="178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Shipping and payment fees</w:t>
            </w:r>
          </w:p>
        </w:tc>
        <w:tc>
          <w:tcPr>
            <w:tcW w:type="dxa" w:w="194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Average ad cost per purchase</w:t>
            </w:r>
          </w:p>
        </w:tc>
        <w:tc>
          <w:tcPr>
            <w:tcW w:type="dxa" w:w="149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Profit on first order</w:t>
            </w:r>
          </w:p>
        </w:tc>
        <w:tc>
          <w:tcPr>
            <w:tcW w:type="dxa" w:w="156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Profit on repeat order</w:t>
            </w:r>
          </w:p>
        </w:tc>
      </w:tr>
      <w:tr>
        <w:trPr>
          <w:cantSplit/>
        </w:trPr>
        <w:tc>
          <w:tcPr>
            <w:tcW w:type="dxa" w:w="11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Clothing</w:t>
            </w:r>
          </w:p>
        </w:tc>
        <w:tc>
          <w:tcPr>
            <w:tcW w:type="dxa" w:w="12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$103.37</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60%</w:t>
            </w:r>
          </w:p>
        </w:tc>
        <w:tc>
          <w:tcPr>
            <w:tcW w:type="dxa" w:w="17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w:t>
            </w:r>
          </w:p>
        </w:tc>
        <w:tc>
          <w:tcPr>
            <w:tcW w:type="dxa" w:w="19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$39.24</w:t>
            </w:r>
          </w:p>
        </w:tc>
        <w:tc>
          <w:tcPr>
            <w:tcW w:type="dxa" w:w="149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$7.27</w:t>
            </w:r>
          </w:p>
        </w:tc>
        <w:tc>
          <w:tcPr>
            <w:tcW w:type="dxa" w:w="156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$46.51</w:t>
            </w:r>
          </w:p>
        </w:tc>
      </w:tr>
      <w:tr>
        <w:trPr>
          <w:cantSplit/>
        </w:trPr>
        <w:tc>
          <w:tcPr>
            <w:tcW w:type="dxa" w:w="11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w:t>
            </w:r>
          </w:p>
        </w:tc>
        <w:tc>
          <w:tcPr>
            <w:tcW w:type="dxa" w:w="12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$68.29</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72%</w:t>
            </w:r>
          </w:p>
        </w:tc>
        <w:tc>
          <w:tcPr>
            <w:tcW w:type="dxa" w:w="17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w:t>
            </w:r>
          </w:p>
        </w:tc>
        <w:tc>
          <w:tcPr>
            <w:tcW w:type="dxa" w:w="19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$33.44</w:t>
            </w:r>
          </w:p>
        </w:tc>
        <w:tc>
          <w:tcPr>
            <w:tcW w:type="dxa" w:w="149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$5.49</w:t>
            </w:r>
          </w:p>
        </w:tc>
        <w:tc>
          <w:tcPr>
            <w:tcW w:type="dxa" w:w="156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$38.93</w:t>
            </w:r>
          </w:p>
        </w:tc>
      </w:tr>
      <w:tr>
        <w:trPr>
          <w:cantSplit/>
        </w:trPr>
        <w:tc>
          <w:tcPr>
            <w:tcW w:type="dxa" w:w="11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Supplements</w:t>
            </w:r>
          </w:p>
        </w:tc>
        <w:tc>
          <w:tcPr>
            <w:tcW w:type="dxa" w:w="12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$71.26</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72%</w:t>
            </w:r>
          </w:p>
        </w:tc>
        <w:tc>
          <w:tcPr>
            <w:tcW w:type="dxa" w:w="17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w:t>
            </w:r>
          </w:p>
        </w:tc>
        <w:tc>
          <w:tcPr>
            <w:tcW w:type="dxa" w:w="19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$44.81</w:t>
            </w:r>
          </w:p>
        </w:tc>
        <w:tc>
          <w:tcPr>
            <w:tcW w:type="dxa" w:w="149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−$3.48 (a loss)</w:t>
            </w:r>
          </w:p>
        </w:tc>
        <w:tc>
          <w:tcPr>
            <w:tcW w:type="dxa" w:w="156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$41.33</w:t>
            </w:r>
          </w:p>
        </w:tc>
      </w:tr>
      <w:tr>
        <w:trPr>
          <w:cantSplit/>
        </w:trPr>
        <w:tc>
          <w:tcPr>
            <w:tcW w:type="dxa" w:w="11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c>
          <w:tcPr>
            <w:tcW w:type="dxa" w:w="12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$69.87</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45%</w:t>
            </w:r>
          </w:p>
        </w:tc>
        <w:tc>
          <w:tcPr>
            <w:tcW w:type="dxa" w:w="17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w:t>
            </w:r>
          </w:p>
        </w:tc>
        <w:tc>
          <w:tcPr>
            <w:tcW w:type="dxa" w:w="19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$28.96</w:t>
            </w:r>
          </w:p>
        </w:tc>
        <w:tc>
          <w:tcPr>
            <w:tcW w:type="dxa" w:w="149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−$11.49 (a loss)</w:t>
            </w:r>
          </w:p>
        </w:tc>
        <w:tc>
          <w:tcPr>
            <w:tcW w:type="dxa" w:w="156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$17.47</w:t>
            </w:r>
          </w:p>
        </w:tc>
      </w:tr>
      <w:tr>
        <w:trPr>
          <w:cantSplit/>
        </w:trPr>
        <w:tc>
          <w:tcPr>
            <w:tcW w:type="dxa" w:w="11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Pet</w:t>
            </w:r>
          </w:p>
        </w:tc>
        <w:tc>
          <w:tcPr>
            <w:tcW w:type="dxa" w:w="12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$69.95</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w:t>
            </w:r>
          </w:p>
        </w:tc>
        <w:tc>
          <w:tcPr>
            <w:tcW w:type="dxa" w:w="17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18%</w:t>
            </w:r>
          </w:p>
        </w:tc>
        <w:tc>
          <w:tcPr>
            <w:tcW w:type="dxa" w:w="19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$32.68</w:t>
            </w:r>
          </w:p>
        </w:tc>
        <w:tc>
          <w:tcPr>
            <w:tcW w:type="dxa" w:w="149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−$10.29 (a loss)</w:t>
            </w:r>
          </w:p>
        </w:tc>
        <w:tc>
          <w:tcPr>
            <w:tcW w:type="dxa" w:w="156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$22.39</w:t>
            </w:r>
          </w:p>
        </w:tc>
      </w:tr>
    </w:tbl>
    <w:p>
      <w:pPr>
        <w:spacing w:after="120" w:before="0"/>
      </w:pPr>
    </w:p>
    <w:p>
      <w:pPr>
        <w:spacing w:after="160" w:before="0"/>
      </w:pPr>
      <w:r>
        <w:rPr>
          <w:rFonts w:ascii="Arial" w:cs="Arial" w:eastAsia="Arial" w:hAnsi="Arial"/>
          <w:i/>
          <w:iCs/>
          <w:color w:val="5B6573"/>
          <w:sz w:val="16"/>
          <w:szCs w:val="16"/>
        </w:rPr>
        <w:t xml:space="preserve">Order sizes and ad costs are from Triple Whale's real customer data, US DTC brands, mid-2026. Margins and fee rates are our planning estimates, replace with each brand's real numbers during a discovery call.</w:t>
      </w:r>
    </w:p>
    <w:p>
      <w:pPr>
        <w:pStyle w:val="Heading2"/>
        <w:keepNext/>
      </w:pPr>
      <w:r>
        <w:rPr>
          <w:rFonts w:ascii="Arial" w:cs="Arial" w:eastAsia="Arial" w:hAnsi="Arial"/>
        </w:rPr>
        <w:t xml:space="preserve">7.3 How profit builds over time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7"/>
          <w:szCs w:val="17"/>
        </w:rPr>
        <w:t xml:space="preserve">  PROFIT ACCUMULATED PER CUSTOMER (each bar block ≈ $5; negative means a loss)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After 1st order      After 3rd order</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Clothing        █  $7                ████████████████████  $100</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Beauty          █  $5                █████████████████  $83</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Supplements     (loss) −$3           ████████████████  $79</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Pet             (loss) −$10          ███████  $34</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7"/>
          <w:szCs w:val="17"/>
        </w:rPr>
        <w:t xml:space="preserve">  Food &amp; drink    (loss) −$11          █████  $23</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0"/>
        <w:gridCol w:w="2322"/>
        <w:gridCol w:w="2073"/>
        <w:gridCol w:w="2322"/>
        <w:gridCol w:w="2073"/>
      </w:tblGrid>
      <w:tr>
        <w:trPr>
          <w:cantSplit/>
          <w:tblHeader/>
        </w:trPr>
        <w:tc>
          <w:tcPr>
            <w:tcW w:type="dxa" w:w="129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232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Expected orders in 12 months</w:t>
            </w:r>
          </w:p>
        </w:tc>
        <w:tc>
          <w:tcPr>
            <w:tcW w:type="dxa" w:w="207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Total profit at 12 months</w:t>
            </w:r>
          </w:p>
        </w:tc>
        <w:tc>
          <w:tcPr>
            <w:tcW w:type="dxa" w:w="232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Expected orders in 24 months</w:t>
            </w:r>
          </w:p>
        </w:tc>
        <w:tc>
          <w:tcPr>
            <w:tcW w:type="dxa" w:w="207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Total profit at 24 months</w:t>
            </w:r>
          </w:p>
        </w:tc>
      </w:tr>
      <w:tr>
        <w:trPr>
          <w:cantSplit/>
        </w:trPr>
        <w:tc>
          <w:tcPr>
            <w:tcW w:type="dxa" w:w="129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Clothing</w:t>
            </w:r>
          </w:p>
        </w:tc>
        <w:tc>
          <w:tcPr>
            <w:tcW w:type="dxa" w:w="23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w:t>
            </w:r>
          </w:p>
        </w:tc>
        <w:tc>
          <w:tcPr>
            <w:tcW w:type="dxa" w:w="20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$25.87</w:t>
            </w:r>
          </w:p>
        </w:tc>
        <w:tc>
          <w:tcPr>
            <w:tcW w:type="dxa" w:w="23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w:t>
            </w:r>
          </w:p>
        </w:tc>
        <w:tc>
          <w:tcPr>
            <w:tcW w:type="dxa" w:w="20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$39.83</w:t>
            </w:r>
          </w:p>
        </w:tc>
      </w:tr>
      <w:tr>
        <w:trPr>
          <w:cantSplit/>
        </w:trPr>
        <w:tc>
          <w:tcPr>
            <w:tcW w:type="dxa" w:w="129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w:t>
            </w:r>
          </w:p>
        </w:tc>
        <w:tc>
          <w:tcPr>
            <w:tcW w:type="dxa" w:w="23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1.6</w:t>
            </w:r>
          </w:p>
        </w:tc>
        <w:tc>
          <w:tcPr>
            <w:tcW w:type="dxa" w:w="207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$28.85</w:t>
            </w:r>
          </w:p>
        </w:tc>
        <w:tc>
          <w:tcPr>
            <w:tcW w:type="dxa" w:w="23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2.1</w:t>
            </w:r>
          </w:p>
        </w:tc>
        <w:tc>
          <w:tcPr>
            <w:tcW w:type="dxa" w:w="207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$48.31</w:t>
            </w:r>
          </w:p>
        </w:tc>
      </w:tr>
      <w:tr>
        <w:trPr>
          <w:cantSplit/>
        </w:trPr>
        <w:tc>
          <w:tcPr>
            <w:tcW w:type="dxa" w:w="129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Supplements</w:t>
            </w:r>
          </w:p>
        </w:tc>
        <w:tc>
          <w:tcPr>
            <w:tcW w:type="dxa" w:w="23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2.2</w:t>
            </w:r>
          </w:p>
        </w:tc>
        <w:tc>
          <w:tcPr>
            <w:tcW w:type="dxa" w:w="20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$46.12</w:t>
            </w:r>
          </w:p>
        </w:tc>
        <w:tc>
          <w:tcPr>
            <w:tcW w:type="dxa" w:w="23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w:t>
            </w:r>
          </w:p>
        </w:tc>
        <w:tc>
          <w:tcPr>
            <w:tcW w:type="dxa" w:w="20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$79.18</w:t>
            </w:r>
          </w:p>
        </w:tc>
      </w:tr>
      <w:tr>
        <w:trPr>
          <w:cantSplit/>
        </w:trPr>
        <w:tc>
          <w:tcPr>
            <w:tcW w:type="dxa" w:w="129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c>
          <w:tcPr>
            <w:tcW w:type="dxa" w:w="23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w:t>
            </w:r>
          </w:p>
        </w:tc>
        <w:tc>
          <w:tcPr>
            <w:tcW w:type="dxa" w:w="207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$5.98</w:t>
            </w:r>
          </w:p>
        </w:tc>
        <w:tc>
          <w:tcPr>
            <w:tcW w:type="dxa" w:w="23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2.8</w:t>
            </w:r>
          </w:p>
        </w:tc>
        <w:tc>
          <w:tcPr>
            <w:tcW w:type="dxa" w:w="207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$19.96</w:t>
            </w:r>
          </w:p>
        </w:tc>
      </w:tr>
      <w:tr>
        <w:trPr>
          <w:cantSplit/>
        </w:trPr>
        <w:tc>
          <w:tcPr>
            <w:tcW w:type="dxa" w:w="129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Pet</w:t>
            </w:r>
          </w:p>
        </w:tc>
        <w:tc>
          <w:tcPr>
            <w:tcW w:type="dxa" w:w="23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w:t>
            </w:r>
          </w:p>
        </w:tc>
        <w:tc>
          <w:tcPr>
            <w:tcW w:type="dxa" w:w="20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$18.82</w:t>
            </w:r>
          </w:p>
        </w:tc>
        <w:tc>
          <w:tcPr>
            <w:tcW w:type="dxa" w:w="23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3.3</w:t>
            </w:r>
          </w:p>
        </w:tc>
        <w:tc>
          <w:tcPr>
            <w:tcW w:type="dxa" w:w="207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$41.21</w:t>
            </w:r>
          </w:p>
        </w:tc>
      </w:tr>
    </w:tbl>
    <w:p>
      <w:pPr>
        <w:spacing w:after="120" w:before="0"/>
      </w:pPr>
    </w:p>
    <w:p>
      <w:pPr>
        <w:spacing w:after="160" w:before="0"/>
      </w:pPr>
      <w:r>
        <w:rPr>
          <w:rFonts w:ascii="Arial" w:cs="Arial" w:eastAsia="Arial" w:hAnsi="Arial"/>
          <w:i/>
          <w:iCs/>
          <w:color w:val="5B6573"/>
          <w:sz w:val="16"/>
          <w:szCs w:val="16"/>
        </w:rPr>
        <w:t xml:space="preserve">Expected order counts are planning estimates. Use each brand's real data when available.</w:t>
      </w:r>
    </w:p>
    <w:p>
      <w:r>
        <w:rPr>
          <w:rFonts w:ascii="Arial" w:cs="Arial" w:eastAsia="Arial" w:hAnsi="Arial"/>
          <w:sz w:val="20"/>
          <w:szCs w:val="20"/>
        </w:rPr>
        <w:t xml:space="preserve">Supplements has the best economics. Even though the first order loses money, the 30-day reorder cycle quickly turns it positive. Food makes very little per sale at every stage, which is why it needs frequency and bigger basket sizes to work.</w:t>
      </w:r>
    </w:p>
    <w:p>
      <w:pPr>
        <w:pStyle w:val="Heading2"/>
        <w:keepNext/>
      </w:pPr>
      <w:r>
        <w:rPr>
          <w:rFonts w:ascii="Arial" w:cs="Arial" w:eastAsia="Arial" w:hAnsi="Arial"/>
        </w:rPr>
        <w:t xml:space="preserve">7.4 How many extra repeat orders do our services need to generate?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10"/>
        <w:gridCol w:w="1790"/>
        <w:gridCol w:w="2334"/>
        <w:gridCol w:w="2334"/>
        <w:gridCol w:w="2412"/>
      </w:tblGrid>
      <w:tr>
        <w:trPr>
          <w:cantSplit/>
          <w:tblHeader/>
        </w:trPr>
        <w:tc>
          <w:tcPr>
            <w:tcW w:type="dxa" w:w="121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179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Profit per repeat order</w:t>
            </w:r>
          </w:p>
        </w:tc>
        <w:tc>
          <w:tcPr>
            <w:tcW w:type="dxa" w:w="233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 pay for Lhotse at $3,000/mo</w:t>
            </w:r>
          </w:p>
        </w:tc>
        <w:tc>
          <w:tcPr>
            <w:tcW w:type="dxa" w:w="233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 pay for Lhotse at $5,500/mo</w:t>
            </w:r>
          </w:p>
        </w:tc>
        <w:tc>
          <w:tcPr>
            <w:tcW w:type="dxa" w:w="241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 pay for Ascent ($5,000 once)</w:t>
            </w:r>
          </w:p>
        </w:tc>
      </w:tr>
      <w:tr>
        <w:trPr>
          <w:cantSplit/>
        </w:trPr>
        <w:tc>
          <w:tcPr>
            <w:tcW w:type="dxa" w:w="12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Clothing</w:t>
            </w:r>
          </w:p>
        </w:tc>
        <w:tc>
          <w:tcPr>
            <w:tcW w:type="dxa" w:w="179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$46.51</w:t>
            </w:r>
          </w:p>
        </w:tc>
        <w:tc>
          <w:tcPr>
            <w:tcW w:type="dxa" w:w="23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65 extra orders/month</w:t>
            </w:r>
          </w:p>
        </w:tc>
        <w:tc>
          <w:tcPr>
            <w:tcW w:type="dxa" w:w="23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119 extra orders/month</w:t>
            </w:r>
          </w:p>
        </w:tc>
        <w:tc>
          <w:tcPr>
            <w:tcW w:type="dxa" w:w="241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108 extra orders total</w:t>
            </w:r>
          </w:p>
        </w:tc>
      </w:tr>
      <w:tr>
        <w:trPr>
          <w:cantSplit/>
        </w:trPr>
        <w:tc>
          <w:tcPr>
            <w:tcW w:type="dxa" w:w="12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w:t>
            </w:r>
          </w:p>
        </w:tc>
        <w:tc>
          <w:tcPr>
            <w:tcW w:type="dxa" w:w="179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$38.93</w:t>
            </w:r>
          </w:p>
        </w:tc>
        <w:tc>
          <w:tcPr>
            <w:tcW w:type="dxa" w:w="23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78</w:t>
            </w:r>
          </w:p>
        </w:tc>
        <w:tc>
          <w:tcPr>
            <w:tcW w:type="dxa" w:w="23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142</w:t>
            </w:r>
          </w:p>
        </w:tc>
        <w:tc>
          <w:tcPr>
            <w:tcW w:type="dxa" w:w="241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129</w:t>
            </w:r>
          </w:p>
        </w:tc>
      </w:tr>
      <w:tr>
        <w:trPr>
          <w:cantSplit/>
        </w:trPr>
        <w:tc>
          <w:tcPr>
            <w:tcW w:type="dxa" w:w="12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Supplements</w:t>
            </w:r>
          </w:p>
        </w:tc>
        <w:tc>
          <w:tcPr>
            <w:tcW w:type="dxa" w:w="179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$41.33</w:t>
            </w:r>
          </w:p>
        </w:tc>
        <w:tc>
          <w:tcPr>
            <w:tcW w:type="dxa" w:w="23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73</w:t>
            </w:r>
          </w:p>
        </w:tc>
        <w:tc>
          <w:tcPr>
            <w:tcW w:type="dxa" w:w="23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134</w:t>
            </w:r>
          </w:p>
        </w:tc>
        <w:tc>
          <w:tcPr>
            <w:tcW w:type="dxa" w:w="241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121</w:t>
            </w:r>
          </w:p>
        </w:tc>
      </w:tr>
      <w:tr>
        <w:trPr>
          <w:cantSplit/>
        </w:trPr>
        <w:tc>
          <w:tcPr>
            <w:tcW w:type="dxa" w:w="121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c>
          <w:tcPr>
            <w:tcW w:type="dxa" w:w="179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$17.47</w:t>
            </w:r>
          </w:p>
        </w:tc>
        <w:tc>
          <w:tcPr>
            <w:tcW w:type="dxa" w:w="23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172</w:t>
            </w:r>
          </w:p>
        </w:tc>
        <w:tc>
          <w:tcPr>
            <w:tcW w:type="dxa" w:w="23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315</w:t>
            </w:r>
          </w:p>
        </w:tc>
        <w:tc>
          <w:tcPr>
            <w:tcW w:type="dxa" w:w="241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287</w:t>
            </w:r>
          </w:p>
        </w:tc>
      </w:tr>
      <w:tr>
        <w:trPr>
          <w:cantSplit/>
        </w:trPr>
        <w:tc>
          <w:tcPr>
            <w:tcW w:type="dxa" w:w="121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Pet</w:t>
            </w:r>
          </w:p>
        </w:tc>
        <w:tc>
          <w:tcPr>
            <w:tcW w:type="dxa" w:w="179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$22.39</w:t>
            </w:r>
          </w:p>
        </w:tc>
        <w:tc>
          <w:tcPr>
            <w:tcW w:type="dxa" w:w="23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134</w:t>
            </w:r>
          </w:p>
        </w:tc>
        <w:tc>
          <w:tcPr>
            <w:tcW w:type="dxa" w:w="23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246</w:t>
            </w:r>
          </w:p>
        </w:tc>
        <w:tc>
          <w:tcPr>
            <w:tcW w:type="dxa" w:w="241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224</w:t>
            </w:r>
          </w:p>
        </w:tc>
      </w:tr>
    </w:tbl>
    <w:p>
      <w:pPr>
        <w:spacing w:after="120" w:before="0"/>
      </w:pPr>
    </w:p>
    <w:p>
      <w:r>
        <w:rPr>
          <w:rFonts w:ascii="Arial" w:cs="Arial" w:eastAsia="Arial" w:hAnsi="Arial"/>
          <w:b/>
          <w:bCs/>
          <w:sz w:val="20"/>
          <w:szCs w:val="20"/>
        </w:rPr>
        <w:t xml:space="preserve">In perspective:</w:t>
      </w:r>
      <w:r>
        <w:rPr>
          <w:rFonts w:ascii="Arial" w:cs="Arial" w:eastAsia="Arial" w:hAnsi="Arial"/>
          <w:sz w:val="20"/>
          <w:szCs w:val="20"/>
        </w:rPr>
        <w:t xml:space="preserve"> A $5M beauty brand does about 6,100 orders per month. Lhotse needs 78–142 of those to be extra orders it generated, that is only 1.3–2.3%. A $5M food brand does about 5,960 orders and needs 172–315 extra, 2.9–5.3%. That is harder to hit, which is why food brands need higher revenue before we take them on, and why we always use holdout tests to prove the numbers in low-margin product types.</w:t>
      </w:r>
    </w:p>
    <w:p>
      <w:pPr>
        <w:pStyle w:val="Heading2"/>
        <w:keepNext/>
      </w:pPr>
      <w:r>
        <w:rPr>
          <w:rFonts w:ascii="Arial" w:cs="Arial" w:eastAsia="Arial" w:hAnsi="Arial"/>
        </w:rPr>
        <w:t xml:space="preserve">7.5 The levers that move the model</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6"/>
        <w:gridCol w:w="4032"/>
        <w:gridCol w:w="4032"/>
      </w:tblGrid>
      <w:tr>
        <w:trPr>
          <w:cantSplit/>
          <w:tblHeader/>
        </w:trPr>
        <w:tc>
          <w:tcPr>
            <w:tcW w:type="dxa" w:w="201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changes</w:t>
            </w:r>
          </w:p>
        </w:tc>
        <w:tc>
          <w:tcPr>
            <w:tcW w:type="dxa" w:w="403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The change</w:t>
            </w:r>
          </w:p>
        </w:tc>
        <w:tc>
          <w:tcPr>
            <w:tcW w:type="dxa" w:w="403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Effect on a beauty brand</w:t>
            </w:r>
          </w:p>
        </w:tc>
      </w:tr>
      <w:tr>
        <w:trPr>
          <w:cantSplit/>
        </w:trPr>
        <w:tc>
          <w:tcPr>
            <w:tcW w:type="dxa" w:w="20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More customers come back</w:t>
            </w:r>
          </w:p>
        </w:tc>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Repeat rate goes from 25% to 30%</w:t>
            </w:r>
          </w:p>
        </w:tc>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20% more repeat orders</w:t>
            </w:r>
          </w:p>
        </w:tc>
      </w:tr>
      <w:tr>
        <w:trPr>
          <w:cantSplit/>
        </w:trPr>
        <w:tc>
          <w:tcPr>
            <w:tcW w:type="dxa" w:w="20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Bigger repeat orders</w:t>
            </w:r>
          </w:p>
        </w:tc>
        <w:tc>
          <w:tcPr>
            <w:tcW w:type="dxa" w:w="40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Average order value rises 10% through bundles</w:t>
            </w:r>
          </w:p>
        </w:tc>
        <w:tc>
          <w:tcPr>
            <w:tcW w:type="dxa" w:w="40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Profit per repeat order goes from $38.93 to about $43.85</w:t>
            </w:r>
          </w:p>
        </w:tc>
      </w:tr>
      <w:tr>
        <w:trPr>
          <w:cantSplit/>
        </w:trPr>
        <w:tc>
          <w:tcPr>
            <w:tcW w:type="dxa" w:w="20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Faster reorders</w:t>
            </w:r>
          </w:p>
        </w:tc>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Reminder email sent at day 38 instead of day 45 for a 40-day product</w:t>
            </w:r>
          </w:p>
        </w:tc>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Catches buyers before they switch to a competitor</w:t>
            </w:r>
          </w:p>
        </w:tc>
      </w:tr>
      <w:tr>
        <w:trPr>
          <w:cantSplit/>
        </w:trPr>
        <w:tc>
          <w:tcPr>
            <w:tcW w:type="dxa" w:w="20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Unnecessary discounts</w:t>
            </w:r>
          </w:p>
        </w:tc>
        <w:tc>
          <w:tcPr>
            <w:tcW w:type="dxa" w:w="40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20% off every repeat order</w:t>
            </w:r>
          </w:p>
        </w:tc>
        <w:tc>
          <w:tcPr>
            <w:tcW w:type="dxa" w:w="40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Profit per order falls from $38.93 to $25.27, a 35% drop</w:t>
            </w:r>
          </w:p>
        </w:tc>
      </w:tr>
    </w:tbl>
    <w:p>
      <w:pPr>
        <w:spacing w:after="120" w:before="0"/>
      </w:pPr>
    </w:p>
    <w:p>
      <w:r>
        <w:rPr>
          <w:rFonts w:ascii="Arial" w:cs="Arial" w:eastAsia="Arial" w:hAnsi="Arial"/>
          <w:sz w:val="20"/>
          <w:szCs w:val="20"/>
        </w:rPr>
        <w:t xml:space="preserve">Many brands automatically put a 15–20% discount code in every email out of habit. On a $68 beauty order, 20% off takes away $13.66 of revenue while the product cost and shipping stay the same. Saving discounts for win-back campaigns, first-order conversion, and Black Friday, and using education and reviews everywhere else, can add more profit than building any new email sequence.</w:t>
      </w:r>
    </w:p>
    <w:p>
      <w:r>
        <w:rPr>
          <w:rFonts w:ascii="Arial" w:cs="Arial" w:eastAsia="Arial" w:hAnsi="Arial"/>
          <w:b/>
          <w:bCs/>
          <w:sz w:val="20"/>
          <w:szCs w:val="20"/>
        </w:rPr>
        <w:t xml:space="preserve">In sales conversations:</w:t>
      </w:r>
      <w:r>
        <w:rPr>
          <w:rFonts w:ascii="Arial" w:cs="Arial" w:eastAsia="Arial" w:hAnsi="Arial"/>
          <w:sz w:val="20"/>
          <w:szCs w:val="20"/>
        </w:rPr>
        <w:t xml:space="preserve"> Rebuild this model live on every discovery call using the prospect's real numbers. When their own spreadsheet shows that Lhotse only needs 1–3% of their monthly orders to be incremental, the "too expensive" objection usually goes away.</w:t>
      </w:r>
    </w:p>
    <w:p>
      <w:pPr>
        <w:pStyle w:val="Heading1"/>
        <w:keepNext/>
      </w:pPr>
      <w:r>
        <w:rPr>
          <w:rFonts w:ascii="Arial" w:cs="Arial" w:eastAsia="Arial" w:hAnsi="Arial"/>
        </w:rPr>
        <w:t xml:space="preserve">8. When to Sell (the Business Calendar)</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Brands pay for their holiday-season stock in summer, so they are most cash-strapped in August and September, and have the most cash available in January and February. This cycle, more than any marketing calendar, decides when a founder will sign a retainer contract. Sell Lhotse when budgets reset and cash returns. Sell Ascent's quick, low-risk fixes when pressure is high. Never pitch a new retainer in the weeks before Black Friday.</w:t>
      </w:r>
    </w:p>
    <w:p>
      <w:pPr>
        <w:pStyle w:val="Heading2"/>
        <w:keepNext/>
      </w:pPr>
      <w:r>
        <w:rPr>
          <w:rFonts w:ascii="Arial" w:cs="Arial" w:eastAsia="Arial" w:hAnsi="Arial"/>
        </w:rPr>
        <w:t xml:space="preserve">8.1 The inventory money cycle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6"/>
          <w:szCs w:val="16"/>
        </w:rPr>
        <w:t xml:space="preserve">  MAY–JUN      JUNE         LATE JUN        SEP                OCT–NOV       DEC          JAN</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Predict ──► Order ──►  30% deposit ──►  70% balance ──►  Stock arrives ─► Revenue ──► Returns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Q4 demand   products   paid to factory   paid when          at warehouse   peaks        land</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stock ships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 CASH GOING OUT FAST                              ▲ CASH COMING IN</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6"/>
          <w:szCs w:val="16"/>
        </w:rPr>
        <w:t xml:space="preserve">                         Worst time to ask for a retainer                   Best time to pitch</w:t>
      </w:r>
    </w:p>
    <w:p>
      <w:r>
        <w:rPr>
          <w:rFonts w:ascii="Arial" w:cs="Arial" w:eastAsia="Arial" w:hAnsi="Arial"/>
          <w:sz w:val="20"/>
          <w:szCs w:val="20"/>
        </w:rPr>
        <w:t xml:space="preserve">This cash timing gives Ascent a useful argument in the fall: </w:t>
      </w:r>
      <w:r>
        <w:rPr>
          <w:rFonts w:ascii="Arial" w:cs="Arial" w:eastAsia="Arial" w:hAnsi="Arial"/>
          <w:i/>
          <w:iCs/>
          <w:sz w:val="20"/>
          <w:szCs w:val="20"/>
        </w:rPr>
        <w:t xml:space="preserve">every order lost to the spam folder is inventory you have already paid for and cannot afford to lose now.</w:t>
      </w:r>
    </w:p>
    <w:p>
      <w:pPr>
        <w:pStyle w:val="Heading2"/>
        <w:keepNext/>
      </w:pPr>
      <w:r>
        <w:rPr>
          <w:rFonts w:ascii="Arial" w:cs="Arial" w:eastAsia="Arial" w:hAnsi="Arial"/>
        </w:rPr>
        <w:t xml:space="preserve">8.2 Month-by-month guide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636"/>
        <w:gridCol w:w="2558"/>
        <w:gridCol w:w="900"/>
        <w:gridCol w:w="3086"/>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Month</w:t>
            </w:r>
          </w:p>
        </w:tc>
        <w:tc>
          <w:tcPr>
            <w:tcW w:type="dxa" w:w="263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Cash and inventory</w:t>
            </w:r>
          </w:p>
        </w:tc>
        <w:tc>
          <w:tcPr>
            <w:tcW w:type="dxa" w:w="255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brands are focused on</w:t>
            </w:r>
          </w:p>
        </w:tc>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Pitch window</w:t>
            </w:r>
          </w:p>
        </w:tc>
        <w:tc>
          <w:tcPr>
            <w:tcW w:type="dxa" w:w="308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GrowMailers does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January</w:t>
            </w:r>
          </w:p>
        </w:tc>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Returns arriving; new budgets just opened</w:t>
            </w:r>
          </w:p>
        </w:tc>
        <w:tc>
          <w:tcPr>
            <w:tcW w:type="dxa" w:w="25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Reviewing what peak taught them; resolutions (supplements surge)</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Best window.</w:t>
            </w:r>
            <w:r>
              <w:rPr>
                <w:rFonts w:ascii="Arial" w:cs="Arial" w:eastAsia="Arial" w:hAnsi="Arial"/>
                <w:sz w:val="16"/>
                <w:szCs w:val="16"/>
              </w:rPr>
              <w:t xml:space="preserve"> Pitch Lhotse using their peak data. Pitch Ascent to brands that had December problems.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February</w:t>
            </w:r>
          </w:p>
        </w:tc>
        <w:tc>
          <w:tcPr>
            <w:tcW w:type="dxa" w:w="2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Recovering financially</w:t>
            </w:r>
          </w:p>
        </w:tc>
        <w:tc>
          <w:tcPr>
            <w:tcW w:type="dxa" w:w="25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Valentine's Day; Mothering Sunday prep (UK/Ireland)</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starts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March</w:t>
            </w:r>
          </w:p>
        </w:tc>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Stable</w:t>
            </w:r>
          </w:p>
        </w:tc>
        <w:tc>
          <w:tcPr>
            <w:tcW w:type="dxa" w:w="25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Mothering Sunday (7 Mar); Easter preparation</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for US, Canada, non-gifting brands; Ascent everywhere</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April</w:t>
            </w:r>
          </w:p>
        </w:tc>
        <w:tc>
          <w:tcPr>
            <w:tcW w:type="dxa" w:w="2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Stable; UK tax year starts</w:t>
            </w:r>
          </w:p>
        </w:tc>
        <w:tc>
          <w:tcPr>
            <w:tcW w:type="dxa" w:w="25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Building toward Mother's Day</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Both services; Australian brands start planning EOFY</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May</w:t>
            </w:r>
          </w:p>
        </w:tc>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Forecasting Q4 inventory needs</w:t>
            </w:r>
          </w:p>
        </w:tc>
        <w:tc>
          <w:tcPr>
            <w:tcW w:type="dxa" w:w="25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Mother's Day (9 May); Australian EOFY prep</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Australian brands must be ready by early May</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June</w:t>
            </w:r>
          </w:p>
        </w:tc>
        <w:tc>
          <w:tcPr>
            <w:tcW w:type="dxa" w:w="2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Putting down Q4 deposits</w:t>
            </w:r>
          </w:p>
        </w:tc>
        <w:tc>
          <w:tcPr>
            <w:tcW w:type="dxa" w:w="25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Father's Day; Australian EOFY sales</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Second window:</w:t>
            </w:r>
            <w:r>
              <w:rPr>
                <w:rFonts w:ascii="Arial" w:cs="Arial" w:eastAsia="Arial" w:hAnsi="Arial"/>
                <w:sz w:val="16"/>
                <w:szCs w:val="16"/>
              </w:rPr>
              <w:t xml:space="preserve"> pitch Black Friday readiness</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July</w:t>
            </w:r>
          </w:p>
        </w:tc>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Getting tighter; stock in transit</w:t>
            </w:r>
          </w:p>
        </w:tc>
        <w:tc>
          <w:tcPr>
            <w:tcW w:type="dxa" w:w="25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Amazon Prime Day; back-to-school</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starts still have time to be peak-ready; Ascent domain projects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August</w:t>
            </w:r>
          </w:p>
        </w:tc>
        <w:tc>
          <w:tcPr>
            <w:tcW w:type="dxa" w:w="2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Tight; stock on ships</w:t>
            </w:r>
          </w:p>
        </w:tc>
        <w:tc>
          <w:tcPr>
            <w:tcW w:type="dxa" w:w="25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planning and audits start</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first; last chance for Lhotse to be fully ready for peak</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September</w:t>
            </w:r>
          </w:p>
        </w:tc>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Worst cash moment</w:t>
            </w:r>
          </w:p>
        </w:tc>
        <w:tc>
          <w:tcPr>
            <w:tcW w:type="dxa" w:w="25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Final creative and list preparation for peak</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Last call; new sending domains must start warming by mid-September</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October</w:t>
            </w:r>
          </w:p>
        </w:tc>
        <w:tc>
          <w:tcPr>
            <w:tcW w:type="dxa" w:w="2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Stock arriving; setup locks</w:t>
            </w:r>
          </w:p>
        </w:tc>
        <w:tc>
          <w:tcPr>
            <w:tcW w:type="dxa" w:w="25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Amazon Prime Big Deal Days; volume ramp-up</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Safe Ascent fixes only until about October 16</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November</w:t>
            </w:r>
          </w:p>
        </w:tc>
        <w:tc>
          <w:tcPr>
            <w:tcW w:type="dxa" w:w="26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Change freeze</w:t>
            </w:r>
          </w:p>
        </w:tc>
        <w:tc>
          <w:tcPr>
            <w:tcW w:type="dxa" w:w="25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and Cyber Monday</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pitching. Book January conversations.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December</w:t>
            </w:r>
          </w:p>
        </w:tc>
        <w:tc>
          <w:tcPr>
            <w:tcW w:type="dxa" w:w="26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Peak revenue arriving</w:t>
            </w:r>
          </w:p>
        </w:tc>
        <w:tc>
          <w:tcPr>
            <w:tcW w:type="dxa" w:w="25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Shipping cut-offs; Boxing Day</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Book January. December struggles feed January pitches.</w:t>
            </w:r>
          </w:p>
        </w:tc>
      </w:tr>
    </w:tbl>
    <w:p>
      <w:pPr>
        <w:spacing w:after="120" w:before="0"/>
      </w:pPr>
    </w:p>
    <w:p>
      <w:pPr>
        <w:pStyle w:val="Heading2"/>
        <w:keepNext/>
      </w:pPr>
      <w:r>
        <w:rPr>
          <w:rFonts w:ascii="Arial" w:cs="Arial" w:eastAsia="Arial" w:hAnsi="Arial"/>
        </w:rPr>
        <w:t xml:space="preserve">8.3 When budgets reset by country</w:t>
      </w:r>
    </w:p>
    <w:p>
      <w:r>
        <w:rPr>
          <w:rFonts w:ascii="Arial" w:cs="Arial" w:eastAsia="Arial" w:hAnsi="Arial"/>
          <w:sz w:val="20"/>
          <w:szCs w:val="20"/>
        </w:rPr>
        <w:t xml:space="preserve">The US and Canada mostly use a January–December budget year, so January is the best buying moment. Some UK and Irish brands reset budgets in April.</w:t>
      </w:r>
    </w:p>
    <w:p>
      <w:r>
        <w:rPr>
          <w:rFonts w:ascii="Arial" w:cs="Arial" w:eastAsia="Arial" w:hAnsi="Arial"/>
          <w:b/>
          <w:bCs/>
          <w:sz w:val="20"/>
          <w:szCs w:val="20"/>
        </w:rPr>
        <w:t xml:space="preserve">Australia runs a July–June financial year,</w:t>
      </w:r>
      <w:r>
        <w:rPr>
          <w:rFonts w:ascii="Arial" w:cs="Arial" w:eastAsia="Arial" w:hAnsi="Arial"/>
          <w:sz w:val="20"/>
          <w:szCs w:val="20"/>
        </w:rPr>
        <w:t xml:space="preserve"> giving two good selling windows: January–March and July–August after their financial year ends (EOFY = End of Financial Year). New Zealand often runs April–March.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66"/>
        <w:gridCol w:w="2749"/>
        <w:gridCol w:w="3665"/>
      </w:tblGrid>
      <w:tr>
        <w:trPr>
          <w:cantSplit/>
          <w:tblHeader/>
        </w:trPr>
        <w:tc>
          <w:tcPr>
            <w:tcW w:type="dxa" w:w="366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we observe in their emails</w:t>
            </w:r>
          </w:p>
        </w:tc>
        <w:tc>
          <w:tcPr>
            <w:tcW w:type="dxa" w:w="274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signals</w:t>
            </w:r>
          </w:p>
        </w:tc>
        <w:tc>
          <w:tcPr>
            <w:tcW w:type="dxa" w:w="366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we do</w:t>
            </w:r>
          </w:p>
        </w:tc>
      </w:tr>
      <w:tr>
        <w:trPr>
          <w:cantSplit/>
        </w:trPr>
        <w:tc>
          <w:tcPr>
            <w:tcW w:type="dxa" w:w="36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Heavy discounting in August and September emails</w:t>
            </w:r>
          </w:p>
        </w:tc>
        <w:tc>
          <w:tcPr>
            <w:tcW w:type="dxa" w:w="274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Too much stock or a cash squeeze</w:t>
            </w:r>
          </w:p>
        </w:tc>
        <w:tc>
          <w:tcPr>
            <w:tcW w:type="dxa" w:w="36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Lead with Ascent or profit protection; delay the Lhotse pitch</w:t>
            </w:r>
          </w:p>
        </w:tc>
      </w:tr>
      <w:tr>
        <w:trPr>
          <w:cantSplit/>
        </w:trPr>
        <w:tc>
          <w:tcPr>
            <w:tcW w:type="dxa" w:w="36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Pre-orders or "ships in 6 weeks" messages</w:t>
            </w:r>
          </w:p>
        </w:tc>
        <w:tc>
          <w:tcPr>
            <w:tcW w:type="dxa" w:w="274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Cash tied up in inventory</w:t>
            </w:r>
          </w:p>
        </w:tc>
        <w:tc>
          <w:tcPr>
            <w:tcW w:type="dxa" w:w="36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Low-commitment, value-first approach</w:t>
            </w:r>
          </w:p>
        </w:tc>
      </w:tr>
      <w:tr>
        <w:trPr>
          <w:cantSplit/>
        </w:trPr>
        <w:tc>
          <w:tcPr>
            <w:tcW w:type="dxa" w:w="36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Product launches and new job postings</w:t>
            </w:r>
          </w:p>
        </w:tc>
        <w:tc>
          <w:tcPr>
            <w:tcW w:type="dxa" w:w="274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Growth mode</w:t>
            </w:r>
          </w:p>
        </w:tc>
        <w:tc>
          <w:tcPr>
            <w:tcW w:type="dxa" w:w="36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framed as scaling what already works</w:t>
            </w:r>
          </w:p>
        </w:tc>
      </w:tr>
      <w:tr>
        <w:trPr>
          <w:cantSplit/>
        </w:trPr>
        <w:tc>
          <w:tcPr>
            <w:tcW w:type="dxa" w:w="36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Fundraising announcement</w:t>
            </w:r>
          </w:p>
        </w:tc>
        <w:tc>
          <w:tcPr>
            <w:tcW w:type="dxa" w:w="274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budget and pressure to grow fast</w:t>
            </w:r>
          </w:p>
        </w:tc>
        <w:tc>
          <w:tcPr>
            <w:tcW w:type="dxa" w:w="36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Scale with board-ready reporting</w:t>
            </w:r>
          </w:p>
        </w:tc>
      </w:tr>
      <w:tr>
        <w:trPr>
          <w:cantSplit/>
        </w:trPr>
        <w:tc>
          <w:tcPr>
            <w:tcW w:type="dxa" w:w="36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Founder posting about tariffs or ad costs</w:t>
            </w:r>
          </w:p>
        </w:tc>
        <w:tc>
          <w:tcPr>
            <w:tcW w:type="dxa" w:w="274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Profit pressure is top of mind</w:t>
            </w:r>
          </w:p>
        </w:tc>
        <w:tc>
          <w:tcPr>
            <w:tcW w:type="dxa" w:w="36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Lead with retention economics (Sections 3 and 8)</w:t>
            </w:r>
          </w:p>
        </w:tc>
      </w:tr>
    </w:tbl>
    <w:p>
      <w:pPr>
        <w:spacing w:after="120" w:before="0"/>
      </w:pPr>
    </w:p>
    <w:p>
      <w:pPr>
        <w:pStyle w:val="Heading1"/>
        <w:keepNext/>
      </w:pPr>
      <w:r>
        <w:rPr>
          <w:rFonts w:ascii="Arial" w:cs="Arial" w:eastAsia="Arial" w:hAnsi="Arial"/>
        </w:rPr>
        <w:t xml:space="preserve">9. How to Measure Whether Email Is Working</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Open rates have stopped being a useful measurement, because Apple automatically opens most emails whether or not a real person reads them. Judge an email program by click rate, purchase rate, revenue per email sent, and, most importantly, holdout-tested lift (testing whether email actually caused the purchase or the customer would have bought anyway). Healthy brands earn 20–30% of their website revenue from email and texts. Below 8%, there is basically no real email program.</w:t>
      </w:r>
    </w:p>
    <w:p>
      <w:pPr>
        <w:pStyle w:val="Heading2"/>
        <w:keepNext/>
      </w:pPr>
      <w:r>
        <w:rPr>
          <w:rFonts w:ascii="Arial" w:cs="Arial" w:eastAsia="Arial" w:hAnsi="Arial"/>
        </w:rPr>
        <w:t xml:space="preserve">9.1 How much revenue email should drive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8"/>
        <w:gridCol w:w="2831"/>
        <w:gridCol w:w="4531"/>
      </w:tblGrid>
      <w:tr>
        <w:trPr>
          <w:cantSplit/>
          <w:tblHeader/>
        </w:trPr>
        <w:tc>
          <w:tcPr>
            <w:tcW w:type="dxa" w:w="271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Email's share of website revenue</w:t>
            </w:r>
          </w:p>
        </w:tc>
        <w:tc>
          <w:tcPr>
            <w:tcW w:type="dxa" w:w="283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means</w:t>
            </w:r>
          </w:p>
        </w:tc>
        <w:tc>
          <w:tcPr>
            <w:tcW w:type="dxa" w:w="453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GrowMailers recommends</w:t>
            </w:r>
          </w:p>
        </w:tc>
      </w:tr>
      <w:tr>
        <w:trPr>
          <w:cantSplit/>
        </w:trPr>
        <w:tc>
          <w:tcPr>
            <w:tcW w:type="dxa" w:w="271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Under 8%</w:t>
            </w:r>
          </w:p>
        </w:tc>
        <w:tc>
          <w:tcPr>
            <w:tcW w:type="dxa" w:w="28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real program</w:t>
            </w:r>
          </w:p>
        </w:tc>
        <w:tc>
          <w:tcPr>
            <w:tcW w:type="dxa" w:w="45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Full Lhotse build, start with automated sequences</w:t>
            </w:r>
          </w:p>
        </w:tc>
      </w:tr>
      <w:tr>
        <w:trPr>
          <w:cantSplit/>
        </w:trPr>
        <w:tc>
          <w:tcPr>
            <w:tcW w:type="dxa" w:w="271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8–20%</w:t>
            </w:r>
          </w:p>
        </w:tc>
        <w:tc>
          <w:tcPr>
            <w:tcW w:type="dxa" w:w="28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Underdeveloped</w:t>
            </w:r>
          </w:p>
        </w:tc>
        <w:tc>
          <w:tcPr>
            <w:tcW w:type="dxa" w:w="45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fill sequence gaps and improve targeting</w:t>
            </w:r>
          </w:p>
        </w:tc>
      </w:tr>
      <w:tr>
        <w:trPr>
          <w:cantSplit/>
        </w:trPr>
        <w:tc>
          <w:tcPr>
            <w:tcW w:type="dxa" w:w="271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20–30%</w:t>
            </w:r>
          </w:p>
        </w:tc>
        <w:tc>
          <w:tcPr>
            <w:tcW w:type="dxa" w:w="28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Healthy</w:t>
            </w:r>
          </w:p>
        </w:tc>
        <w:tc>
          <w:tcPr>
            <w:tcW w:type="dxa" w:w="45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optimize and test</w:t>
            </w:r>
          </w:p>
        </w:tc>
      </w:tr>
      <w:tr>
        <w:trPr>
          <w:cantSplit/>
        </w:trPr>
        <w:tc>
          <w:tcPr>
            <w:tcW w:type="dxa" w:w="271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30–40%</w:t>
            </w:r>
          </w:p>
        </w:tc>
        <w:tc>
          <w:tcPr>
            <w:tcW w:type="dxa" w:w="28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Top tier</w:t>
            </w:r>
          </w:p>
        </w:tc>
        <w:tc>
          <w:tcPr>
            <w:tcW w:type="dxa" w:w="45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to protect it; Lhotse Scale if the team is stretched</w:t>
            </w:r>
          </w:p>
        </w:tc>
      </w:tr>
      <w:tr>
        <w:trPr>
          <w:cantSplit/>
        </w:trPr>
        <w:tc>
          <w:tcPr>
            <w:tcW w:type="dxa" w:w="271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Above 40%</w:t>
            </w:r>
          </w:p>
        </w:tc>
        <w:tc>
          <w:tcPr>
            <w:tcW w:type="dxa" w:w="28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 the attribution settings</w:t>
            </w:r>
          </w:p>
        </w:tc>
        <w:tc>
          <w:tcPr>
            <w:tcW w:type="dxa" w:w="45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Often caused by a very wide attribution window, heavy discounting, or low ad spend</w:t>
            </w:r>
          </w:p>
        </w:tc>
      </w:tr>
    </w:tbl>
    <w:p>
      <w:pPr>
        <w:spacing w:after="120" w:before="0"/>
      </w:pPr>
    </w:p>
    <w:p>
      <w:r>
        <w:rPr>
          <w:rFonts w:ascii="Arial" w:cs="Arial" w:eastAsia="Arial" w:hAnsi="Arial"/>
          <w:i/>
          <w:iCs/>
          <w:sz w:val="20"/>
          <w:szCs w:val="20"/>
        </w:rPr>
        <w:t xml:space="preserve">Always record what attribution window was used.</w:t>
      </w:r>
      <w:r>
        <w:rPr>
          <w:rFonts w:ascii="Arial" w:cs="Arial" w:eastAsia="Arial" w:hAnsi="Arial"/>
          <w:sz w:val="20"/>
          <w:szCs w:val="20"/>
        </w:rPr>
        <w:t xml:space="preserve"> Klaviyo by default credits any order placed within 5 days of an email open or click as an "email order." This overstates email's real effect, especially since Apple auto-opens inflate the open count.</w:t>
      </w:r>
    </w:p>
    <w:p>
      <w:pPr>
        <w:pStyle w:val="Heading2"/>
        <w:keepNext/>
      </w:pPr>
      <w:r>
        <w:rPr>
          <w:rFonts w:ascii="Arial" w:cs="Arial" w:eastAsia="Arial" w:hAnsi="Arial"/>
        </w:rPr>
        <w:t xml:space="preserve">9.2 Industry benchmarks by platform</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29"/>
        <w:gridCol w:w="1881"/>
        <w:gridCol w:w="2988"/>
        <w:gridCol w:w="1991"/>
        <w:gridCol w:w="1991"/>
      </w:tblGrid>
      <w:tr>
        <w:trPr>
          <w:cantSplit/>
          <w:tblHeader/>
        </w:trPr>
        <w:tc>
          <w:tcPr>
            <w:tcW w:type="dxa" w:w="122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Metric</w:t>
            </w:r>
          </w:p>
        </w:tc>
        <w:tc>
          <w:tcPr>
            <w:tcW w:type="dxa" w:w="188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Klaviyo campaigns</w:t>
            </w:r>
          </w:p>
        </w:tc>
        <w:tc>
          <w:tcPr>
            <w:tcW w:type="dxa" w:w="298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Klaviyo automated sequences</w:t>
            </w:r>
          </w:p>
        </w:tc>
        <w:tc>
          <w:tcPr>
            <w:tcW w:type="dxa" w:w="199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Omnisend campaigns</w:t>
            </w:r>
          </w:p>
        </w:tc>
        <w:tc>
          <w:tcPr>
            <w:tcW w:type="dxa" w:w="199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Omnisend automated</w:t>
            </w:r>
          </w:p>
        </w:tc>
      </w:tr>
      <w:tr>
        <w:trPr>
          <w:cantSplit/>
        </w:trPr>
        <w:tc>
          <w:tcPr>
            <w:tcW w:type="dxa" w:w="12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Click rate</w:t>
            </w:r>
          </w:p>
        </w:tc>
        <w:tc>
          <w:tcPr>
            <w:tcW w:type="dxa" w:w="18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1.69%</w:t>
            </w:r>
          </w:p>
        </w:tc>
        <w:tc>
          <w:tcPr>
            <w:tcW w:type="dxa" w:w="298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5.58%</w:t>
            </w:r>
          </w:p>
        </w:tc>
        <w:tc>
          <w:tcPr>
            <w:tcW w:type="dxa" w:w="19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0.74%</w:t>
            </w:r>
          </w:p>
        </w:tc>
        <w:tc>
          <w:tcPr>
            <w:tcW w:type="dxa" w:w="19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4.66%</w:t>
            </w:r>
          </w:p>
        </w:tc>
      </w:tr>
      <w:tr>
        <w:trPr>
          <w:cantSplit/>
        </w:trPr>
        <w:tc>
          <w:tcPr>
            <w:tcW w:type="dxa" w:w="12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Order rate</w:t>
            </w:r>
          </w:p>
        </w:tc>
        <w:tc>
          <w:tcPr>
            <w:tcW w:type="dxa" w:w="18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0.97–1.34%</w:t>
            </w:r>
          </w:p>
        </w:tc>
        <w:tc>
          <w:tcPr>
            <w:tcW w:type="dxa" w:w="298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1.62–2.17%</w:t>
            </w:r>
          </w:p>
        </w:tc>
        <w:tc>
          <w:tcPr>
            <w:tcW w:type="dxa" w:w="19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0.08%</w:t>
            </w:r>
          </w:p>
        </w:tc>
        <w:tc>
          <w:tcPr>
            <w:tcW w:type="dxa" w:w="19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1.49%</w:t>
            </w:r>
          </w:p>
        </w:tc>
      </w:tr>
    </w:tbl>
    <w:p>
      <w:pPr>
        <w:spacing w:after="120" w:before="0"/>
      </w:pPr>
    </w:p>
    <w:p>
      <w:pPr>
        <w:spacing w:after="160" w:before="0"/>
      </w:pPr>
      <w:r>
        <w:rPr>
          <w:rFonts w:ascii="Arial" w:cs="Arial" w:eastAsia="Arial" w:hAnsi="Arial"/>
          <w:i/>
          <w:iCs/>
          <w:color w:val="5B6573"/>
          <w:sz w:val="16"/>
          <w:szCs w:val="16"/>
        </w:rPr>
        <w:t xml:space="preserve">Klaviyo 2026 data; Omnisend 2025 data. Compare a brand only against its own platform's numbers.</w:t>
      </w:r>
    </w:p>
    <w:p>
      <w:r>
        <w:rPr>
          <w:rFonts w:ascii="Arial" w:cs="Arial" w:eastAsia="Arial" w:hAnsi="Arial"/>
          <w:b/>
          <w:bCs/>
          <w:sz w:val="20"/>
          <w:szCs w:val="20"/>
        </w:rPr>
        <w:t xml:space="preserve">Rule of thumb:</w:t>
      </w:r>
      <w:r>
        <w:rPr>
          <w:rFonts w:ascii="Arial" w:cs="Arial" w:eastAsia="Arial" w:hAnsi="Arial"/>
          <w:sz w:val="20"/>
          <w:szCs w:val="20"/>
        </w:rPr>
        <w:t xml:space="preserve"> On Klaviyo, if a campaign's order rate is well below 1%, the email program has a problem.</w:t>
      </w:r>
    </w:p>
    <w:p>
      <w:pPr>
        <w:pStyle w:val="Heading2"/>
        <w:keepNext/>
      </w:pPr>
      <w:r>
        <w:rPr>
          <w:rFonts w:ascii="Arial" w:cs="Arial" w:eastAsia="Arial" w:hAnsi="Arial"/>
        </w:rPr>
        <w:t xml:space="preserve">9.3 The Apple problem (why open rates are broken)</w:t>
      </w:r>
    </w:p>
    <w:p>
      <w:r>
        <w:rPr>
          <w:rFonts w:ascii="Arial" w:cs="Arial" w:eastAsia="Arial" w:hAnsi="Arial"/>
          <w:sz w:val="20"/>
          <w:szCs w:val="20"/>
        </w:rPr>
        <w:t xml:space="preserve">Apple's Mail Privacy Protection (MPP) automatically pre-loads emails when they arrive, this registers an "open" in the email platform even if the person never reads the email. Litmus reported that Apple accounted for 62% of all tracked opens in July 2026, with MPP affecting about 55–60% of all opens.</w:t>
      </w:r>
    </w:p>
    <w:p>
      <w:r>
        <w:rPr>
          <w:rFonts w:ascii="Arial" w:cs="Arial" w:eastAsia="Arial" w:hAnsi="Arial"/>
          <w:sz w:val="20"/>
          <w:szCs w:val="20"/>
        </w:rPr>
        <w:t xml:space="preserve">This causes three problems:</w:t>
      </w:r>
    </w:p>
    <w:p>
      <w:pPr>
        <w:pStyle w:val="ListParagraph"/>
        <w:numPr>
          <w:ilvl w:val="0"/>
          <w:numId w:val="6"/>
        </w:numPr>
        <w:spacing w:after="60"/>
      </w:pPr>
      <w:r>
        <w:rPr>
          <w:rFonts w:ascii="Arial" w:cs="Arial" w:eastAsia="Arial" w:hAnsi="Arial"/>
          <w:b/>
          <w:bCs/>
          <w:sz w:val="20"/>
          <w:szCs w:val="20"/>
        </w:rPr>
        <w:t xml:space="preserve">Engagement targeting gets wrong.</w:t>
      </w:r>
      <w:r>
        <w:rPr>
          <w:rFonts w:ascii="Arial" w:cs="Arial" w:eastAsia="Arial" w:hAnsi="Arial"/>
          <w:sz w:val="20"/>
          <w:szCs w:val="20"/>
        </w:rPr>
        <w:t xml:space="preserve"> A filter for "opened in the last 90 days" now includes people who never looked at the email.</w:t>
      </w:r>
    </w:p>
    <w:p>
      <w:pPr>
        <w:pStyle w:val="ListParagraph"/>
        <w:numPr>
          <w:ilvl w:val="0"/>
          <w:numId w:val="6"/>
        </w:numPr>
        <w:spacing w:after="60"/>
      </w:pPr>
      <w:r>
        <w:rPr>
          <w:rFonts w:ascii="Arial" w:cs="Arial" w:eastAsia="Arial" w:hAnsi="Arial"/>
          <w:b/>
          <w:bCs/>
          <w:sz w:val="20"/>
          <w:szCs w:val="20"/>
        </w:rPr>
        <w:t xml:space="preserve">Subject line tests become unreliable.</w:t>
      </w:r>
      <w:r>
        <w:rPr>
          <w:rFonts w:ascii="Arial" w:cs="Arial" w:eastAsia="Arial" w:hAnsi="Arial"/>
          <w:sz w:val="20"/>
          <w:szCs w:val="20"/>
        </w:rPr>
        <w:t xml:space="preserve"> When machines open half your emails, you cannot trust open rate as a test metric.</w:t>
      </w:r>
    </w:p>
    <w:p>
      <w:pPr>
        <w:pStyle w:val="ListParagraph"/>
        <w:numPr>
          <w:ilvl w:val="0"/>
          <w:numId w:val="6"/>
        </w:numPr>
        <w:spacing w:after="60"/>
      </w:pPr>
      <w:r>
        <w:rPr>
          <w:rFonts w:ascii="Arial" w:cs="Arial" w:eastAsia="Arial" w:hAnsi="Arial"/>
          <w:b/>
          <w:bCs/>
          <w:sz w:val="20"/>
          <w:szCs w:val="20"/>
        </w:rPr>
        <w:t xml:space="preserve">Inactive subscribers look active.</w:t>
      </w:r>
      <w:r>
        <w:rPr>
          <w:rFonts w:ascii="Arial" w:cs="Arial" w:eastAsia="Arial" w:hAnsi="Arial"/>
          <w:sz w:val="20"/>
          <w:szCs w:val="20"/>
        </w:rPr>
        <w:t xml:space="preserve"> Your sunset policy (removing inactive people) fails because Apple keeps triggering "opens" even for dead subscribers.</w:t>
      </w:r>
    </w:p>
    <w:p>
      <w:pPr>
        <w:spacing w:after="60" w:before="0"/>
      </w:pPr>
    </w:p>
    <w:p>
      <w:r>
        <w:rPr>
          <w:rFonts w:ascii="Arial" w:cs="Arial" w:eastAsia="Arial" w:hAnsi="Arial"/>
          <w:sz w:val="20"/>
          <w:szCs w:val="20"/>
        </w:rPr>
        <w:t xml:space="preserve">The fix: define engagement by clicks, website visits, and orders, not opens. Exclude Apple auto-opens where Klaviyo allows it. Only use opens as a sign of a technical problem at one specific email provider.</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7"/>
          <w:szCs w:val="17"/>
        </w:rPr>
        <w:t xml:space="preserve">            ▲ Most trustworthy</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INCREMENTAL REVENUE ........ lift tested against a control group (the real number)</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REVENUE PER EMAIL ........... reach × relevance × conversion</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ORDER RATE .................. did the email produce actual purchases?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CLICK RATE .................. did a real person engage?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DELIVERY HEALTH ............. bounces, spam complaints, inbox rate by provider</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OPEN RATE ................... diagnostic only (broken by Apple auto-opens)</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7"/>
          <w:szCs w:val="17"/>
        </w:rPr>
        <w:t xml:space="preserve">            ▼ Least trustworthy</w:t>
      </w:r>
    </w:p>
    <w:p>
      <w:pPr>
        <w:pStyle w:val="Heading2"/>
        <w:keepNext/>
      </w:pPr>
      <w:r>
        <w:rPr>
          <w:rFonts w:ascii="Arial" w:cs="Arial" w:eastAsia="Arial" w:hAnsi="Arial"/>
        </w:rPr>
        <w:t xml:space="preserve">9.4 Targets for a healthy Lhotse client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9"/>
        <w:gridCol w:w="3870"/>
        <w:gridCol w:w="3871"/>
      </w:tblGrid>
      <w:tr>
        <w:trPr>
          <w:cantSplit/>
          <w:tblHeader/>
        </w:trPr>
        <w:tc>
          <w:tcPr>
            <w:tcW w:type="dxa" w:w="233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Metric</w:t>
            </w:r>
          </w:p>
        </w:tc>
        <w:tc>
          <w:tcPr>
            <w:tcW w:type="dxa" w:w="387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Healthy range</w:t>
            </w:r>
          </w:p>
        </w:tc>
        <w:tc>
          <w:tcPr>
            <w:tcW w:type="dxa" w:w="387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When to act</w:t>
            </w:r>
          </w:p>
        </w:tc>
      </w:tr>
      <w:tr>
        <w:trPr>
          <w:cantSplit/>
        </w:trPr>
        <w:tc>
          <w:tcPr>
            <w:tcW w:type="dxa" w:w="233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Campaign click rate (Klaviyo)</w:t>
            </w:r>
          </w:p>
        </w:tc>
        <w:tc>
          <w:tcPr>
            <w:tcW w:type="dxa" w:w="387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1.5–2%+</w:t>
            </w:r>
          </w:p>
        </w:tc>
        <w:tc>
          <w:tcPr>
            <w:tcW w:type="dxa" w:w="38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Below 1% for 4 weeks in a row</w:t>
            </w:r>
          </w:p>
        </w:tc>
      </w:tr>
      <w:tr>
        <w:trPr>
          <w:cantSplit/>
        </w:trPr>
        <w:tc>
          <w:tcPr>
            <w:tcW w:type="dxa" w:w="233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Campaign order rate (Klaviyo)</w:t>
            </w:r>
          </w:p>
        </w:tc>
        <w:tc>
          <w:tcPr>
            <w:tcW w:type="dxa" w:w="387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1% or better</w:t>
            </w:r>
          </w:p>
        </w:tc>
        <w:tc>
          <w:tcPr>
            <w:tcW w:type="dxa" w:w="387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Well below 1%</w:t>
            </w:r>
          </w:p>
        </w:tc>
      </w:tr>
      <w:tr>
        <w:trPr>
          <w:cantSplit/>
        </w:trPr>
        <w:tc>
          <w:tcPr>
            <w:tcW w:type="dxa" w:w="233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Spam complaint rate</w:t>
            </w:r>
          </w:p>
        </w:tc>
        <w:tc>
          <w:tcPr>
            <w:tcW w:type="dxa" w:w="387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Below 0.05%</w:t>
            </w:r>
          </w:p>
        </w:tc>
        <w:tc>
          <w:tcPr>
            <w:tcW w:type="dxa" w:w="38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Above 0.05% (Klaviyo flags it); above 0.1% (Gmail's limit) means act now</w:t>
            </w:r>
          </w:p>
        </w:tc>
      </w:tr>
      <w:tr>
        <w:trPr>
          <w:cantSplit/>
        </w:trPr>
        <w:tc>
          <w:tcPr>
            <w:tcW w:type="dxa" w:w="233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Bounce rate</w:t>
            </w:r>
          </w:p>
        </w:tc>
        <w:tc>
          <w:tcPr>
            <w:tcW w:type="dxa" w:w="387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Below 1%</w:t>
            </w:r>
          </w:p>
        </w:tc>
        <w:tc>
          <w:tcPr>
            <w:tcW w:type="dxa" w:w="387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Above 2% (Klaviyo flags it)</w:t>
            </w:r>
          </w:p>
        </w:tc>
      </w:tr>
      <w:tr>
        <w:trPr>
          <w:cantSplit/>
        </w:trPr>
        <w:tc>
          <w:tcPr>
            <w:tcW w:type="dxa" w:w="233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Campaign frequency</w:t>
            </w:r>
          </w:p>
        </w:tc>
        <w:tc>
          <w:tcPr>
            <w:tcW w:type="dxa" w:w="387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 per week; up to daily during Black Friday week</w:t>
            </w:r>
          </w:p>
        </w:tc>
        <w:tc>
          <w:tcPr>
            <w:tcW w:type="dxa" w:w="38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with engagement-based targeting</w:t>
            </w:r>
          </w:p>
        </w:tc>
      </w:tr>
    </w:tbl>
    <w:p>
      <w:pPr>
        <w:spacing w:after="120" w:before="0"/>
      </w:pPr>
    </w:p>
    <w:p>
      <w:pPr>
        <w:pStyle w:val="Heading2"/>
        <w:keepNext/>
      </w:pPr>
      <w:r>
        <w:rPr>
          <w:rFonts w:ascii="Arial" w:cs="Arial" w:eastAsia="Arial" w:hAnsi="Arial"/>
        </w:rPr>
        <w:t xml:space="preserve">9.5 How to test whether email actually caused purchases (holdout tests)</w:t>
      </w:r>
    </w:p>
    <w:p>
      <w:r>
        <w:rPr>
          <w:rFonts w:ascii="Arial" w:cs="Arial" w:eastAsia="Arial" w:hAnsi="Arial"/>
          <w:sz w:val="20"/>
          <w:szCs w:val="20"/>
        </w:rPr>
        <w:t xml:space="preserve">A holdout test is simple: randomly hold back 10% of people from receiving a sequence, then compare how often that 10% buys versus the 90% who got the emails. The difference shows how many purchases were genuinely caused by the email.</w:t>
      </w:r>
    </w:p>
    <w:p>
      <w:r>
        <w:rPr>
          <w:rFonts w:ascii="Arial" w:cs="Arial" w:eastAsia="Arial" w:hAnsi="Arial"/>
          <w:b/>
          <w:bCs/>
          <w:sz w:val="20"/>
          <w:szCs w:val="20"/>
        </w:rPr>
        <w:t xml:space="preserve">Step-by-step:</w:t>
      </w:r>
    </w:p>
    <w:p>
      <w:pPr>
        <w:pStyle w:val="ListParagraph"/>
        <w:numPr>
          <w:ilvl w:val="0"/>
          <w:numId w:val="7"/>
        </w:numPr>
        <w:spacing w:after="60"/>
      </w:pPr>
      <w:r>
        <w:rPr>
          <w:rFonts w:ascii="Arial" w:cs="Arial" w:eastAsia="Arial" w:hAnsi="Arial"/>
          <w:sz w:val="20"/>
          <w:szCs w:val="20"/>
        </w:rPr>
        <w:t xml:space="preserve">Add a random split at the start of an automated sequence: 90% get the emails, 10% get nothing (use 80/20 for smaller brands)</w:t>
      </w:r>
    </w:p>
    <w:p>
      <w:pPr>
        <w:pStyle w:val="ListParagraph"/>
        <w:numPr>
          <w:ilvl w:val="0"/>
          <w:numId w:val="7"/>
        </w:numPr>
        <w:spacing w:after="60"/>
      </w:pPr>
      <w:r>
        <w:rPr>
          <w:rFonts w:ascii="Arial" w:cs="Arial" w:eastAsia="Arial" w:hAnsi="Arial"/>
          <w:sz w:val="20"/>
          <w:szCs w:val="20"/>
        </w:rPr>
        <w:t xml:space="preserve">Measure orders from both groups over the same time period (e.g., 14 days)</w:t>
      </w:r>
    </w:p>
    <w:p>
      <w:pPr>
        <w:pStyle w:val="ListParagraph"/>
        <w:numPr>
          <w:ilvl w:val="0"/>
          <w:numId w:val="7"/>
        </w:numPr>
        <w:spacing w:after="60"/>
      </w:pPr>
      <w:r>
        <w:rPr>
          <w:rFonts w:ascii="Arial" w:cs="Arial" w:eastAsia="Arial" w:hAnsi="Arial"/>
          <w:sz w:val="20"/>
          <w:szCs w:val="20"/>
        </w:rPr>
        <w:t xml:space="preserve">Run for at least 4 weeks, and until the 10% group has at least 100 orders</w:t>
      </w:r>
    </w:p>
    <w:p>
      <w:pPr>
        <w:pStyle w:val="ListParagraph"/>
        <w:numPr>
          <w:ilvl w:val="0"/>
          <w:numId w:val="7"/>
        </w:numPr>
        <w:spacing w:after="60"/>
      </w:pPr>
      <w:r>
        <w:rPr>
          <w:rFonts w:ascii="Arial" w:cs="Arial" w:eastAsia="Arial" w:hAnsi="Arial"/>
          <w:sz w:val="20"/>
          <w:szCs w:val="20"/>
        </w:rPr>
        <w:t xml:space="preserve">Incremental (real) orders = (rate for emailed group − rate for control group) × number who got emails</w:t>
      </w:r>
    </w:p>
    <w:p>
      <w:pPr>
        <w:pStyle w:val="ListParagraph"/>
        <w:numPr>
          <w:ilvl w:val="0"/>
          <w:numId w:val="7"/>
        </w:numPr>
        <w:spacing w:after="60"/>
      </w:pPr>
      <w:r>
        <w:rPr>
          <w:rFonts w:ascii="Arial" w:cs="Arial" w:eastAsia="Arial" w:hAnsi="Arial"/>
          <w:sz w:val="20"/>
          <w:szCs w:val="20"/>
        </w:rPr>
        <w:t xml:space="preserve">Report both the platform-attributed number and the real incremental number side by side</w:t>
      </w:r>
    </w:p>
    <w:p>
      <w:pPr>
        <w:spacing w:after="6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8"/>
        <w:gridCol w:w="5277"/>
        <w:gridCol w:w="2275"/>
      </w:tblGrid>
      <w:tr>
        <w:trPr>
          <w:cantSplit/>
          <w:tblHeader/>
        </w:trPr>
        <w:tc>
          <w:tcPr>
            <w:tcW w:type="dxa" w:w="252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Example</w:t>
            </w:r>
          </w:p>
        </w:tc>
        <w:tc>
          <w:tcPr>
            <w:tcW w:type="dxa" w:w="527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Emailed (90%)</w:t>
            </w:r>
          </w:p>
        </w:tc>
        <w:tc>
          <w:tcPr>
            <w:tcW w:type="dxa" w:w="227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Control, no email (10%)</w:t>
            </w:r>
          </w:p>
        </w:tc>
      </w:tr>
      <w:tr>
        <w:trPr>
          <w:cantSplit/>
        </w:trPr>
        <w:tc>
          <w:tcPr>
            <w:tcW w:type="dxa" w:w="252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People in each group</w:t>
            </w:r>
          </w:p>
        </w:tc>
        <w:tc>
          <w:tcPr>
            <w:tcW w:type="dxa" w:w="52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18,000</w:t>
            </w:r>
          </w:p>
        </w:tc>
        <w:tc>
          <w:tcPr>
            <w:tcW w:type="dxa" w:w="227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2,000</w:t>
            </w:r>
          </w:p>
        </w:tc>
      </w:tr>
      <w:tr>
        <w:trPr>
          <w:cantSplit/>
        </w:trPr>
        <w:tc>
          <w:tcPr>
            <w:tcW w:type="dxa" w:w="252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14-day purchase rate</w:t>
            </w:r>
          </w:p>
        </w:tc>
        <w:tc>
          <w:tcPr>
            <w:tcW w:type="dxa" w:w="52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4.0% = 720 orders</w:t>
            </w:r>
          </w:p>
        </w:tc>
        <w:tc>
          <w:tcPr>
            <w:tcW w:type="dxa" w:w="227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2.8% = 56 orders</w:t>
            </w:r>
          </w:p>
        </w:tc>
      </w:tr>
      <w:tr>
        <w:trPr>
          <w:cantSplit/>
        </w:trPr>
        <w:tc>
          <w:tcPr>
            <w:tcW w:type="dxa" w:w="252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Real incremental orders</w:t>
            </w:r>
          </w:p>
        </w:tc>
        <w:tc>
          <w:tcPr>
            <w:tcW w:type="dxa" w:w="52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1.2 percentage points × 18,000 = 216 real orders</w:t>
            </w:r>
          </w:p>
        </w:tc>
        <w:tc>
          <w:tcPr>
            <w:tcW w:type="dxa" w:w="227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p>
        </w:tc>
      </w:tr>
      <w:tr>
        <w:trPr>
          <w:cantSplit/>
        </w:trPr>
        <w:tc>
          <w:tcPr>
            <w:tcW w:type="dxa" w:w="252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At $68 per order</w:t>
            </w:r>
          </w:p>
        </w:tc>
        <w:tc>
          <w:tcPr>
            <w:tcW w:type="dxa" w:w="52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$14,688 real incremental revenue per month</w:t>
            </w:r>
            <w:r>
              <w:rPr>
                <w:rFonts w:ascii="Arial" w:cs="Arial" w:eastAsia="Arial" w:hAnsi="Arial"/>
                <w:sz w:val="16"/>
                <w:szCs w:val="16"/>
              </w:rPr>
              <w:t xml:space="preserve"> vs. $48,960 platform-attributed</w:t>
            </w:r>
          </w:p>
        </w:tc>
        <w:tc>
          <w:tcPr>
            <w:tcW w:type="dxa" w:w="227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p>
        </w:tc>
      </w:tr>
    </w:tbl>
    <w:p>
      <w:pPr>
        <w:spacing w:after="120" w:before="0"/>
      </w:pPr>
    </w:p>
    <w:p>
      <w:r>
        <w:rPr>
          <w:rFonts w:ascii="Arial" w:cs="Arial" w:eastAsia="Arial" w:hAnsi="Arial"/>
          <w:sz w:val="20"/>
          <w:szCs w:val="20"/>
        </w:rPr>
        <w:t xml:space="preserve">In this example, about 30% of revenue Klaviyo "credits" to email is real. That is still a strong result. A client who hears the honest number from GrowMailers first will trust every number we report after that.</w:t>
      </w:r>
    </w:p>
    <w:p>
      <w:r>
        <w:rPr>
          <w:rFonts w:ascii="Arial" w:cs="Arial" w:eastAsia="Arial" w:hAnsi="Arial"/>
          <w:b/>
          <w:bCs/>
          <w:sz w:val="20"/>
          <w:szCs w:val="20"/>
        </w:rPr>
        <w:t xml:space="preserve">Monthly scorecard for Lhotse clients:</w:t>
      </w:r>
      <w:r>
        <w:rPr>
          <w:rFonts w:ascii="Arial" w:cs="Arial" w:eastAsia="Arial" w:hAnsi="Arial"/>
          <w:sz w:val="20"/>
          <w:szCs w:val="20"/>
        </w:rPr>
        <w:t xml:space="preserve"> email's share of website revenue (with attribution window noted), automated vs. campaign revenue split, revenue per email, holdout lift vs. our fees, click and order rates by segment, Gmail spam rate, bounce rate, security pass rate, net list growth, people removed, and current Klaviyo subscription tier.</w:t>
      </w:r>
    </w:p>
    <w:p>
      <w:pPr>
        <w:pStyle w:val="Heading1"/>
        <w:keepNext/>
      </w:pPr>
      <w:r>
        <w:rPr>
          <w:rFonts w:ascii="Arial" w:cs="Arial" w:eastAsia="Arial" w:hAnsi="Arial"/>
        </w:rPr>
        <w:t xml:space="preserve">10. Automated Emails vs. One-Off Campaigns</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Automated email sequences (triggered by customer behavior) earn far more per email than one-off campaign blasts. Klaviyo's own data shows automated sequences generate about 41% of email revenue but only 5% of emails sent, at nearly 18 times the revenue per email. Campaigns still drive most email revenue overall, though. A complete email program needs both: a solid base of automated sequences, plus targeted, well-planned campaigns on top.</w:t>
      </w:r>
    </w:p>
    <w:p>
      <w:pPr>
        <w:pStyle w:val="Heading2"/>
        <w:keepNext/>
      </w:pPr>
      <w:r>
        <w:rPr>
          <w:rFonts w:ascii="Arial" w:cs="Arial" w:eastAsia="Arial" w:hAnsi="Arial"/>
        </w:rPr>
        <w:t xml:space="preserve">10.1 Automated sequences vs. campaign blasts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65"/>
        <w:gridCol w:w="3477"/>
        <w:gridCol w:w="3638"/>
      </w:tblGrid>
      <w:tr>
        <w:trPr>
          <w:cantSplit/>
          <w:tblHeader/>
        </w:trPr>
        <w:tc>
          <w:tcPr>
            <w:tcW w:type="dxa" w:w="296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p>
        </w:tc>
        <w:tc>
          <w:tcPr>
            <w:tcW w:type="dxa" w:w="347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Automated sequences</w:t>
            </w:r>
            <w:r>
              <w:rPr>
                <w:rFonts w:ascii="Arial" w:cs="Arial" w:eastAsia="Arial" w:hAnsi="Arial"/>
                <w:b/>
                <w:bCs/>
                <w:color w:val="FFFFFF"/>
                <w:sz w:val="16"/>
                <w:szCs w:val="16"/>
              </w:rPr>
              <w:t xml:space="preserve"> (triggered by behavior)</w:t>
            </w:r>
          </w:p>
        </w:tc>
        <w:tc>
          <w:tcPr>
            <w:tcW w:type="dxa" w:w="363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Campaign blasts</w:t>
            </w:r>
            <w:r>
              <w:rPr>
                <w:rFonts w:ascii="Arial" w:cs="Arial" w:eastAsia="Arial" w:hAnsi="Arial"/>
                <w:b/>
                <w:bCs/>
                <w:color w:val="FFFFFF"/>
                <w:sz w:val="16"/>
                <w:szCs w:val="16"/>
              </w:rPr>
              <w:t xml:space="preserve"> (sent to a group at one time)</w:t>
            </w:r>
          </w:p>
        </w:tc>
      </w:tr>
      <w:tr>
        <w:trPr>
          <w:cantSplit/>
        </w:trPr>
        <w:tc>
          <w:tcPr>
            <w:tcW w:type="dxa" w:w="29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Share of emails sent</w:t>
            </w:r>
          </w:p>
        </w:tc>
        <w:tc>
          <w:tcPr>
            <w:tcW w:type="dxa" w:w="34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2–5%</w:t>
            </w:r>
          </w:p>
        </w:tc>
        <w:tc>
          <w:tcPr>
            <w:tcW w:type="dxa" w:w="36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95%</w:t>
            </w:r>
          </w:p>
        </w:tc>
      </w:tr>
      <w:tr>
        <w:trPr>
          <w:cantSplit/>
        </w:trPr>
        <w:tc>
          <w:tcPr>
            <w:tcW w:type="dxa" w:w="29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Share of email revenue</w:t>
            </w:r>
          </w:p>
        </w:tc>
        <w:tc>
          <w:tcPr>
            <w:tcW w:type="dxa" w:w="34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30–41%</w:t>
            </w:r>
          </w:p>
        </w:tc>
        <w:tc>
          <w:tcPr>
            <w:tcW w:type="dxa" w:w="363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60–70%</w:t>
            </w:r>
          </w:p>
        </w:tc>
      </w:tr>
      <w:tr>
        <w:trPr>
          <w:cantSplit/>
        </w:trPr>
        <w:tc>
          <w:tcPr>
            <w:tcW w:type="dxa" w:w="29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Revenue per email (Omnisend data)</w:t>
            </w:r>
          </w:p>
        </w:tc>
        <w:tc>
          <w:tcPr>
            <w:tcW w:type="dxa" w:w="34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$2.87</w:t>
            </w:r>
          </w:p>
        </w:tc>
        <w:tc>
          <w:tcPr>
            <w:tcW w:type="dxa" w:w="36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$0.18</w:t>
            </w:r>
          </w:p>
        </w:tc>
      </w:tr>
      <w:tr>
        <w:trPr>
          <w:cantSplit/>
        </w:trPr>
        <w:tc>
          <w:tcPr>
            <w:tcW w:type="dxa" w:w="29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Share of revenue from new buyers</w:t>
            </w:r>
          </w:p>
        </w:tc>
        <w:tc>
          <w:tcPr>
            <w:tcW w:type="dxa" w:w="34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48%</w:t>
            </w:r>
          </w:p>
        </w:tc>
        <w:tc>
          <w:tcPr>
            <w:tcW w:type="dxa" w:w="363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16%</w:t>
            </w:r>
          </w:p>
        </w:tc>
      </w:tr>
      <w:tr>
        <w:trPr>
          <w:cantSplit/>
        </w:trPr>
        <w:tc>
          <w:tcPr>
            <w:tcW w:type="dxa" w:w="29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Effect on delivery</w:t>
            </w:r>
          </w:p>
        </w:tc>
        <w:tc>
          <w:tcPr>
            <w:tcW w:type="dxa" w:w="34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Good (goes to people who want it)</w:t>
            </w:r>
          </w:p>
        </w:tc>
        <w:tc>
          <w:tcPr>
            <w:tcW w:type="dxa" w:w="36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Risky if sent to everyone</w:t>
            </w:r>
          </w:p>
        </w:tc>
      </w:tr>
    </w:tbl>
    <w:p>
      <w:pPr>
        <w:spacing w:after="120" w:before="0"/>
      </w:pPr>
    </w:p>
    <w:p>
      <w:r>
        <w:rPr>
          <w:rFonts w:ascii="Arial" w:cs="Arial" w:eastAsia="Arial" w:hAnsi="Arial"/>
          <w:sz w:val="20"/>
          <w:szCs w:val="20"/>
        </w:rPr>
        <w:t xml:space="preserve">Nearly half of automated sequence revenue comes from new buyers. The best brands send fewer campaigns to smaller, more engaged segments, and use the time saved to improve their automated sequences.</w:t>
      </w:r>
    </w:p>
    <w:p>
      <w:pPr>
        <w:pStyle w:val="Heading2"/>
        <w:keepNext/>
      </w:pPr>
      <w:r>
        <w:rPr>
          <w:rFonts w:ascii="Arial" w:cs="Arial" w:eastAsia="Arial" w:hAnsi="Arial"/>
        </w:rPr>
        <w:t xml:space="preserve">10.2 The customer journey and what emails go where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7"/>
          <w:szCs w:val="17"/>
        </w:rPr>
        <w:t xml:space="preserve">  VISITOR → SUBSCRIBER → FIRST BUYER → REPEAT BUYER → VIP CUSTOMER</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Browse,     Welcome      Post-purchase   Reorder        VIP perks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cart, and   sequence     Review request  reminder       Early access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checkout</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abandonment</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7"/>
          <w:szCs w:val="17"/>
        </w:rPr>
        <w:t xml:space="preserve">  ← Lost customer ← WIN-BACK ← No response → SUNSET → REMOVED from list</w:t>
      </w:r>
    </w:p>
    <w:p>
      <w:r>
        <w:rPr>
          <w:rFonts w:ascii="Arial" w:cs="Arial" w:eastAsia="Arial" w:hAnsi="Arial"/>
          <w:sz w:val="20"/>
          <w:szCs w:val="20"/>
        </w:rPr>
        <w:t xml:space="preserve">Cart abandonment and welcome sequences produced 76% of all automated orders on Omnisend in 2025. For a brand starting from scratch, build in this order:</w:t>
      </w:r>
    </w:p>
    <w:p>
      <w:pPr>
        <w:pStyle w:val="ListParagraph"/>
        <w:numPr>
          <w:ilvl w:val="0"/>
          <w:numId w:val="8"/>
        </w:numPr>
        <w:spacing w:after="60"/>
      </w:pPr>
      <w:r>
        <w:rPr>
          <w:rFonts w:ascii="Arial" w:cs="Arial" w:eastAsia="Arial" w:hAnsi="Arial"/>
          <w:sz w:val="20"/>
          <w:szCs w:val="20"/>
        </w:rPr>
        <w:t xml:space="preserve">Abandoned checkout and cart</w:t>
      </w:r>
    </w:p>
    <w:p>
      <w:pPr>
        <w:pStyle w:val="ListParagraph"/>
        <w:numPr>
          <w:ilvl w:val="0"/>
          <w:numId w:val="8"/>
        </w:numPr>
        <w:spacing w:after="60"/>
      </w:pPr>
      <w:r>
        <w:rPr>
          <w:rFonts w:ascii="Arial" w:cs="Arial" w:eastAsia="Arial" w:hAnsi="Arial"/>
          <w:sz w:val="20"/>
          <w:szCs w:val="20"/>
        </w:rPr>
        <w:t xml:space="preserve">Welcome sequence</w:t>
      </w:r>
    </w:p>
    <w:p>
      <w:pPr>
        <w:pStyle w:val="ListParagraph"/>
        <w:numPr>
          <w:ilvl w:val="0"/>
          <w:numId w:val="8"/>
        </w:numPr>
        <w:spacing w:after="60"/>
      </w:pPr>
      <w:r>
        <w:rPr>
          <w:rFonts w:ascii="Arial" w:cs="Arial" w:eastAsia="Arial" w:hAnsi="Arial"/>
          <w:sz w:val="20"/>
          <w:szCs w:val="20"/>
        </w:rPr>
        <w:t xml:space="preserve">Browse abandonment</w:t>
      </w:r>
    </w:p>
    <w:p>
      <w:pPr>
        <w:pStyle w:val="ListParagraph"/>
        <w:numPr>
          <w:ilvl w:val="0"/>
          <w:numId w:val="8"/>
        </w:numPr>
        <w:spacing w:after="60"/>
      </w:pPr>
      <w:r>
        <w:rPr>
          <w:rFonts w:ascii="Arial" w:cs="Arial" w:eastAsia="Arial" w:hAnsi="Arial"/>
          <w:sz w:val="20"/>
          <w:szCs w:val="20"/>
        </w:rPr>
        <w:t xml:space="preserve">Post-purchase and review request</w:t>
      </w:r>
    </w:p>
    <w:p>
      <w:pPr>
        <w:pStyle w:val="ListParagraph"/>
        <w:numPr>
          <w:ilvl w:val="0"/>
          <w:numId w:val="8"/>
        </w:numPr>
        <w:spacing w:after="60"/>
      </w:pPr>
      <w:r>
        <w:rPr>
          <w:rFonts w:ascii="Arial" w:cs="Arial" w:eastAsia="Arial" w:hAnsi="Arial"/>
          <w:sz w:val="20"/>
          <w:szCs w:val="20"/>
        </w:rPr>
        <w:t xml:space="preserve">Back-in-stock</w:t>
      </w:r>
    </w:p>
    <w:p>
      <w:pPr>
        <w:pStyle w:val="ListParagraph"/>
        <w:numPr>
          <w:ilvl w:val="0"/>
          <w:numId w:val="8"/>
        </w:numPr>
        <w:spacing w:after="60"/>
      </w:pPr>
      <w:r>
        <w:rPr>
          <w:rFonts w:ascii="Arial" w:cs="Arial" w:eastAsia="Arial" w:hAnsi="Arial"/>
          <w:b/>
          <w:bCs/>
          <w:sz w:val="20"/>
          <w:szCs w:val="20"/>
        </w:rPr>
        <w:t xml:space="preserve">Reorder reminder</w:t>
      </w:r>
      <w:r>
        <w:rPr>
          <w:rFonts w:ascii="Arial" w:cs="Arial" w:eastAsia="Arial" w:hAnsi="Arial"/>
          <w:sz w:val="20"/>
          <w:szCs w:val="20"/>
        </w:rPr>
        <w:t xml:space="preserve"> (most important for our four product types)</w:t>
      </w:r>
    </w:p>
    <w:p>
      <w:pPr>
        <w:pStyle w:val="ListParagraph"/>
        <w:numPr>
          <w:ilvl w:val="0"/>
          <w:numId w:val="8"/>
        </w:numPr>
        <w:spacing w:after="60"/>
      </w:pPr>
      <w:r>
        <w:rPr>
          <w:rFonts w:ascii="Arial" w:cs="Arial" w:eastAsia="Arial" w:hAnsi="Arial"/>
          <w:sz w:val="20"/>
          <w:szCs w:val="20"/>
        </w:rPr>
        <w:t xml:space="preserve">Win-back</w:t>
      </w:r>
    </w:p>
    <w:p>
      <w:pPr>
        <w:pStyle w:val="ListParagraph"/>
        <w:numPr>
          <w:ilvl w:val="0"/>
          <w:numId w:val="8"/>
        </w:numPr>
        <w:spacing w:after="60"/>
      </w:pPr>
      <w:r>
        <w:rPr>
          <w:rFonts w:ascii="Arial" w:cs="Arial" w:eastAsia="Arial" w:hAnsi="Arial"/>
          <w:sz w:val="20"/>
          <w:szCs w:val="20"/>
        </w:rPr>
        <w:t xml:space="preserve">VIP, birthday, and sunset</w:t>
      </w:r>
    </w:p>
    <w:p>
      <w:pPr>
        <w:spacing w:after="60" w:before="0"/>
      </w:pPr>
    </w:p>
    <w:p>
      <w:pPr>
        <w:pStyle w:val="Heading2"/>
        <w:keepNext/>
      </w:pPr>
      <w:r>
        <w:rPr>
          <w:rFonts w:ascii="Arial" w:cs="Arial" w:eastAsia="Arial" w:hAnsi="Arial"/>
        </w:rPr>
        <w:t xml:space="preserve">10.3 Specifications for each sequence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268"/>
        <w:gridCol w:w="2304"/>
        <w:gridCol w:w="2304"/>
        <w:gridCol w:w="2304"/>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Sequence</w:t>
            </w:r>
          </w:p>
        </w:tc>
        <w:tc>
          <w:tcPr>
            <w:tcW w:type="dxa" w:w="226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triggers it</w:t>
            </w:r>
          </w:p>
        </w:tc>
        <w:tc>
          <w:tcPr>
            <w:tcW w:type="dxa" w:w="230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Emails and timing</w:t>
            </w:r>
          </w:p>
        </w:tc>
        <w:tc>
          <w:tcPr>
            <w:tcW w:type="dxa" w:w="230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they say</w:t>
            </w:r>
          </w:p>
        </w:tc>
        <w:tc>
          <w:tcPr>
            <w:tcW w:type="dxa" w:w="230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Discount policy</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Welcome</w:t>
            </w:r>
          </w:p>
        </w:tc>
        <w:tc>
          <w:tcPr>
            <w:tcW w:type="dxa" w:w="226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Signs up; exits when they buy</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4–5 emails: immediately, day 1–2, day 3–4, day 6–7, day 10–12</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Brand story, best sellers, proof, education, founder note</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First-order offer in email 1 with an expiry reminder; no stacking discounts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Abandoned checkout</w:t>
            </w:r>
          </w:p>
        </w:tc>
        <w:tc>
          <w:tcPr>
            <w:tcW w:type="dxa" w:w="226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Started checkout, no purchase; 7-day re-entry block</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 emails (+1 SMS if consent given): 1–4 hours, 24 hours, 48–72 hours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Cart contents, reassurance, answers to objections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Offer in last email only, for first-time buyers only</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Abandoned cart</w:t>
            </w:r>
          </w:p>
        </w:tc>
        <w:tc>
          <w:tcPr>
            <w:tcW w:type="dxa" w:w="226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Added to cart, did not start checkout</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 emails: 2–4 hours, 24 hours</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Product and reviews</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None</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Browse abandonment</w:t>
            </w:r>
          </w:p>
        </w:tc>
        <w:tc>
          <w:tcPr>
            <w:tcW w:type="dxa" w:w="226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Viewed a product while identified; capped at 1 per 7–14 days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 emails: 2–6 hours, 24–48 hours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Viewed item, alternatives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None</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Post-purchase</w:t>
            </w:r>
          </w:p>
        </w:tc>
        <w:tc>
          <w:tcPr>
            <w:tcW w:type="dxa" w:w="226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Order placed or shipped; split first-time vs. returning</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3–5 emails over about 30 days</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Thank you, how to use it, review request at 10–21 days after delivery, cross-sell at 21–30 days</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Loyalty or referral program, not discounts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Reorder reminder</w:t>
            </w:r>
          </w:p>
        </w:tc>
        <w:tc>
          <w:tcPr>
            <w:tcW w:type="dxa" w:w="226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Days since purchasing a used-up product; exits if reorder happens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 emails starting about 7 days before they run out</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"Running low?", one-click reorder, subscribe-and-save option</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Subscription discount only</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Back-in-stock</w:t>
            </w:r>
          </w:p>
        </w:tc>
        <w:tc>
          <w:tcPr>
            <w:tcW w:type="dxa" w:w="226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Customer requested an alert; stock crosses a threshold</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 emails (+SMS) when restocked</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It's back; limited quantity</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None</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Win-back</w:t>
            </w:r>
          </w:p>
        </w:tc>
        <w:tc>
          <w:tcPr>
            <w:tcW w:type="dxa" w:w="226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order in 1.5–2× the brand's average days between orders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 emails over 2–3 weeks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What's new, best sellers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Staged: nothing, then soft hint, then a real offer last</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VIP</w:t>
            </w:r>
          </w:p>
        </w:tc>
        <w:tc>
          <w:tcPr>
            <w:tcW w:type="dxa" w:w="226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Top 5–10% by total spend, or 3rd order</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Welcome to VIP, then monthly perks</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Early access, exclusive products</w:t>
            </w:r>
          </w:p>
        </w:tc>
        <w:tc>
          <w:tcPr>
            <w:tcW w:type="dxa" w:w="230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Access, not discounts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Sunset</w:t>
            </w:r>
          </w:p>
        </w:tc>
        <w:tc>
          <w:tcPr>
            <w:tcW w:type="dxa" w:w="226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click, visit, or order in 120–180 days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 emails over 7–10 days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"Still want to hear from us?"</w:t>
            </w:r>
          </w:p>
        </w:tc>
        <w:tc>
          <w:tcPr>
            <w:tcW w:type="dxa" w:w="230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Optional</w:t>
            </w:r>
          </w:p>
        </w:tc>
      </w:tr>
    </w:tbl>
    <w:p>
      <w:pPr>
        <w:spacing w:after="120" w:before="0"/>
      </w:pPr>
    </w:p>
    <w:p>
      <w:r>
        <w:rPr>
          <w:rFonts w:ascii="Arial" w:cs="Arial" w:eastAsia="Arial" w:hAnsi="Arial"/>
          <w:sz w:val="20"/>
          <w:szCs w:val="20"/>
        </w:rPr>
        <w:t xml:space="preserve">In Omnisend's 2025 data: back-in-stock converted at 6.72% ($9.14 revenue per email); welcome at 2.11% ($6.16); abandoned cart at 1.72% ($3.59).</w:t>
      </w:r>
    </w:p>
    <w:p>
      <w:r>
        <w:rPr>
          <w:rFonts w:ascii="Arial" w:cs="Arial" w:eastAsia="Arial" w:hAnsi="Arial"/>
          <w:b/>
          <w:bCs/>
          <w:sz w:val="20"/>
          <w:szCs w:val="20"/>
        </w:rPr>
        <w:t xml:space="preserve">Special cases:</w:t>
      </w:r>
      <w:r>
        <w:rPr>
          <w:rFonts w:ascii="Arial" w:cs="Arial" w:eastAsia="Arial" w:hAnsi="Arial"/>
          <w:sz w:val="20"/>
          <w:szCs w:val="20"/>
        </w:rPr>
        <w:t xml:space="preserve"> Subscription customers skip the reorder reminder and win-back flows, they get their own journey with charge reminders and options to skip or swap. Gift orders get a "treat yourself" cross-sell instead of a reorder reminder. Canadian cart abandoners can only be emailed with consent or an existing relationship (Canadian anti-spam law).</w:t>
      </w:r>
    </w:p>
    <w:p>
      <w:pPr>
        <w:pStyle w:val="Heading2"/>
        <w:keepNext/>
      </w:pPr>
      <w:r>
        <w:rPr>
          <w:rFonts w:ascii="Arial" w:cs="Arial" w:eastAsia="Arial" w:hAnsi="Arial"/>
        </w:rPr>
        <w:t xml:space="preserve">10.4 Campaign planning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680"/>
      </w:tblGrid>
      <w:tr>
        <w:trPr>
          <w:cantSplit/>
          <w:tblHeader/>
        </w:trPr>
        <w:tc>
          <w:tcPr>
            <w:tcW w:type="dxa" w:w="24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Element</w:t>
            </w:r>
          </w:p>
        </w:tc>
        <w:tc>
          <w:tcPr>
            <w:tcW w:type="dxa" w:w="768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Standard practice</w:t>
            </w:r>
          </w:p>
        </w:tc>
      </w:tr>
      <w:tr>
        <w:trPr>
          <w:cantSplit/>
        </w:trPr>
        <w:tc>
          <w:tcPr>
            <w:tcW w:type="dxa" w:w="24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Frequency</w:t>
            </w:r>
          </w:p>
        </w:tc>
        <w:tc>
          <w:tcPr>
            <w:tcW w:type="dxa" w:w="76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 per week normally; up to daily during Black Friday week, for engaged segments only</w:t>
            </w:r>
          </w:p>
        </w:tc>
      </w:tr>
      <w:tr>
        <w:trPr>
          <w:cantSplit/>
        </w:trPr>
        <w:tc>
          <w:tcPr>
            <w:tcW w:type="dxa" w:w="24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Segments</w:t>
            </w:r>
          </w:p>
        </w:tc>
        <w:tc>
          <w:tcPr>
            <w:tcW w:type="dxa" w:w="76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Engaged (clicked, visited, or ordered in 30 days); warm (31–90 days); cool (91–180 days); older goes to sunset</w:t>
            </w:r>
          </w:p>
        </w:tc>
      </w:tr>
      <w:tr>
        <w:trPr>
          <w:cantSplit/>
        </w:trPr>
        <w:tc>
          <w:tcPr>
            <w:tcW w:type="dxa" w:w="24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Who gets what</w:t>
            </w:r>
          </w:p>
        </w:tc>
        <w:tc>
          <w:tcPr>
            <w:tcW w:type="dxa" w:w="76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Engaged get everything; warm get 1–2 per week; cool get the strongest monthly send</w:t>
            </w:r>
          </w:p>
        </w:tc>
      </w:tr>
      <w:tr>
        <w:trPr>
          <w:cantSplit/>
        </w:trPr>
        <w:tc>
          <w:tcPr>
            <w:tcW w:type="dxa" w:w="24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Content balance</w:t>
            </w:r>
          </w:p>
        </w:tc>
        <w:tc>
          <w:tcPr>
            <w:tcW w:type="dxa" w:w="76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40% products and new arrivals, 30% education and brand story, 20% social proof, 10% offers (outside peak)</w:t>
            </w:r>
          </w:p>
        </w:tc>
      </w:tr>
      <w:tr>
        <w:trPr>
          <w:cantSplit/>
        </w:trPr>
        <w:tc>
          <w:tcPr>
            <w:tcW w:type="dxa" w:w="24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Testing</w:t>
            </w:r>
          </w:p>
        </w:tc>
        <w:tc>
          <w:tcPr>
            <w:tcW w:type="dxa" w:w="76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One variable at a time, measured by clicks and orders, never open rates</w:t>
            </w:r>
          </w:p>
        </w:tc>
      </w:tr>
    </w:tbl>
    <w:p>
      <w:pPr>
        <w:spacing w:after="120" w:before="0"/>
      </w:pPr>
    </w:p>
    <w:p>
      <w:r>
        <w:rPr>
          <w:rFonts w:ascii="Arial" w:cs="Arial" w:eastAsia="Arial" w:hAnsi="Arial"/>
          <w:sz w:val="20"/>
          <w:szCs w:val="20"/>
        </w:rPr>
        <w:t xml:space="preserve">The best documented example of this working: Patrick Ta Beauty's Black Friday 2024. They sent nearly 6 times their usual email volume, but to properly segmented audiences. Their unsubscribe rate fell 37%, and email drove 30% of online revenue, up from 10% the year before (Klaviyo case study).</w:t>
      </w:r>
    </w:p>
    <w:p>
      <w:r>
        <w:rPr>
          <w:rFonts w:ascii="Arial" w:cs="Arial" w:eastAsia="Arial" w:hAnsi="Arial"/>
          <w:b/>
          <w:bCs/>
          <w:sz w:val="20"/>
          <w:szCs w:val="20"/>
        </w:rPr>
        <w:t xml:space="preserve">Text message (SMS) layering:</w:t>
      </w:r>
      <w:r>
        <w:rPr>
          <w:rFonts w:ascii="Arial" w:cs="Arial" w:eastAsia="Arial" w:hAnsi="Arial"/>
          <w:sz w:val="20"/>
          <w:szCs w:val="20"/>
        </w:rPr>
        <w:t xml:space="preserve"> Klaviyo SMS costs about $0.009–$0.012 per US text. Use it where speed matters: abandoned checkout, back-in-stock alerts, shipping updates, and time-limited peak offers. Keep SMS campaigns to a few per month. US marketing texts need written consent, and quiet hours must be respected.</w:t>
      </w:r>
    </w:p>
    <w:p>
      <w:pPr>
        <w:pStyle w:val="Heading2"/>
        <w:keepNext/>
      </w:pPr>
      <w:r>
        <w:rPr>
          <w:rFonts w:ascii="Arial" w:cs="Arial" w:eastAsia="Arial" w:hAnsi="Arial"/>
        </w:rPr>
        <w:t xml:space="preserve">10.5 Example: rebuilding email for a $6M pet brand</w:t>
      </w:r>
    </w:p>
    <w:p>
      <w:pPr>
        <w:spacing w:after="160" w:before="0"/>
      </w:pPr>
      <w:r>
        <w:rPr>
          <w:rFonts w:ascii="Arial" w:cs="Arial" w:eastAsia="Arial" w:hAnsi="Arial"/>
          <w:i/>
          <w:iCs/>
          <w:color w:val="5B6573"/>
          <w:sz w:val="16"/>
          <w:szCs w:val="16"/>
        </w:rPr>
        <w:t xml:space="preserve">Illustrative example, not a real brand.</w:t>
      </w:r>
    </w:p>
    <w:p>
      <w:r>
        <w:rPr>
          <w:rFonts w:ascii="Arial" w:cs="Arial" w:eastAsia="Arial" w:hAnsi="Arial"/>
          <w:b/>
          <w:bCs/>
          <w:sz w:val="20"/>
          <w:szCs w:val="20"/>
        </w:rPr>
        <w:t xml:space="preserve">Before:</w:t>
      </w:r>
      <w:r>
        <w:rPr>
          <w:rFonts w:ascii="Arial" w:cs="Arial" w:eastAsia="Arial" w:hAnsi="Arial"/>
          <w:sz w:val="20"/>
          <w:szCs w:val="20"/>
        </w:rPr>
        <w:t xml:space="preserve"> A single welcome email with 10% off; a checkout abandonment flow offering 15% in every single email; no reorder, browse, or win-back sequences; four full-list campaigns per week to 70,000 subscribers. Email is 11% of website revenue.</w:t>
      </w:r>
    </w:p>
    <w:p>
      <w:r>
        <w:rPr>
          <w:rFonts w:ascii="Arial" w:cs="Arial" w:eastAsia="Arial" w:hAnsi="Arial"/>
          <w:b/>
          <w:bCs/>
          <w:sz w:val="20"/>
          <w:szCs w:val="20"/>
        </w:rPr>
        <w:t xml:space="preserve">Lhotse's first 90 days:</w:t>
      </w:r>
    </w:p>
    <w:p>
      <w:pPr>
        <w:pStyle w:val="ListParagraph"/>
        <w:numPr>
          <w:ilvl w:val="0"/>
          <w:numId w:val="2"/>
        </w:numPr>
        <w:spacing w:after="60"/>
      </w:pPr>
      <w:r>
        <w:rPr>
          <w:rFonts w:ascii="Arial" w:cs="Arial" w:eastAsia="Arial" w:hAnsi="Arial"/>
          <w:b/>
          <w:bCs/>
          <w:sz w:val="20"/>
          <w:szCs w:val="20"/>
        </w:rPr>
        <w:t xml:space="preserve">Weeks 1–2:</w:t>
      </w:r>
      <w:r>
        <w:rPr>
          <w:rFonts w:ascii="Arial" w:cs="Arial" w:eastAsia="Arial" w:hAnsi="Arial"/>
          <w:sz w:val="20"/>
          <w:szCs w:val="20"/>
        </w:rPr>
        <w:t xml:space="preserve"> Rebuild targeting based on clicks and orders. Move 24,000 inactive subscribers to a sunset flow.</w:t>
      </w:r>
    </w:p>
    <w:p>
      <w:pPr>
        <w:pStyle w:val="ListParagraph"/>
        <w:numPr>
          <w:ilvl w:val="0"/>
          <w:numId w:val="2"/>
        </w:numPr>
        <w:spacing w:after="60"/>
      </w:pPr>
      <w:r>
        <w:rPr>
          <w:rFonts w:ascii="Arial" w:cs="Arial" w:eastAsia="Arial" w:hAnsi="Arial"/>
          <w:b/>
          <w:bCs/>
          <w:sz w:val="20"/>
          <w:szCs w:val="20"/>
        </w:rPr>
        <w:t xml:space="preserve">Weeks 2–4:</w:t>
      </w:r>
      <w:r>
        <w:rPr>
          <w:rFonts w:ascii="Arial" w:cs="Arial" w:eastAsia="Arial" w:hAnsi="Arial"/>
          <w:sz w:val="20"/>
          <w:szCs w:val="20"/>
        </w:rPr>
        <w:t xml:space="preserve"> Build a five-email welcome sequence (pet quiz, founder story, reviews, vet-backed education, then the offer) and limit the checkout discount to the last email for first-time buyers only.</w:t>
      </w:r>
    </w:p>
    <w:p>
      <w:pPr>
        <w:pStyle w:val="ListParagraph"/>
        <w:numPr>
          <w:ilvl w:val="0"/>
          <w:numId w:val="2"/>
        </w:numPr>
        <w:spacing w:after="60"/>
      </w:pPr>
      <w:r>
        <w:rPr>
          <w:rFonts w:ascii="Arial" w:cs="Arial" w:eastAsia="Arial" w:hAnsi="Arial"/>
          <w:b/>
          <w:bCs/>
          <w:sz w:val="20"/>
          <w:szCs w:val="20"/>
        </w:rPr>
        <w:t xml:space="preserve">Weeks 4–8:</w:t>
      </w:r>
      <w:r>
        <w:rPr>
          <w:rFonts w:ascii="Arial" w:cs="Arial" w:eastAsia="Arial" w:hAnsi="Arial"/>
          <w:sz w:val="20"/>
          <w:szCs w:val="20"/>
        </w:rPr>
        <w:t xml:space="preserve"> Add reorder reminders for the three best-selling food products (45-day reorder cycle, first reminder at day 38, with a subscribe-and-save offer) and browse abandonment.</w:t>
      </w:r>
    </w:p>
    <w:p>
      <w:pPr>
        <w:pStyle w:val="ListParagraph"/>
        <w:numPr>
          <w:ilvl w:val="0"/>
          <w:numId w:val="2"/>
        </w:numPr>
        <w:spacing w:after="60"/>
      </w:pPr>
      <w:r>
        <w:rPr>
          <w:rFonts w:ascii="Arial" w:cs="Arial" w:eastAsia="Arial" w:hAnsi="Arial"/>
          <w:b/>
          <w:bCs/>
          <w:sz w:val="20"/>
          <w:szCs w:val="20"/>
        </w:rPr>
        <w:t xml:space="preserve">Weeks 8–12:</w:t>
      </w:r>
      <w:r>
        <w:rPr>
          <w:rFonts w:ascii="Arial" w:cs="Arial" w:eastAsia="Arial" w:hAnsi="Arial"/>
          <w:sz w:val="20"/>
          <w:szCs w:val="20"/>
        </w:rPr>
        <w:t xml:space="preserve"> Add a 90-day win-back, a "gotcha day" (adoption anniversary) sequence using quiz data, and 10% holdout control groups on the welcome and reorder sequences.</w:t>
      </w:r>
    </w:p>
    <w:p>
      <w:pPr>
        <w:spacing w:after="60" w:before="0"/>
      </w:pPr>
    </w:p>
    <w:p>
      <w:r>
        <w:rPr>
          <w:rFonts w:ascii="Arial" w:cs="Arial" w:eastAsia="Arial" w:hAnsi="Arial"/>
          <w:b/>
          <w:bCs/>
          <w:sz w:val="20"/>
          <w:szCs w:val="20"/>
        </w:rPr>
        <w:t xml:space="preserve">How we measure it:</w:t>
      </w:r>
      <w:r>
        <w:rPr>
          <w:rFonts w:ascii="Arial" w:cs="Arial" w:eastAsia="Arial" w:hAnsi="Arial"/>
          <w:sz w:val="20"/>
          <w:szCs w:val="20"/>
        </w:rPr>
        <w:t xml:space="preserve"> email's share of revenue, holdout test lift vs. our fees, discount cost per order, and Klaviyo subscription tier after removing inactive subscribers.</w:t>
      </w:r>
    </w:p>
    <w:p>
      <w:r>
        <w:rPr>
          <w:rFonts w:ascii="Arial" w:cs="Arial" w:eastAsia="Arial" w:hAnsi="Arial"/>
          <w:sz w:val="20"/>
          <w:szCs w:val="20"/>
        </w:rPr>
        <w:t xml:space="preserve">In a food-led pet brand, we would expect the reorder reminder to become the top revenue sequence within one or two reorder cycles. Proving it with a holdout test is what turns a trial quarter into a long retainer.</w:t>
      </w:r>
    </w:p>
    <w:p>
      <w:pPr>
        <w:pStyle w:val="Heading1"/>
        <w:keepNext/>
      </w:pPr>
      <w:r>
        <w:rPr>
          <w:rFonts w:ascii="Arial" w:cs="Arial" w:eastAsia="Arial" w:hAnsi="Arial"/>
        </w:rPr>
        <w:t xml:space="preserve">11. Keeping the Email List Clean</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Klaviyo charges based on the number of active subscribers in the list. Inactive subscribers and fake sign-ups from bots cost a brand twice: once on the Klaviyo bill, and again because sending to them hurts inbox delivery. Engagement tiers, a sunset sequence, careful removal of dead subscribers, and bot protection answer the most common complaint from brand owners: a rising Klaviyo bill with flat email revenue.</w:t>
      </w:r>
    </w:p>
    <w:p>
      <w:pPr>
        <w:pStyle w:val="Heading2"/>
        <w:keepNext/>
      </w:pPr>
      <w:r>
        <w:rPr>
          <w:rFonts w:ascii="Arial" w:cs="Arial" w:eastAsia="Arial" w:hAnsi="Arial"/>
        </w:rPr>
        <w:t xml:space="preserve">11.1 How Klaviyo charges</w:t>
      </w:r>
    </w:p>
    <w:p>
      <w:r>
        <w:rPr>
          <w:rFonts w:ascii="Arial" w:cs="Arial" w:eastAsia="Arial" w:hAnsi="Arial"/>
          <w:sz w:val="20"/>
          <w:szCs w:val="20"/>
        </w:rPr>
        <w:t xml:space="preserve">Since February 2025, Klaviyo charges based on every "active" profile (subscriber). It automatically bumps you to the next pricing tier when you exceed the limit. Removed (suppressed) subscribers leave the bill, but they can no longer receive any emails or enter any sequences, so removing someone is a marketing decision, not just a billing 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8"/>
        <w:gridCol w:w="4032"/>
      </w:tblGrid>
      <w:tr>
        <w:trPr>
          <w:cantSplit/>
          <w:tblHeader/>
        </w:trPr>
        <w:tc>
          <w:tcPr>
            <w:tcW w:type="dxa" w:w="604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Active subscribers</w:t>
            </w:r>
          </w:p>
        </w:tc>
        <w:tc>
          <w:tcPr>
            <w:tcW w:type="dxa" w:w="403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Monthly cost</w:t>
            </w:r>
          </w:p>
        </w:tc>
      </w:tr>
      <w:tr>
        <w:trPr>
          <w:cantSplit/>
        </w:trPr>
        <w:tc>
          <w:tcPr>
            <w:tcW w:type="dxa" w:w="60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1,000</w:t>
            </w:r>
          </w:p>
        </w:tc>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w:t>
            </w:r>
          </w:p>
        </w:tc>
      </w:tr>
      <w:tr>
        <w:trPr>
          <w:cantSplit/>
        </w:trPr>
        <w:tc>
          <w:tcPr>
            <w:tcW w:type="dxa" w:w="60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5,000</w:t>
            </w:r>
          </w:p>
        </w:tc>
        <w:tc>
          <w:tcPr>
            <w:tcW w:type="dxa" w:w="40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$100</w:t>
            </w:r>
          </w:p>
        </w:tc>
      </w:tr>
      <w:tr>
        <w:trPr>
          <w:cantSplit/>
        </w:trPr>
        <w:tc>
          <w:tcPr>
            <w:tcW w:type="dxa" w:w="60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10,000</w:t>
            </w:r>
          </w:p>
        </w:tc>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$150</w:t>
            </w:r>
          </w:p>
        </w:tc>
      </w:tr>
      <w:tr>
        <w:trPr>
          <w:cantSplit/>
        </w:trPr>
        <w:tc>
          <w:tcPr>
            <w:tcW w:type="dxa" w:w="60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25,000</w:t>
            </w:r>
          </w:p>
        </w:tc>
        <w:tc>
          <w:tcPr>
            <w:tcW w:type="dxa" w:w="40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$400</w:t>
            </w:r>
          </w:p>
        </w:tc>
      </w:tr>
      <w:tr>
        <w:trPr>
          <w:cantSplit/>
        </w:trPr>
        <w:tc>
          <w:tcPr>
            <w:tcW w:type="dxa" w:w="60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50,000</w:t>
            </w:r>
          </w:p>
        </w:tc>
        <w:tc>
          <w:tcPr>
            <w:tcW w:type="dxa" w:w="403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$700</w:t>
            </w:r>
          </w:p>
        </w:tc>
      </w:tr>
      <w:tr>
        <w:trPr>
          <w:cantSplit/>
        </w:trPr>
        <w:tc>
          <w:tcPr>
            <w:tcW w:type="dxa" w:w="60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250,000</w:t>
            </w:r>
          </w:p>
        </w:tc>
        <w:tc>
          <w:tcPr>
            <w:tcW w:type="dxa" w:w="403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$2,300</w:t>
            </w:r>
          </w:p>
        </w:tc>
      </w:tr>
    </w:tbl>
    <w:p>
      <w:pPr>
        <w:spacing w:after="120" w:before="0"/>
      </w:pPr>
    </w:p>
    <w:p>
      <w:pPr>
        <w:spacing w:after="160" w:before="0"/>
      </w:pPr>
      <w:r>
        <w:rPr>
          <w:rFonts w:ascii="Arial" w:cs="Arial" w:eastAsia="Arial" w:hAnsi="Arial"/>
          <w:i/>
          <w:iCs/>
          <w:color w:val="5B6573"/>
          <w:sz w:val="16"/>
          <w:szCs w:val="16"/>
        </w:rPr>
        <w:t xml:space="preserve">Check Klaviyo's current prices before quoting any numbers to a client. A brand with 25,000–100,000 subscribers probably pays $400–$1,400+ per month for email alone (our estimate).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6"/>
          <w:szCs w:val="16"/>
        </w:rPr>
        <w:t xml:space="preserve">  A TYPICAL UNMANAGED LIST: 60,000 ACTIVE SUBSCRIBERS (each block ≈ 1,500 people)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Engaged (within 30 days)   ████████                  12,000  20%  ← earns almost all revenue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Warm (31–90 days)          ██████                     9,000  15%</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Cool (91–180 days)         ████                       6,000  10%</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Inactive (180+ days)       ████████████████████      30,000  50%  ← costs money, hurts delivery</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6"/>
          <w:szCs w:val="16"/>
        </w:rPr>
        <w:t xml:space="preserve">  Bots / fake addresses      ██                         3,000   5%  ← costs money, causes bounces</w:t>
      </w:r>
    </w:p>
    <w:p>
      <w:r>
        <w:rPr>
          <w:rFonts w:ascii="Arial" w:cs="Arial" w:eastAsia="Arial" w:hAnsi="Arial"/>
          <w:sz w:val="20"/>
          <w:szCs w:val="20"/>
        </w:rPr>
        <w:t xml:space="preserve">One brand owner publicly described this exact situation: paying for 50,000+ subscribers while only about 15,000 engaged with anything, with flat revenue and a rising bill. Removing the inactive and bot segments would bring this list to about 27,000 real subscribers, cutting the email bill by roughly $300/month, and all remaining emails would go to people who actually respond.</w:t>
      </w:r>
    </w:p>
    <w:p>
      <w:pPr>
        <w:pStyle w:val="Heading2"/>
        <w:keepNext/>
      </w:pPr>
      <w:r>
        <w:rPr>
          <w:rFonts w:ascii="Arial" w:cs="Arial" w:eastAsia="Arial" w:hAnsi="Arial"/>
        </w:rPr>
        <w:t xml:space="preserve">11.2 How to categorize subscribers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4572"/>
        <w:gridCol w:w="4608"/>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Category</w:t>
            </w:r>
          </w:p>
        </w:tc>
        <w:tc>
          <w:tcPr>
            <w:tcW w:type="dxa" w:w="457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Definition (based on clicks, visits, and orders, NOT opens)</w:t>
            </w:r>
          </w:p>
        </w:tc>
        <w:tc>
          <w:tcPr>
            <w:tcW w:type="dxa" w:w="460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we treat them</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Engaged</w:t>
            </w:r>
          </w:p>
        </w:tc>
        <w:tc>
          <w:tcPr>
            <w:tcW w:type="dxa" w:w="45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Clicked, visited, or ordered in last 30 days, or signed up in last 30 days</w:t>
            </w:r>
          </w:p>
        </w:tc>
        <w:tc>
          <w:tcPr>
            <w:tcW w:type="dxa" w:w="46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Every campaign</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Warm</w:t>
            </w:r>
          </w:p>
        </w:tc>
        <w:tc>
          <w:tcPr>
            <w:tcW w:type="dxa" w:w="457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Same actions, 31–90 days ago</w:t>
            </w:r>
          </w:p>
        </w:tc>
        <w:tc>
          <w:tcPr>
            <w:tcW w:type="dxa" w:w="46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 campaigns per week</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Cool</w:t>
            </w:r>
          </w:p>
        </w:tc>
        <w:tc>
          <w:tcPr>
            <w:tcW w:type="dxa" w:w="45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Same actions, 91–180 days ago</w:t>
            </w:r>
          </w:p>
        </w:tc>
        <w:tc>
          <w:tcPr>
            <w:tcW w:type="dxa" w:w="46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Strongest monthly send; targeted win-back</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Inactive</w:t>
            </w:r>
          </w:p>
        </w:tc>
        <w:tc>
          <w:tcPr>
            <w:tcW w:type="dxa" w:w="457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Nothing in 180+ days</w:t>
            </w:r>
          </w:p>
        </w:tc>
        <w:tc>
          <w:tcPr>
            <w:tcW w:type="dxa" w:w="46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Sunset sequence, then remove</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Protected</w:t>
            </w:r>
          </w:p>
        </w:tc>
        <w:tc>
          <w:tcPr>
            <w:tcW w:type="dxa" w:w="457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Ordered in last 12 months, active subscriber, VIP, or has an open order or support ticket</w:t>
            </w:r>
          </w:p>
        </w:tc>
        <w:tc>
          <w:tcPr>
            <w:tcW w:type="dxa" w:w="46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Never remove automatically; keep in post-purchase and transactional emails</w:t>
            </w:r>
          </w:p>
        </w:tc>
      </w:tr>
    </w:tbl>
    <w:p>
      <w:pPr>
        <w:spacing w:after="120" w:before="0"/>
      </w:pPr>
    </w:p>
    <w:p>
      <w:r>
        <w:rPr>
          <w:rFonts w:ascii="Arial" w:cs="Arial" w:eastAsia="Arial" w:hAnsi="Arial"/>
          <w:b/>
          <w:bCs/>
          <w:sz w:val="20"/>
          <w:szCs w:val="20"/>
        </w:rPr>
        <w:t xml:space="preserve">Who to remove (suppress):</w:t>
      </w:r>
    </w:p>
    <w:p>
      <w:pPr>
        <w:pStyle w:val="ListParagraph"/>
        <w:numPr>
          <w:ilvl w:val="0"/>
          <w:numId w:val="2"/>
        </w:numPr>
        <w:spacing w:after="60"/>
      </w:pPr>
      <w:r>
        <w:rPr>
          <w:rFonts w:ascii="Arial" w:cs="Arial" w:eastAsia="Arial" w:hAnsi="Arial"/>
          <w:sz w:val="20"/>
          <w:szCs w:val="20"/>
        </w:rPr>
        <w:t xml:space="preserve">Hard bounces and spam complaints (Klaviyo does this automatically)</w:t>
      </w:r>
    </w:p>
    <w:p>
      <w:pPr>
        <w:pStyle w:val="ListParagraph"/>
        <w:numPr>
          <w:ilvl w:val="0"/>
          <w:numId w:val="2"/>
        </w:numPr>
        <w:spacing w:after="60"/>
      </w:pPr>
      <w:r>
        <w:rPr>
          <w:rFonts w:ascii="Arial" w:cs="Arial" w:eastAsia="Arial" w:hAnsi="Arial"/>
          <w:sz w:val="20"/>
          <w:szCs w:val="20"/>
        </w:rPr>
        <w:t xml:space="preserve">People who did not re-engage after the sunset sequence</w:t>
      </w:r>
    </w:p>
    <w:p>
      <w:pPr>
        <w:pStyle w:val="ListParagraph"/>
        <w:numPr>
          <w:ilvl w:val="0"/>
          <w:numId w:val="2"/>
        </w:numPr>
        <w:spacing w:after="60"/>
      </w:pPr>
      <w:r>
        <w:rPr>
          <w:rFonts w:ascii="Arial" w:cs="Arial" w:eastAsia="Arial" w:hAnsi="Arial"/>
          <w:sz w:val="20"/>
          <w:szCs w:val="20"/>
        </w:rPr>
        <w:t xml:space="preserve">Confirmed bots</w:t>
      </w:r>
    </w:p>
    <w:p>
      <w:pPr>
        <w:pStyle w:val="ListParagraph"/>
        <w:numPr>
          <w:ilvl w:val="0"/>
          <w:numId w:val="2"/>
        </w:numPr>
        <w:spacing w:after="60"/>
      </w:pPr>
      <w:r>
        <w:rPr>
          <w:rFonts w:ascii="Arial" w:cs="Arial" w:eastAsia="Arial" w:hAnsi="Arial"/>
          <w:sz w:val="20"/>
          <w:szCs w:val="20"/>
        </w:rPr>
        <w:t xml:space="preserve">Disposable email addresses and malformed addresses</w:t>
      </w:r>
    </w:p>
    <w:p>
      <w:pPr>
        <w:pStyle w:val="ListParagraph"/>
        <w:numPr>
          <w:ilvl w:val="0"/>
          <w:numId w:val="2"/>
        </w:numPr>
        <w:spacing w:after="60"/>
      </w:pPr>
      <w:r>
        <w:rPr>
          <w:rFonts w:ascii="Arial" w:cs="Arial" w:eastAsia="Arial" w:hAnsi="Arial"/>
          <w:sz w:val="20"/>
          <w:szCs w:val="20"/>
        </w:rPr>
        <w:t xml:space="preserve">People who received 3+ emails in 180 days with no click, website visit, or order</w:t>
      </w:r>
    </w:p>
    <w:p>
      <w:pPr>
        <w:spacing w:after="60" w:before="0"/>
      </w:pPr>
    </w:p>
    <w:p>
      <w:pPr>
        <w:pStyle w:val="Heading2"/>
        <w:keepNext/>
      </w:pPr>
      <w:r>
        <w:rPr>
          <w:rFonts w:ascii="Arial" w:cs="Arial" w:eastAsia="Arial" w:hAnsi="Arial"/>
        </w:rPr>
        <w:t xml:space="preserve">11.3 Sunset sequence process</w:t>
      </w:r>
    </w:p>
    <w:p>
      <w:pPr>
        <w:pStyle w:val="ListParagraph"/>
        <w:numPr>
          <w:ilvl w:val="0"/>
          <w:numId w:val="9"/>
        </w:numPr>
        <w:spacing w:after="60"/>
      </w:pPr>
      <w:r>
        <w:rPr>
          <w:rFonts w:ascii="Arial" w:cs="Arial" w:eastAsia="Arial" w:hAnsi="Arial"/>
          <w:b/>
          <w:bCs/>
          <w:sz w:val="20"/>
          <w:szCs w:val="20"/>
        </w:rPr>
        <w:t xml:space="preserve">Entry trigger:</w:t>
      </w:r>
      <w:r>
        <w:rPr>
          <w:rFonts w:ascii="Arial" w:cs="Arial" w:eastAsia="Arial" w:hAnsi="Arial"/>
          <w:sz w:val="20"/>
          <w:szCs w:val="20"/>
        </w:rPr>
        <w:t xml:space="preserve"> No click, visit, or order in 180 days AND no order in 12 months. Use 270 days for products with long buying cycles.</w:t>
      </w:r>
    </w:p>
    <w:p>
      <w:pPr>
        <w:pStyle w:val="ListParagraph"/>
        <w:numPr>
          <w:ilvl w:val="0"/>
          <w:numId w:val="9"/>
        </w:numPr>
        <w:spacing w:after="60"/>
      </w:pPr>
      <w:r>
        <w:rPr>
          <w:rFonts w:ascii="Arial" w:cs="Arial" w:eastAsia="Arial" w:hAnsi="Arial"/>
          <w:b/>
          <w:bCs/>
          <w:sz w:val="20"/>
          <w:szCs w:val="20"/>
        </w:rPr>
        <w:t xml:space="preserve">Re-permission:</w:t>
      </w:r>
      <w:r>
        <w:rPr>
          <w:rFonts w:ascii="Arial" w:cs="Arial" w:eastAsia="Arial" w:hAnsi="Arial"/>
          <w:sz w:val="20"/>
          <w:szCs w:val="20"/>
        </w:rPr>
        <w:t xml:space="preserve"> 1–2 emails over 7–10 days, with a one-click "yes, keep me subscribed" button.</w:t>
      </w:r>
    </w:p>
    <w:p>
      <w:pPr>
        <w:pStyle w:val="ListParagraph"/>
        <w:numPr>
          <w:ilvl w:val="0"/>
          <w:numId w:val="9"/>
        </w:numPr>
        <w:spacing w:after="60"/>
      </w:pPr>
      <w:r>
        <w:rPr>
          <w:rFonts w:ascii="Arial" w:cs="Arial" w:eastAsia="Arial" w:hAnsi="Arial"/>
          <w:b/>
          <w:bCs/>
          <w:sz w:val="20"/>
          <w:szCs w:val="20"/>
        </w:rPr>
        <w:t xml:space="preserve">If they click:</w:t>
      </w:r>
      <w:r>
        <w:rPr>
          <w:rFonts w:ascii="Arial" w:cs="Arial" w:eastAsia="Arial" w:hAnsi="Arial"/>
          <w:sz w:val="20"/>
          <w:szCs w:val="20"/>
        </w:rPr>
        <w:t xml:space="preserve"> Move them back to the warm category.</w:t>
      </w:r>
    </w:p>
    <w:p>
      <w:pPr>
        <w:pStyle w:val="ListParagraph"/>
        <w:numPr>
          <w:ilvl w:val="0"/>
          <w:numId w:val="9"/>
        </w:numPr>
        <w:spacing w:after="60"/>
      </w:pPr>
      <w:r>
        <w:rPr>
          <w:rFonts w:ascii="Arial" w:cs="Arial" w:eastAsia="Arial" w:hAnsi="Arial"/>
          <w:b/>
          <w:bCs/>
          <w:sz w:val="20"/>
          <w:szCs w:val="20"/>
        </w:rPr>
        <w:t xml:space="preserve">If they don't:</w:t>
      </w:r>
      <w:r>
        <w:rPr>
          <w:rFonts w:ascii="Arial" w:cs="Arial" w:eastAsia="Arial" w:hAnsi="Arial"/>
          <w:sz w:val="20"/>
          <w:szCs w:val="20"/>
        </w:rPr>
        <w:t xml:space="preserve"> Remove them with a reason tag (e.g., "sunset_2026Q4") so the removal can be tracked and undone if needed.</w:t>
      </w:r>
    </w:p>
    <w:p>
      <w:pPr>
        <w:pStyle w:val="ListParagraph"/>
        <w:numPr>
          <w:ilvl w:val="0"/>
          <w:numId w:val="9"/>
        </w:numPr>
        <w:spacing w:after="60"/>
      </w:pPr>
      <w:r>
        <w:rPr>
          <w:rFonts w:ascii="Arial" w:cs="Arial" w:eastAsia="Arial" w:hAnsi="Arial"/>
          <w:b/>
          <w:bCs/>
          <w:sz w:val="20"/>
          <w:szCs w:val="20"/>
        </w:rPr>
        <w:t xml:space="preserve">Run it as an ongoing automated sequence,</w:t>
      </w:r>
      <w:r>
        <w:rPr>
          <w:rFonts w:ascii="Arial" w:cs="Arial" w:eastAsia="Arial" w:hAnsi="Arial"/>
          <w:sz w:val="20"/>
          <w:szCs w:val="20"/>
        </w:rPr>
        <w:t xml:space="preserve"> not as an annual one-time purge.</w:t>
      </w:r>
    </w:p>
    <w:p>
      <w:pPr>
        <w:pStyle w:val="ListParagraph"/>
        <w:numPr>
          <w:ilvl w:val="0"/>
          <w:numId w:val="9"/>
        </w:numPr>
        <w:spacing w:after="60"/>
      </w:pPr>
      <w:r>
        <w:rPr>
          <w:rFonts w:ascii="Arial" w:cs="Arial" w:eastAsia="Arial" w:hAnsi="Arial"/>
          <w:b/>
          <w:bCs/>
          <w:sz w:val="20"/>
          <w:szCs w:val="20"/>
        </w:rPr>
        <w:t xml:space="preserve">Report:</w:t>
      </w:r>
      <w:r>
        <w:rPr>
          <w:rFonts w:ascii="Arial" w:cs="Arial" w:eastAsia="Arial" w:hAnsi="Arial"/>
          <w:sz w:val="20"/>
          <w:szCs w:val="20"/>
        </w:rPr>
        <w:t xml:space="preserve"> how many were removed, how category sizes changed, and how click and order rates changed.</w:t>
      </w:r>
    </w:p>
    <w:p>
      <w:pPr>
        <w:spacing w:after="60" w:before="0"/>
      </w:pPr>
    </w:p>
    <w:p>
      <w:r>
        <w:rPr>
          <w:rFonts w:ascii="Arial" w:cs="Arial" w:eastAsia="Arial" w:hAnsi="Arial"/>
          <w:sz w:val="20"/>
          <w:szCs w:val="20"/>
        </w:rPr>
        <w:t xml:space="preserve">One manufacturer who removed unengaged subscribers and added a sunset flow publicly reported their open rate rising from 45–55% to 65–70%. Opens are not a great metric (Section 9), but the direction confirms it: emailing fewer, more engaged people improves every other metric.</w:t>
      </w:r>
    </w:p>
    <w:p>
      <w:pPr>
        <w:pStyle w:val="Heading2"/>
        <w:keepNext/>
      </w:pPr>
      <w:r>
        <w:rPr>
          <w:rFonts w:ascii="Arial" w:cs="Arial" w:eastAsia="Arial" w:hAnsi="Arial"/>
        </w:rPr>
        <w:t xml:space="preserve">11.4 Bots and list bombing</w:t>
      </w:r>
    </w:p>
    <w:p>
      <w:r>
        <w:rPr>
          <w:rFonts w:ascii="Arial" w:cs="Arial" w:eastAsia="Arial" w:hAnsi="Arial"/>
          <w:b/>
          <w:bCs/>
          <w:sz w:val="20"/>
          <w:szCs w:val="20"/>
        </w:rPr>
        <w:t xml:space="preserve">List bombing</w:t>
      </w:r>
      <w:r>
        <w:rPr>
          <w:rFonts w:ascii="Arial" w:cs="Arial" w:eastAsia="Arial" w:hAnsi="Arial"/>
          <w:sz w:val="20"/>
          <w:szCs w:val="20"/>
        </w:rPr>
        <w:t xml:space="preserve"> happens when bots flood a sign-up form with real or fake email addresses. The brand then pays to store junk contacts, and their welcome emails bounce or land in spam.</w:t>
      </w:r>
    </w:p>
    <w:p>
      <w:r>
        <w:rPr>
          <w:rFonts w:ascii="Arial" w:cs="Arial" w:eastAsia="Arial" w:hAnsi="Arial"/>
          <w:sz w:val="20"/>
          <w:szCs w:val="20"/>
        </w:rPr>
        <w:t xml:space="preserve">Warning signs:</w:t>
      </w:r>
    </w:p>
    <w:p>
      <w:pPr>
        <w:pStyle w:val="ListParagraph"/>
        <w:numPr>
          <w:ilvl w:val="0"/>
          <w:numId w:val="2"/>
        </w:numPr>
        <w:spacing w:after="60"/>
      </w:pPr>
      <w:r>
        <w:rPr>
          <w:rFonts w:ascii="Arial" w:cs="Arial" w:eastAsia="Arial" w:hAnsi="Arial"/>
          <w:sz w:val="20"/>
          <w:szCs w:val="20"/>
        </w:rPr>
        <w:t xml:space="preserve">Sign-up spikes at odd hours or all from one country</w:t>
      </w:r>
    </w:p>
    <w:p>
      <w:pPr>
        <w:pStyle w:val="ListParagraph"/>
        <w:numPr>
          <w:ilvl w:val="0"/>
          <w:numId w:val="2"/>
        </w:numPr>
        <w:spacing w:after="60"/>
      </w:pPr>
      <w:r>
        <w:rPr>
          <w:rFonts w:ascii="Arial" w:cs="Arial" w:eastAsia="Arial" w:hAnsi="Arial"/>
          <w:sz w:val="20"/>
          <w:szCs w:val="20"/>
        </w:rPr>
        <w:t xml:space="preserve">Random-string names or website URLs in the name field</w:t>
      </w:r>
    </w:p>
    <w:p>
      <w:pPr>
        <w:pStyle w:val="ListParagraph"/>
        <w:numPr>
          <w:ilvl w:val="0"/>
          <w:numId w:val="2"/>
        </w:numPr>
        <w:spacing w:after="60"/>
      </w:pPr>
      <w:r>
        <w:rPr>
          <w:rFonts w:ascii="Arial" w:cs="Arial" w:eastAsia="Arial" w:hAnsi="Arial"/>
          <w:sz w:val="20"/>
          <w:szCs w:val="20"/>
        </w:rPr>
        <w:t xml:space="preserve">High bounce rates on the very first welcome email</w:t>
      </w:r>
    </w:p>
    <w:p>
      <w:pPr>
        <w:pStyle w:val="ListParagraph"/>
        <w:numPr>
          <w:ilvl w:val="0"/>
          <w:numId w:val="2"/>
        </w:numPr>
        <w:spacing w:after="60"/>
      </w:pPr>
      <w:r>
        <w:rPr>
          <w:rFonts w:ascii="Arial" w:cs="Arial" w:eastAsia="Arial" w:hAnsi="Arial"/>
          <w:sz w:val="20"/>
          <w:szCs w:val="20"/>
        </w:rPr>
        <w:t xml:space="preserve">Clusters of unusual email domains</w:t>
      </w:r>
    </w:p>
    <w:p>
      <w:pPr>
        <w:spacing w:after="60" w:before="0"/>
      </w:pPr>
    </w:p>
    <w:p>
      <w:r>
        <w:rPr>
          <w:rFonts w:ascii="Arial" w:cs="Arial" w:eastAsia="Arial" w:hAnsi="Arial"/>
          <w:b/>
          <w:bCs/>
          <w:sz w:val="20"/>
          <w:szCs w:val="20"/>
        </w:rPr>
        <w:t xml:space="preserve">How to protect sign-up forms:</w:t>
      </w:r>
    </w:p>
    <w:p>
      <w:pPr>
        <w:pStyle w:val="ListParagraph"/>
        <w:numPr>
          <w:ilvl w:val="0"/>
          <w:numId w:val="2"/>
        </w:numPr>
        <w:spacing w:after="60"/>
      </w:pPr>
      <w:r>
        <w:rPr>
          <w:rFonts w:ascii="Arial" w:cs="Arial" w:eastAsia="Arial" w:hAnsi="Arial"/>
          <w:sz w:val="20"/>
          <w:szCs w:val="20"/>
        </w:rPr>
        <w:t xml:space="preserve">CAPTCHA or bot protection on every form</w:t>
      </w:r>
    </w:p>
    <w:p>
      <w:pPr>
        <w:pStyle w:val="ListParagraph"/>
        <w:numPr>
          <w:ilvl w:val="0"/>
          <w:numId w:val="2"/>
        </w:numPr>
        <w:spacing w:after="60"/>
      </w:pPr>
      <w:r>
        <w:rPr>
          <w:rFonts w:ascii="Arial" w:cs="Arial" w:eastAsia="Arial" w:hAnsi="Arial"/>
          <w:sz w:val="20"/>
          <w:szCs w:val="20"/>
        </w:rPr>
        <w:t xml:space="preserve">A hidden "honeypot" field that only bots fill in (real people never see it)</w:t>
      </w:r>
    </w:p>
    <w:p>
      <w:pPr>
        <w:pStyle w:val="ListParagraph"/>
        <w:numPr>
          <w:ilvl w:val="0"/>
          <w:numId w:val="2"/>
        </w:numPr>
        <w:spacing w:after="60"/>
      </w:pPr>
      <w:r>
        <w:rPr>
          <w:rFonts w:ascii="Arial" w:cs="Arial" w:eastAsia="Arial" w:hAnsi="Arial"/>
          <w:sz w:val="20"/>
          <w:szCs w:val="20"/>
        </w:rPr>
        <w:t xml:space="preserve">Double opt-in for high-risk sign-up sources (footer forms, countries you don't ship to, API sign-ups)</w:t>
      </w:r>
    </w:p>
    <w:p>
      <w:pPr>
        <w:pStyle w:val="ListParagraph"/>
        <w:numPr>
          <w:ilvl w:val="0"/>
          <w:numId w:val="2"/>
        </w:numPr>
        <w:spacing w:after="60"/>
      </w:pPr>
      <w:r>
        <w:rPr>
          <w:rFonts w:ascii="Arial" w:cs="Arial" w:eastAsia="Arial" w:hAnsi="Arial"/>
          <w:sz w:val="20"/>
          <w:szCs w:val="20"/>
        </w:rPr>
        <w:t xml:space="preserve">Block common disposable email domains</w:t>
      </w:r>
    </w:p>
    <w:p>
      <w:pPr>
        <w:pStyle w:val="ListParagraph"/>
        <w:numPr>
          <w:ilvl w:val="0"/>
          <w:numId w:val="2"/>
        </w:numPr>
        <w:spacing w:after="60"/>
      </w:pPr>
      <w:r>
        <w:rPr>
          <w:rFonts w:ascii="Arial" w:cs="Arial" w:eastAsia="Arial" w:hAnsi="Arial"/>
          <w:sz w:val="20"/>
          <w:szCs w:val="20"/>
        </w:rPr>
        <w:t xml:space="preserve">Alert when daily sign-ups are 3× the usual daily average</w:t>
      </w:r>
    </w:p>
    <w:p>
      <w:pPr>
        <w:pStyle w:val="ListParagraph"/>
        <w:numPr>
          <w:ilvl w:val="0"/>
          <w:numId w:val="2"/>
        </w:numPr>
        <w:spacing w:after="60"/>
      </w:pPr>
      <w:r>
        <w:rPr>
          <w:rFonts w:ascii="Arial" w:cs="Arial" w:eastAsia="Arial" w:hAnsi="Arial"/>
          <w:sz w:val="20"/>
          <w:szCs w:val="20"/>
        </w:rPr>
        <w:t xml:space="preserve">Remove any subscriber cohort affected by a bot attack</w:t>
      </w:r>
    </w:p>
    <w:p>
      <w:pPr>
        <w:spacing w:after="60" w:before="0"/>
      </w:pPr>
    </w:p>
    <w:p>
      <w:pPr>
        <w:spacing w:after="160" w:before="0"/>
      </w:pPr>
      <w:r>
        <w:rPr>
          <w:rFonts w:ascii="Arial" w:cs="Arial" w:eastAsia="Arial" w:hAnsi="Arial"/>
          <w:i/>
          <w:iCs/>
          <w:color w:val="5B6573"/>
          <w:sz w:val="16"/>
          <w:szCs w:val="16"/>
        </w:rPr>
        <w:t xml:space="preserve">This matches Klaviyo's own guidance.</w:t>
      </w:r>
    </w:p>
    <w:p>
      <w:r>
        <w:rPr>
          <w:rFonts w:ascii="Arial" w:cs="Arial" w:eastAsia="Arial" w:hAnsi="Arial"/>
          <w:b/>
          <w:bCs/>
          <w:sz w:val="20"/>
          <w:szCs w:val="20"/>
        </w:rPr>
        <w:t xml:space="preserve">Never buy an email list.</w:t>
      </w:r>
      <w:r>
        <w:rPr>
          <w:rFonts w:ascii="Arial" w:cs="Arial" w:eastAsia="Arial" w:hAnsi="Arial"/>
          <w:sz w:val="20"/>
          <w:szCs w:val="20"/>
        </w:rPr>
        <w:t xml:space="preserve"> Purchased lists contain spam traps and dead addresses. One documented case bounced 12% on its very first send.</w:t>
      </w:r>
    </w:p>
    <w:p>
      <w:pPr>
        <w:pStyle w:val="Heading1"/>
        <w:keepNext/>
      </w:pPr>
      <w:r>
        <w:rPr>
          <w:rFonts w:ascii="Arial" w:cs="Arial" w:eastAsia="Arial" w:hAnsi="Arial"/>
        </w:rPr>
        <w:t xml:space="preserve">12. Email Security Settings Explained Simply</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There are three email security settings that Gmail, Yahoo, and Microsoft now require from brands sending bulk email. They all reject email from bulk senders that do not meet these rules. The three settings are: SPF (tells email providers which computers are allowed to send email for your domain), DKIM (a digital signature that proves the email is really from you), and DMARC (ties SPF and DKIM together and tells providers what to do with emails that fail). Starting with a DMARC record that just monitors, without blocking anything, meets all current requirements. Moving to blocking mode is best practice, done step by step. </w:t>
      </w:r>
      <w:r>
        <w:rPr>
          <w:rFonts w:ascii="Arial" w:cs="Arial" w:eastAsia="Arial" w:hAnsi="Arial"/>
          <w:b/>
          <w:bCs/>
          <w:sz w:val="20"/>
          <w:szCs w:val="20"/>
        </w:rPr>
        <w:t xml:space="preserve">A missing DMARC record, or having two of them, is the most common and most actionable finding we make in a free audit.</w:t>
      </w:r>
    </w:p>
    <w:p>
      <w:pPr>
        <w:pStyle w:val="Heading2"/>
        <w:keepNext/>
      </w:pPr>
      <w:r>
        <w:rPr>
          <w:rFonts w:ascii="Arial" w:cs="Arial" w:eastAsia="Arial" w:hAnsi="Arial"/>
        </w:rPr>
        <w:t xml:space="preserve">12.1 How the three settings work together</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7"/>
          <w:szCs w:val="17"/>
        </w:rPr>
        <w:t xml:space="preserve">   WHAT THE EMAIL PROVIDER SEES                    WHAT IT CHECKS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From:         hello@brand.com    ← visible       DMARC: did SPF or DKIM pass AND</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sender          match this domain?</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Return-Path:  bounces@send.brand.com ← technical  SPF: is this computer allowed to</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sender     send for this domain?</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DKIM-Signature: d=send.brand.com               DKIM: does the digital signature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match the public key in DNS?</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7"/>
          <w:szCs w:val="17"/>
        </w:rPr>
        <w:t xml:space="preserve">   ALIGNMENT: send.brand.com and brand.com share an organizational domain = aligned ✓</w:t>
      </w:r>
    </w:p>
    <w:p>
      <w:r>
        <w:rPr>
          <w:rFonts w:ascii="Arial" w:cs="Arial" w:eastAsia="Arial" w:hAnsi="Arial"/>
          <w:b/>
          <w:bCs/>
          <w:sz w:val="20"/>
          <w:szCs w:val="20"/>
        </w:rPr>
        <w:t xml:space="preserve">SPF</w:t>
      </w:r>
      <w:r>
        <w:rPr>
          <w:rFonts w:ascii="Arial" w:cs="Arial" w:eastAsia="Arial" w:hAnsi="Arial"/>
          <w:sz w:val="20"/>
          <w:szCs w:val="20"/>
        </w:rPr>
        <w:t xml:space="preserve"> checks whether the sending computer is authorized. </w:t>
      </w:r>
      <w:r>
        <w:rPr>
          <w:rFonts w:ascii="Arial" w:cs="Arial" w:eastAsia="Arial" w:hAnsi="Arial"/>
          <w:b/>
          <w:bCs/>
          <w:sz w:val="20"/>
          <w:szCs w:val="20"/>
        </w:rPr>
        <w:t xml:space="preserve">DKIM</w:t>
      </w:r>
      <w:r>
        <w:rPr>
          <w:rFonts w:ascii="Arial" w:cs="Arial" w:eastAsia="Arial" w:hAnsi="Arial"/>
          <w:sz w:val="20"/>
          <w:szCs w:val="20"/>
        </w:rPr>
        <w:t xml:space="preserve"> signs the email with a private key, the signature survives when the email is forwarded. </w:t>
      </w:r>
      <w:r>
        <w:rPr>
          <w:rFonts w:ascii="Arial" w:cs="Arial" w:eastAsia="Arial" w:hAnsi="Arial"/>
          <w:b/>
          <w:bCs/>
          <w:sz w:val="20"/>
          <w:szCs w:val="20"/>
        </w:rPr>
        <w:t xml:space="preserve">DMARC</w:t>
      </w:r>
      <w:r>
        <w:rPr>
          <w:rFonts w:ascii="Arial" w:cs="Arial" w:eastAsia="Arial" w:hAnsi="Arial"/>
          <w:sz w:val="20"/>
          <w:szCs w:val="20"/>
        </w:rPr>
        <w:t xml:space="preserve"> ties both of these back to the visible "From" address and tells providers what to do if they fail, monitor, send to spam, or block entirely.</w:t>
      </w:r>
    </w:p>
    <w:p>
      <w:pPr>
        <w:pStyle w:val="Heading2"/>
        <w:keepNext/>
      </w:pPr>
      <w:r>
        <w:rPr>
          <w:rFonts w:ascii="Arial" w:cs="Arial" w:eastAsia="Arial" w:hAnsi="Arial"/>
        </w:rPr>
        <w:t xml:space="preserve">12.2 SPF, Who is allowed to send email for this domain?</w:t>
      </w:r>
    </w:p>
    <w:p>
      <w:r>
        <w:rPr>
          <w:rFonts w:ascii="Arial" w:cs="Arial" w:eastAsia="Arial" w:hAnsi="Arial"/>
          <w:sz w:val="20"/>
          <w:szCs w:val="20"/>
        </w:rPr>
        <w:t xml:space="preserve">An SPF record is a text record in the domain's DNS (the phone book of the internet). It lists every tool allowed to send email as that brand.</w:t>
      </w:r>
    </w:p>
    <w:p>
      <w:r>
        <w:rPr>
          <w:rFonts w:ascii="Arial" w:cs="Arial" w:eastAsia="Arial" w:hAnsi="Arial"/>
          <w:sz w:val="20"/>
          <w:szCs w:val="20"/>
        </w:rPr>
        <w:t xml:space="preserve">Example: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4"/>
          <w:szCs w:val="14"/>
        </w:rPr>
        <w:t xml:space="preserve">brand.com.  IN TXT  "v=spf1 include:_spf.google.com include:mail.helpdesk-vendor.example ~all"</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4"/>
          <w:szCs w:val="14"/>
        </w:rPr>
        <w:t xml:space="preserve">                     version  Google Workspace       a helpdesk tool sending as @brand.com   soft-fail the rest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0"/>
        <w:gridCol w:w="5040"/>
      </w:tblGrid>
      <w:tr>
        <w:trPr>
          <w:cantSplit/>
          <w:tblHeader/>
        </w:trPr>
        <w:tc>
          <w:tcPr>
            <w:tcW w:type="dxa" w:w="5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Rule</w:t>
            </w:r>
          </w:p>
        </w:tc>
        <w:tc>
          <w:tcPr>
            <w:tcW w:type="dxa" w:w="5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goes wrong if broken</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Only one SPF record per domain.</w:t>
            </w:r>
            <w:r>
              <w:rPr>
                <w:rFonts w:ascii="Arial" w:cs="Arial" w:eastAsia="Arial" w:hAnsi="Arial"/>
                <w:sz w:val="16"/>
                <w:szCs w:val="16"/>
              </w:rPr>
              <w:t xml:space="preserve"> Having two makes SPF completely invalid.</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SPF fails for everyone</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Maximum 10 DNS lookups.</w:t>
            </w:r>
            <w:r>
              <w:rPr>
                <w:rFonts w:ascii="Arial" w:cs="Arial" w:eastAsia="Arial" w:hAnsi="Arial"/>
                <w:sz w:val="16"/>
                <w:szCs w:val="16"/>
              </w:rPr>
              <w:t xml:space="preserve"> Each </w:t>
            </w:r>
            <w:r>
              <w:rPr>
                <w:rFonts w:ascii="Courier New" w:cs="Courier New" w:eastAsia="Courier New" w:hAnsi="Courier New"/>
                <w:color w:val="8A2B2B"/>
                <w:sz w:val="15"/>
                <w:szCs w:val="15"/>
              </w:rPr>
              <w:t xml:space="preserve">include:</w:t>
            </w:r>
            <w:r>
              <w:rPr>
                <w:rFonts w:ascii="Arial" w:cs="Arial" w:eastAsia="Arial" w:hAnsi="Arial"/>
                <w:sz w:val="16"/>
                <w:szCs w:val="16"/>
              </w:rPr>
              <w:t xml:space="preserve">, </w:t>
            </w:r>
            <w:r>
              <w:rPr>
                <w:rFonts w:ascii="Courier New" w:cs="Courier New" w:eastAsia="Courier New" w:hAnsi="Courier New"/>
                <w:color w:val="8A2B2B"/>
                <w:sz w:val="15"/>
                <w:szCs w:val="15"/>
              </w:rPr>
              <w:t xml:space="preserve">a</w:t>
            </w:r>
            <w:r>
              <w:rPr>
                <w:rFonts w:ascii="Arial" w:cs="Arial" w:eastAsia="Arial" w:hAnsi="Arial"/>
                <w:sz w:val="16"/>
                <w:szCs w:val="16"/>
              </w:rPr>
              <w:t xml:space="preserve">, </w:t>
            </w:r>
            <w:r>
              <w:rPr>
                <w:rFonts w:ascii="Courier New" w:cs="Courier New" w:eastAsia="Courier New" w:hAnsi="Courier New"/>
                <w:color w:val="8A2B2B"/>
                <w:sz w:val="15"/>
                <w:szCs w:val="15"/>
              </w:rPr>
              <w:t xml:space="preserve">mx</w:t>
            </w:r>
            <w:r>
              <w:rPr>
                <w:rFonts w:ascii="Arial" w:cs="Arial" w:eastAsia="Arial" w:hAnsi="Arial"/>
                <w:sz w:val="16"/>
                <w:szCs w:val="16"/>
              </w:rPr>
              <w:t xml:space="preserve">, etc. counts as one lookup, including lookups inside lookups.</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Permanent error, usually when an 11th tool is added</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SPF checks the technical sender, not what the customer sees in "From:"</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SPF can pass while the DMARC check still fails</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SPF breaks when emails are forwarded</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Why DKIM is more reliable</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Qualifiers:</w:t>
            </w:r>
            <w:r>
              <w:rPr>
                <w:rFonts w:ascii="Arial" w:cs="Arial" w:eastAsia="Arial" w:hAnsi="Arial"/>
                <w:sz w:val="16"/>
                <w:szCs w:val="16"/>
              </w:rPr>
              <w:t xml:space="preserve"> ~all (soft fail, normal) vs -all (hard fail, strict) vs +all (never use, authorizes everyone)</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 means anyone in the world can send as you</w:t>
            </w:r>
          </w:p>
        </w:tc>
      </w:tr>
    </w:tbl>
    <w:p>
      <w:pPr>
        <w:spacing w:after="120" w:before="0"/>
      </w:pPr>
    </w:p>
    <w:p>
      <w:r>
        <w:rPr>
          <w:rFonts w:ascii="Arial" w:cs="Arial" w:eastAsia="Arial" w:hAnsi="Arial"/>
          <w:sz w:val="20"/>
          <w:szCs w:val="20"/>
        </w:rPr>
        <w:t xml:space="preserve">Klaviyo's sending domain lives on a subdomain (like </w:t>
      </w:r>
      <w:r>
        <w:rPr>
          <w:rFonts w:ascii="Courier New" w:cs="Courier New" w:eastAsia="Courier New" w:hAnsi="Courier New"/>
          <w:color w:val="8A2B2B"/>
          <w:sz w:val="19"/>
          <w:szCs w:val="19"/>
        </w:rPr>
        <w:t xml:space="preserve">send.brand.com</w:t>
      </w:r>
      <w:r>
        <w:rPr>
          <w:rFonts w:ascii="Arial" w:cs="Arial" w:eastAsia="Arial" w:hAnsi="Arial"/>
          <w:sz w:val="20"/>
          <w:szCs w:val="20"/>
        </w:rPr>
        <w:t xml:space="preserve">) and handles its own SPF and DKIM. Do not add Klaviyo to the main SPF record unless Klaviyo's setup screen asks for it. Shopify handles its own SPF for Shopify-sent emails.</w:t>
      </w:r>
    </w:p>
    <w:p>
      <w:pPr>
        <w:pStyle w:val="Heading2"/>
        <w:keepNext/>
      </w:pPr>
      <w:r>
        <w:rPr>
          <w:rFonts w:ascii="Arial" w:cs="Arial" w:eastAsia="Arial" w:hAnsi="Arial"/>
        </w:rPr>
        <w:t xml:space="preserve">12.3 DKIM, Proving the email is really from you</w:t>
      </w:r>
    </w:p>
    <w:p>
      <w:r>
        <w:rPr>
          <w:rFonts w:ascii="Arial" w:cs="Arial" w:eastAsia="Arial" w:hAnsi="Arial"/>
          <w:sz w:val="20"/>
          <w:szCs w:val="20"/>
        </w:rPr>
        <w:t xml:space="preserve">DKIM adds a digital signature to every email. The signature header says which domain signed it (</w:t>
      </w:r>
      <w:r>
        <w:rPr>
          <w:rFonts w:ascii="Courier New" w:cs="Courier New" w:eastAsia="Courier New" w:hAnsi="Courier New"/>
          <w:color w:val="8A2B2B"/>
          <w:sz w:val="19"/>
          <w:szCs w:val="19"/>
        </w:rPr>
        <w:t xml:space="preserve">d=</w:t>
      </w:r>
      <w:r>
        <w:rPr>
          <w:rFonts w:ascii="Arial" w:cs="Arial" w:eastAsia="Arial" w:hAnsi="Arial"/>
          <w:sz w:val="20"/>
          <w:szCs w:val="20"/>
        </w:rPr>
        <w:t xml:space="preserve">) and which key to use (</w:t>
      </w:r>
      <w:r>
        <w:rPr>
          <w:rFonts w:ascii="Courier New" w:cs="Courier New" w:eastAsia="Courier New" w:hAnsi="Courier New"/>
          <w:color w:val="8A2B2B"/>
          <w:sz w:val="19"/>
          <w:szCs w:val="19"/>
        </w:rPr>
        <w:t xml:space="preserve">s=</w:t>
      </w:r>
      <w:r>
        <w:rPr>
          <w:rFonts w:ascii="Arial" w:cs="Arial" w:eastAsia="Arial" w:hAnsi="Arial"/>
          <w:sz w:val="20"/>
          <w:szCs w:val="20"/>
        </w:rPr>
        <w:t xml:space="preserve">). The public key lives in DNS and can be checked by anyone.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8"/>
        <w:gridCol w:w="8342"/>
      </w:tblGrid>
      <w:tr>
        <w:trPr>
          <w:cantSplit/>
          <w:tblHeader/>
        </w:trPr>
        <w:tc>
          <w:tcPr>
            <w:tcW w:type="dxa" w:w="173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Standard</w:t>
            </w:r>
          </w:p>
        </w:tc>
        <w:tc>
          <w:tcPr>
            <w:tcW w:type="dxa" w:w="834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Requirement</w:t>
            </w:r>
          </w:p>
        </w:tc>
      </w:tr>
      <w:tr>
        <w:trPr>
          <w:cantSplit/>
        </w:trPr>
        <w:tc>
          <w:tcPr>
            <w:tcW w:type="dxa" w:w="17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Key length</w:t>
            </w:r>
          </w:p>
        </w:tc>
        <w:tc>
          <w:tcPr>
            <w:tcW w:type="dxa" w:w="83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2048-bit recommended; 1024-bit minimum</w:t>
            </w:r>
          </w:p>
        </w:tc>
      </w:tr>
      <w:tr>
        <w:trPr>
          <w:cantSplit/>
        </w:trPr>
        <w:tc>
          <w:tcPr>
            <w:tcW w:type="dxa" w:w="173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Alignment</w:t>
            </w:r>
          </w:p>
        </w:tc>
        <w:tc>
          <w:tcPr>
            <w:tcW w:type="dxa" w:w="83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signing domain must be the From domain or a subdomain of it</w:t>
            </w:r>
          </w:p>
        </w:tc>
      </w:tr>
      <w:tr>
        <w:trPr>
          <w:cantSplit/>
        </w:trPr>
        <w:tc>
          <w:tcPr>
            <w:tcW w:type="dxa" w:w="173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Coverage</w:t>
            </w:r>
          </w:p>
        </w:tc>
        <w:tc>
          <w:tcPr>
            <w:tcW w:type="dxa" w:w="83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EVERY tool that sends as @brand.com needs a DKIM signature: email service (Google/Microsoft), Klaviyo, help desk, review app, subscriptions</w:t>
            </w:r>
          </w:p>
        </w:tc>
      </w:tr>
      <w:tr>
        <w:trPr>
          <w:cantSplit/>
        </w:trPr>
        <w:tc>
          <w:tcPr>
            <w:tcW w:type="dxa" w:w="173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Rotation</w:t>
            </w:r>
          </w:p>
        </w:tc>
        <w:tc>
          <w:tcPr>
            <w:tcW w:type="dxa" w:w="83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Keys managed through Klaviyo rotate automatically. Self-managed keys should be rotated at least yearly, and keep the old key live for 7+ days during rotation.</w:t>
            </w:r>
          </w:p>
        </w:tc>
      </w:tr>
    </w:tbl>
    <w:p>
      <w:pPr>
        <w:spacing w:after="120" w:before="0"/>
      </w:pPr>
    </w:p>
    <w:p>
      <w:pPr>
        <w:pStyle w:val="Heading2"/>
        <w:keepNext/>
      </w:pPr>
      <w:r>
        <w:rPr>
          <w:rFonts w:ascii="Arial" w:cs="Arial" w:eastAsia="Arial" w:hAnsi="Arial"/>
        </w:rPr>
        <w:t xml:space="preserve">12.4 DMARC, Tying it all together and setting a policy</w:t>
      </w:r>
    </w:p>
    <w:p>
      <w:r>
        <w:rPr>
          <w:rFonts w:ascii="Arial" w:cs="Arial" w:eastAsia="Arial" w:hAnsi="Arial"/>
          <w:sz w:val="20"/>
          <w:szCs w:val="20"/>
        </w:rPr>
        <w:t xml:space="preserve">A basic starting DMARC record at </w:t>
      </w:r>
      <w:r>
        <w:rPr>
          <w:rFonts w:ascii="Courier New" w:cs="Courier New" w:eastAsia="Courier New" w:hAnsi="Courier New"/>
          <w:color w:val="8A2B2B"/>
          <w:sz w:val="19"/>
          <w:szCs w:val="19"/>
        </w:rPr>
        <w:t xml:space="preserve">_dmarc.brand.com</w:t>
      </w:r>
      <w:r>
        <w:rPr>
          <w:rFonts w:ascii="Arial" w:cs="Arial" w:eastAsia="Arial" w:hAnsi="Arial"/>
          <w:sz w:val="20"/>
          <w:szCs w:val="20"/>
        </w:rPr>
        <w:t xml:space="preserve">:</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120" w:line="240"/>
        <w:ind w:left="100" w:right="100"/>
      </w:pPr>
      <w:r>
        <w:rPr>
          <w:rFonts w:ascii="Courier New" w:cs="Courier New" w:eastAsia="Courier New" w:hAnsi="Courier New"/>
          <w:color w:val="1E2733"/>
          <w:sz w:val="17"/>
          <w:szCs w:val="17"/>
        </w:rPr>
        <w:t xml:space="preserve">v=DMARC1; p=none; rua=mailto:dmarc-reports@brand.com; adkim=r; aspf=r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5"/>
        <w:gridCol w:w="5163"/>
        <w:gridCol w:w="3442"/>
      </w:tblGrid>
      <w:tr>
        <w:trPr>
          <w:cantSplit/>
          <w:tblHeader/>
        </w:trPr>
        <w:tc>
          <w:tcPr>
            <w:tcW w:type="dxa" w:w="147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Setting</w:t>
            </w:r>
          </w:p>
        </w:tc>
        <w:tc>
          <w:tcPr>
            <w:tcW w:type="dxa" w:w="516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means</w:t>
            </w:r>
          </w:p>
        </w:tc>
        <w:tc>
          <w:tcPr>
            <w:tcW w:type="dxa" w:w="344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Starting recommendation</w:t>
            </w:r>
          </w:p>
        </w:tc>
      </w:tr>
      <w:tr>
        <w:trPr>
          <w:cantSplit/>
        </w:trPr>
        <w:tc>
          <w:tcPr>
            <w:tcW w:type="dxa" w:w="147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p=none</w:t>
            </w:r>
          </w:p>
        </w:tc>
        <w:tc>
          <w:tcPr>
            <w:tcW w:type="dxa" w:w="516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Monitor only, do nothing to failing emails</w:t>
            </w:r>
          </w:p>
        </w:tc>
        <w:tc>
          <w:tcPr>
            <w:tcW w:type="dxa" w:w="34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Start here</w:t>
            </w:r>
          </w:p>
        </w:tc>
      </w:tr>
      <w:tr>
        <w:trPr>
          <w:cantSplit/>
        </w:trPr>
        <w:tc>
          <w:tcPr>
            <w:tcW w:type="dxa" w:w="147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p=quarantine</w:t>
            </w:r>
          </w:p>
        </w:tc>
        <w:tc>
          <w:tcPr>
            <w:tcW w:type="dxa" w:w="516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Send failing emails to spam</w:t>
            </w:r>
          </w:p>
        </w:tc>
        <w:tc>
          <w:tcPr>
            <w:tcW w:type="dxa" w:w="34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Step 3</w:t>
            </w:r>
          </w:p>
        </w:tc>
      </w:tr>
      <w:tr>
        <w:trPr>
          <w:cantSplit/>
        </w:trPr>
        <w:tc>
          <w:tcPr>
            <w:tcW w:type="dxa" w:w="147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p=reject</w:t>
            </w:r>
          </w:p>
        </w:tc>
        <w:tc>
          <w:tcPr>
            <w:tcW w:type="dxa" w:w="516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Block failing emails entirely</w:t>
            </w:r>
          </w:p>
        </w:tc>
        <w:tc>
          <w:tcPr>
            <w:tcW w:type="dxa" w:w="34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Step 4</w:t>
            </w:r>
          </w:p>
        </w:tc>
      </w:tr>
      <w:tr>
        <w:trPr>
          <w:cantSplit/>
        </w:trPr>
        <w:tc>
          <w:tcPr>
            <w:tcW w:type="dxa" w:w="147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rua=</w:t>
            </w:r>
          </w:p>
        </w:tc>
        <w:tc>
          <w:tcPr>
            <w:tcW w:type="dxa" w:w="516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Where to send reports</w:t>
            </w:r>
          </w:p>
        </w:tc>
        <w:tc>
          <w:tcPr>
            <w:tcW w:type="dxa" w:w="34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Always set this</w:t>
            </w:r>
          </w:p>
        </w:tc>
      </w:tr>
      <w:tr>
        <w:trPr>
          <w:cantSplit/>
        </w:trPr>
        <w:tc>
          <w:tcPr>
            <w:tcW w:type="dxa" w:w="147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adkim=r</w:t>
            </w:r>
          </w:p>
        </w:tc>
        <w:tc>
          <w:tcPr>
            <w:tcW w:type="dxa" w:w="516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Relaxed matching, subdomains count</w:t>
            </w:r>
          </w:p>
        </w:tc>
        <w:tc>
          <w:tcPr>
            <w:tcW w:type="dxa" w:w="344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Use relaxed</w:t>
            </w:r>
          </w:p>
        </w:tc>
      </w:tr>
      <w:tr>
        <w:trPr>
          <w:cantSplit/>
        </w:trPr>
        <w:tc>
          <w:tcPr>
            <w:tcW w:type="dxa" w:w="147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t=y</w:t>
            </w:r>
          </w:p>
        </w:tc>
        <w:tc>
          <w:tcPr>
            <w:tcW w:type="dxa" w:w="516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Testing flag, new in 2026 standard</w:t>
            </w:r>
          </w:p>
        </w:tc>
        <w:tc>
          <w:tcPr>
            <w:tcW w:type="dxa" w:w="344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Use while testing quarantine</w:t>
            </w:r>
          </w:p>
        </w:tc>
      </w:tr>
    </w:tbl>
    <w:p>
      <w:pPr>
        <w:spacing w:after="120" w:before="0"/>
      </w:pPr>
    </w:p>
    <w:p>
      <w:r>
        <w:rPr>
          <w:rFonts w:ascii="Arial" w:cs="Arial" w:eastAsia="Arial" w:hAnsi="Arial"/>
          <w:b/>
          <w:bCs/>
          <w:sz w:val="20"/>
          <w:szCs w:val="20"/>
        </w:rPr>
        <w:t xml:space="preserve">The 2026 DMARC standard removed `pct` (percentage).</w:t>
      </w:r>
      <w:r>
        <w:rPr>
          <w:rFonts w:ascii="Arial" w:cs="Arial" w:eastAsia="Arial" w:hAnsi="Arial"/>
          <w:sz w:val="20"/>
          <w:szCs w:val="20"/>
        </w:rPr>
        <w:t xml:space="preserve"> Do not raise a missing </w:t>
      </w:r>
      <w:r>
        <w:rPr>
          <w:rFonts w:ascii="Courier New" w:cs="Courier New" w:eastAsia="Courier New" w:hAnsi="Courier New"/>
          <w:color w:val="8A2B2B"/>
          <w:sz w:val="19"/>
          <w:szCs w:val="19"/>
        </w:rPr>
        <w:t xml:space="preserve">pct=100</w:t>
      </w:r>
      <w:r>
        <w:rPr>
          <w:rFonts w:ascii="Arial" w:cs="Arial" w:eastAsia="Arial" w:hAnsi="Arial"/>
          <w:sz w:val="20"/>
          <w:szCs w:val="20"/>
        </w:rPr>
        <w:t xml:space="preserve"> as a finding, it is not one. Bringing it up with a technical buyer tells them we are out of date.</w:t>
      </w:r>
    </w:p>
    <w:p>
      <w:r>
        <w:rPr>
          <w:rFonts w:ascii="Arial" w:cs="Arial" w:eastAsia="Arial" w:hAnsi="Arial"/>
          <w:b/>
          <w:bCs/>
          <w:sz w:val="20"/>
          <w:szCs w:val="20"/>
        </w:rPr>
        <w:t xml:space="preserve">The four-step path to full protection: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2"/>
        <w:gridCol w:w="3607"/>
        <w:gridCol w:w="900"/>
        <w:gridCol w:w="4371"/>
      </w:tblGrid>
      <w:tr>
        <w:trPr>
          <w:cantSplit/>
          <w:tblHeader/>
        </w:trPr>
        <w:tc>
          <w:tcPr>
            <w:tcW w:type="dxa" w:w="120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Step</w:t>
            </w:r>
          </w:p>
        </w:tc>
        <w:tc>
          <w:tcPr>
            <w:tcW w:type="dxa" w:w="360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DMARC record</w:t>
            </w:r>
          </w:p>
        </w:tc>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long</w:t>
            </w:r>
          </w:p>
        </w:tc>
        <w:tc>
          <w:tcPr>
            <w:tcW w:type="dxa" w:w="437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When to move on</w:t>
            </w:r>
          </w:p>
        </w:tc>
      </w:tr>
      <w:tr>
        <w:trPr>
          <w:cantSplit/>
        </w:trPr>
        <w:tc>
          <w:tcPr>
            <w:tcW w:type="dxa" w:w="12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0. Publish</w:t>
            </w:r>
          </w:p>
        </w:tc>
        <w:tc>
          <w:tcPr>
            <w:tcW w:type="dxa" w:w="360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p=none</w:t>
            </w:r>
            <w:r>
              <w:rPr>
                <w:rFonts w:ascii="Arial" w:cs="Arial" w:eastAsia="Arial" w:hAnsi="Arial"/>
                <w:sz w:val="16"/>
                <w:szCs w:val="16"/>
              </w:rPr>
              <w:t xml:space="preserve"> + reports address</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Day 0</w:t>
            </w:r>
          </w:p>
        </w:tc>
        <w:tc>
          <w:tcPr>
            <w:tcW w:type="dxa" w:w="43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Reports are arriving</w:t>
            </w:r>
          </w:p>
        </w:tc>
      </w:tr>
      <w:tr>
        <w:trPr>
          <w:cantSplit/>
        </w:trPr>
        <w:tc>
          <w:tcPr>
            <w:tcW w:type="dxa" w:w="12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1. Discover</w:t>
            </w:r>
          </w:p>
        </w:tc>
        <w:tc>
          <w:tcPr>
            <w:tcW w:type="dxa" w:w="360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p=none</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 weeks</w:t>
            </w:r>
          </w:p>
        </w:tc>
        <w:tc>
          <w:tcPr>
            <w:tcW w:type="dxa" w:w="437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Every tool sending email is identified</w:t>
            </w:r>
          </w:p>
        </w:tc>
      </w:tr>
      <w:tr>
        <w:trPr>
          <w:cantSplit/>
        </w:trPr>
        <w:tc>
          <w:tcPr>
            <w:tcW w:type="dxa" w:w="12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2. Align</w:t>
            </w:r>
          </w:p>
        </w:tc>
        <w:tc>
          <w:tcPr>
            <w:tcW w:type="dxa" w:w="360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p=none</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2–6 weeks</w:t>
            </w:r>
          </w:p>
        </w:tc>
        <w:tc>
          <w:tcPr>
            <w:tcW w:type="dxa" w:w="43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Every legitimate tool passes aligned SPF or DKIM; 98%+ passing for 2 weeks in a row</w:t>
            </w:r>
          </w:p>
        </w:tc>
      </w:tr>
      <w:tr>
        <w:trPr>
          <w:cantSplit/>
        </w:trPr>
        <w:tc>
          <w:tcPr>
            <w:tcW w:type="dxa" w:w="12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3. Quarantine</w:t>
            </w:r>
          </w:p>
        </w:tc>
        <w:tc>
          <w:tcPr>
            <w:tcW w:type="dxa" w:w="360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p=quarantine</w:t>
            </w:r>
            <w:r>
              <w:rPr>
                <w:rFonts w:ascii="Arial" w:cs="Arial" w:eastAsia="Arial" w:hAnsi="Arial"/>
                <w:sz w:val="16"/>
                <w:szCs w:val="16"/>
              </w:rPr>
              <w:t xml:space="preserve"> (optionally add </w:t>
            </w:r>
            <w:r>
              <w:rPr>
                <w:rFonts w:ascii="Courier New" w:cs="Courier New" w:eastAsia="Courier New" w:hAnsi="Courier New"/>
                <w:color w:val="8A2B2B"/>
                <w:sz w:val="15"/>
                <w:szCs w:val="15"/>
              </w:rPr>
              <w:t xml:space="preserve">t=y</w:t>
            </w:r>
            <w:r>
              <w:rPr>
                <w:rFonts w:ascii="Arial" w:cs="Arial" w:eastAsia="Arial" w:hAnsi="Arial"/>
                <w:sz w:val="16"/>
                <w:szCs w:val="16"/>
              </w:rPr>
              <w:t xml:space="preserve"> first)</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 weeks</w:t>
            </w:r>
          </w:p>
        </w:tc>
        <w:tc>
          <w:tcPr>
            <w:tcW w:type="dxa" w:w="437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legitimate failures; no reports of missing mail</w:t>
            </w:r>
          </w:p>
        </w:tc>
      </w:tr>
      <w:tr>
        <w:trPr>
          <w:cantSplit/>
        </w:trPr>
        <w:tc>
          <w:tcPr>
            <w:tcW w:type="dxa" w:w="12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4. Block</w:t>
            </w:r>
          </w:p>
        </w:tc>
        <w:tc>
          <w:tcPr>
            <w:tcW w:type="dxa" w:w="360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Courier New" w:cs="Courier New" w:eastAsia="Courier New" w:hAnsi="Courier New"/>
                <w:color w:val="8A2B2B"/>
                <w:sz w:val="15"/>
                <w:szCs w:val="15"/>
              </w:rPr>
              <w:t xml:space="preserve">p=reject</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Ongoing</w:t>
            </w:r>
          </w:p>
        </w:tc>
        <w:tc>
          <w:tcPr>
            <w:tcW w:type="dxa" w:w="43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Weekly review of reports; every new tool added goes through a change request</w:t>
            </w:r>
          </w:p>
        </w:tc>
      </w:tr>
    </w:tbl>
    <w:p>
      <w:pPr>
        <w:spacing w:after="120" w:before="0"/>
      </w:pPr>
    </w:p>
    <w:p>
      <w:r>
        <w:rPr>
          <w:rFonts w:ascii="Arial" w:cs="Arial" w:eastAsia="Arial" w:hAnsi="Arial"/>
          <w:b/>
          <w:bCs/>
          <w:sz w:val="20"/>
          <w:szCs w:val="20"/>
        </w:rPr>
        <w:t xml:space="preserve">Who sends email as @brand.com on a Shopify brand?</w:t>
      </w:r>
      <w:r>
        <w:rPr>
          <w:rFonts w:ascii="Arial" w:cs="Arial" w:eastAsia="Arial" w:hAnsi="Arial"/>
          <w:sz w:val="20"/>
          <w:szCs w:val="20"/>
        </w:rPr>
        <w:t xml:space="preserve"> Google Workspace or Microsoft 365, Klaviyo, Shopify notifications and Shopify Email, the help desk tool, ReCharge, the reviews app, the loyalty app, invoicing tools, HR tools, and warehouse notifications. The ones that break full blocking are always the ones nobody remembers exist.</w:t>
      </w:r>
    </w:p>
    <w:p>
      <w:r>
        <w:rPr>
          <w:rFonts w:ascii="Arial" w:cs="Arial" w:eastAsia="Arial" w:hAnsi="Arial"/>
          <w:b/>
          <w:bCs/>
          <w:sz w:val="20"/>
          <w:szCs w:val="20"/>
        </w:rPr>
        <w:t xml:space="preserve">Why Shopify brands specifically are at risk.</w:t>
      </w:r>
      <w:r>
        <w:rPr>
          <w:rFonts w:ascii="Arial" w:cs="Arial" w:eastAsia="Arial" w:hAnsi="Arial"/>
          <w:sz w:val="20"/>
          <w:szCs w:val="20"/>
        </w:rPr>
        <w:t xml:space="preserve"> Shopify rewrites the sender address to shopifyemail.com when a brand either has </w:t>
      </w:r>
      <w:r>
        <w:rPr>
          <w:rFonts w:ascii="Arial" w:cs="Arial" w:eastAsia="Arial" w:hAnsi="Arial"/>
          <w:i/>
          <w:iCs/>
          <w:sz w:val="20"/>
          <w:szCs w:val="20"/>
        </w:rPr>
        <w:t xml:space="preserve">no</w:t>
      </w:r>
      <w:r>
        <w:rPr>
          <w:rFonts w:ascii="Arial" w:cs="Arial" w:eastAsia="Arial" w:hAnsi="Arial"/>
          <w:sz w:val="20"/>
          <w:szCs w:val="20"/>
        </w:rPr>
        <w:t xml:space="preserve"> DMARC record </w:t>
      </w:r>
      <w:r>
        <w:rPr>
          <w:rFonts w:ascii="Arial" w:cs="Arial" w:eastAsia="Arial" w:hAnsi="Arial"/>
          <w:i/>
          <w:iCs/>
          <w:sz w:val="20"/>
          <w:szCs w:val="20"/>
        </w:rPr>
        <w:t xml:space="preserve">or two of them</w:t>
      </w:r>
      <w:r>
        <w:rPr>
          <w:rFonts w:ascii="Arial" w:cs="Arial" w:eastAsia="Arial" w:hAnsi="Arial"/>
          <w:sz w:val="20"/>
          <w:szCs w:val="20"/>
        </w:rPr>
        <w:t xml:space="preserve">. This is visible from outside and is a clean, easy-to-demonstrate finding for our free audit.</w:t>
      </w:r>
    </w:p>
    <w:p>
      <w:pPr>
        <w:pStyle w:val="Heading2"/>
        <w:keepNext/>
      </w:pPr>
      <w:r>
        <w:rPr>
          <w:rFonts w:ascii="Arial" w:cs="Arial" w:eastAsia="Arial" w:hAnsi="Arial"/>
        </w:rPr>
        <w:t xml:space="preserve">12.5 What email providers now require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0"/>
        <w:gridCol w:w="2880"/>
        <w:gridCol w:w="2040"/>
        <w:gridCol w:w="2880"/>
      </w:tblGrid>
      <w:tr>
        <w:trPr>
          <w:cantSplit/>
          <w:tblHeader/>
        </w:trPr>
        <w:tc>
          <w:tcPr>
            <w:tcW w:type="dxa" w:w="228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Requirement</w:t>
            </w:r>
          </w:p>
        </w:tc>
        <w:tc>
          <w:tcPr>
            <w:tcW w:type="dxa" w:w="288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Gmail</w:t>
            </w:r>
          </w:p>
        </w:tc>
        <w:tc>
          <w:tcPr>
            <w:tcW w:type="dxa" w:w="2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Yahoo / AOL</w:t>
            </w:r>
          </w:p>
        </w:tc>
        <w:tc>
          <w:tcPr>
            <w:tcW w:type="dxa" w:w="288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Microsoft</w:t>
            </w:r>
          </w:p>
        </w:tc>
      </w:tr>
      <w:tr>
        <w:trPr>
          <w:cantSplit/>
        </w:trPr>
        <w:tc>
          <w:tcPr>
            <w:tcW w:type="dxa" w:w="22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Minimum volume for bulk rules to apply</w:t>
            </w:r>
          </w:p>
        </w:tc>
        <w:tc>
          <w:tcPr>
            <w:tcW w:type="dxa" w:w="28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About 5,000+ emails/day to Gmail addresses. Once you hit it, it's permanent.</w:t>
            </w:r>
          </w:p>
        </w:tc>
        <w:tc>
          <w:tcPr>
            <w:tcW w:type="dxa" w:w="2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Bulk senders (no published number)</w:t>
            </w:r>
          </w:p>
        </w:tc>
        <w:tc>
          <w:tcPr>
            <w:tcW w:type="dxa" w:w="28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5,000+/day</w:t>
            </w:r>
          </w:p>
        </w:tc>
      </w:tr>
      <w:tr>
        <w:trPr>
          <w:cantSplit/>
        </w:trPr>
        <w:tc>
          <w:tcPr>
            <w:tcW w:type="dxa" w:w="22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SPF + DKIM</w:t>
            </w:r>
          </w:p>
        </w:tc>
        <w:tc>
          <w:tcPr>
            <w:tcW w:type="dxa" w:w="28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w:t>
            </w:r>
          </w:p>
        </w:tc>
        <w:tc>
          <w:tcPr>
            <w:tcW w:type="dxa" w:w="2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w:t>
            </w:r>
          </w:p>
        </w:tc>
        <w:tc>
          <w:tcPr>
            <w:tcW w:type="dxa" w:w="28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w:t>
            </w:r>
          </w:p>
        </w:tc>
      </w:tr>
      <w:tr>
        <w:trPr>
          <w:cantSplit/>
        </w:trPr>
        <w:tc>
          <w:tcPr>
            <w:tcW w:type="dxa" w:w="22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w:t>
            </w:r>
          </w:p>
        </w:tc>
        <w:tc>
          <w:tcPr>
            <w:tcW w:type="dxa" w:w="28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 monitoring-only (</w:t>
            </w:r>
            <w:r>
              <w:rPr>
                <w:rFonts w:ascii="Courier New" w:cs="Courier New" w:eastAsia="Courier New" w:hAnsi="Courier New"/>
                <w:color w:val="8A2B2B"/>
                <w:sz w:val="15"/>
                <w:szCs w:val="15"/>
              </w:rPr>
              <w:t xml:space="preserve">p=none</w:t>
            </w:r>
            <w:r>
              <w:rPr>
                <w:rFonts w:ascii="Arial" w:cs="Arial" w:eastAsia="Arial" w:hAnsi="Arial"/>
                <w:sz w:val="16"/>
                <w:szCs w:val="16"/>
              </w:rPr>
              <w:t xml:space="preserve">) is enough</w:t>
            </w:r>
          </w:p>
        </w:tc>
        <w:tc>
          <w:tcPr>
            <w:tcW w:type="dxa" w:w="2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w:t>
            </w:r>
          </w:p>
        </w:tc>
        <w:tc>
          <w:tcPr>
            <w:tcW w:type="dxa" w:w="28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At least monitoring-only</w:t>
            </w:r>
          </w:p>
        </w:tc>
      </w:tr>
      <w:tr>
        <w:trPr>
          <w:cantSplit/>
        </w:trPr>
        <w:tc>
          <w:tcPr>
            <w:tcW w:type="dxa" w:w="22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One-click unsubscribe button</w:t>
            </w:r>
          </w:p>
        </w:tc>
        <w:tc>
          <w:tcPr>
            <w:tcW w:type="dxa" w:w="28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 for marketing emails</w:t>
            </w:r>
          </w:p>
        </w:tc>
        <w:tc>
          <w:tcPr>
            <w:tcW w:type="dxa" w:w="2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Required; honor within 2 days</w:t>
            </w:r>
          </w:p>
        </w:tc>
        <w:tc>
          <w:tcPr>
            <w:tcW w:type="dxa" w:w="28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Expected</w:t>
            </w:r>
          </w:p>
        </w:tc>
      </w:tr>
      <w:tr>
        <w:trPr>
          <w:cantSplit/>
        </w:trPr>
        <w:tc>
          <w:tcPr>
            <w:tcW w:type="dxa" w:w="22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Spam rate</w:t>
            </w:r>
          </w:p>
        </w:tc>
        <w:tc>
          <w:tcPr>
            <w:tcW w:type="dxa" w:w="28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Below 0.1%; never above 0.3%</w:t>
            </w:r>
          </w:p>
        </w:tc>
        <w:tc>
          <w:tcPr>
            <w:tcW w:type="dxa" w:w="2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Below 0.3%</w:t>
            </w:r>
          </w:p>
        </w:tc>
        <w:tc>
          <w:tcPr>
            <w:tcW w:type="dxa" w:w="288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Low complaints expected</w:t>
            </w:r>
          </w:p>
        </w:tc>
      </w:tr>
      <w:tr>
        <w:trPr>
          <w:cantSplit/>
        </w:trPr>
        <w:tc>
          <w:tcPr>
            <w:tcW w:type="dxa" w:w="22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Enforcement</w:t>
            </w:r>
          </w:p>
        </w:tc>
        <w:tc>
          <w:tcPr>
            <w:tcW w:type="dxa" w:w="28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Rejects some failing emails (since November 2025). Above 0.3% spam rate, Gmail stops helping until the rate is below 0.3% for 7 straight days.</w:t>
            </w:r>
          </w:p>
        </w:tc>
        <w:tc>
          <w:tcPr>
            <w:tcW w:type="dxa" w:w="2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Rejects or filters</w:t>
            </w:r>
          </w:p>
        </w:tc>
        <w:tc>
          <w:tcPr>
            <w:tcW w:type="dxa" w:w="288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Rejects with specific error code (since May 2025)</w:t>
            </w:r>
          </w:p>
        </w:tc>
      </w:tr>
    </w:tbl>
    <w:p>
      <w:pPr>
        <w:spacing w:after="120" w:before="0"/>
      </w:pPr>
    </w:p>
    <w:p>
      <w:r>
        <w:rPr>
          <w:rFonts w:ascii="Arial" w:cs="Arial" w:eastAsia="Arial" w:hAnsi="Arial"/>
          <w:b/>
          <w:bCs/>
          <w:sz w:val="20"/>
          <w:szCs w:val="20"/>
        </w:rPr>
        <w:t xml:space="preserve">Every brand we target qualifies as a bulk sender.</w:t>
      </w:r>
      <w:r>
        <w:rPr>
          <w:rFonts w:ascii="Arial" w:cs="Arial" w:eastAsia="Arial" w:hAnsi="Arial"/>
          <w:sz w:val="20"/>
          <w:szCs w:val="20"/>
        </w:rPr>
        <w:t xml:space="preserve"> Gmail holds 54.4% of US inboxes. One campaign to about 9,200 US subscribers probably crosses Gmail's bulk threshold.</w:t>
      </w:r>
    </w:p>
    <w:p>
      <w:r>
        <w:rPr>
          <w:rFonts w:ascii="Arial" w:cs="Arial" w:eastAsia="Arial" w:hAnsi="Arial"/>
          <w:b/>
          <w:bCs/>
          <w:sz w:val="20"/>
          <w:szCs w:val="20"/>
        </w:rPr>
        <w:t xml:space="preserve">Rejected email shows up as bounces in Klaviyo, not in a test inbox screenshot.</w:t>
      </w:r>
      <w:r>
        <w:rPr>
          <w:rFonts w:ascii="Arial" w:cs="Arial" w:eastAsia="Arial" w:hAnsi="Arial"/>
          <w:sz w:val="20"/>
          <w:szCs w:val="20"/>
        </w:rPr>
        <w:t xml:space="preserve"> Always read the bounce reason codes.</w:t>
      </w:r>
    </w:p>
    <w:p>
      <w:pPr>
        <w:pStyle w:val="Heading2"/>
        <w:keepNext/>
      </w:pPr>
      <w:r>
        <w:rPr>
          <w:rFonts w:ascii="Arial" w:cs="Arial" w:eastAsia="Arial" w:hAnsi="Arial"/>
        </w:rPr>
        <w:t xml:space="preserve">12.6 Klaviyo's sending setup</w:t>
      </w:r>
    </w:p>
    <w:p>
      <w:r>
        <w:rPr>
          <w:rFonts w:ascii="Arial" w:cs="Arial" w:eastAsia="Arial" w:hAnsi="Arial"/>
          <w:sz w:val="20"/>
          <w:szCs w:val="20"/>
        </w:rPr>
        <w:t xml:space="preserve">New Klaviyo accounts start on a shared sending domain with shared reputation. Gmail shows emails as "via klaviyomail.com", meaning the email looks like it came from a Klaviyo computer, not the brand's own domain. Klaviyo requires bulk senders to set up a branded sending domain.</w:t>
      </w:r>
    </w:p>
    <w:p>
      <w:r>
        <w:rPr>
          <w:rFonts w:ascii="Arial" w:cs="Arial" w:eastAsia="Arial" w:hAnsi="Arial"/>
          <w:sz w:val="20"/>
          <w:szCs w:val="20"/>
        </w:rPr>
        <w:t xml:space="preserve">Klaviyo's own warning thresholds are stricter than Gmail's:</w:t>
      </w:r>
    </w:p>
    <w:p>
      <w:pPr>
        <w:pStyle w:val="ListParagraph"/>
        <w:numPr>
          <w:ilvl w:val="0"/>
          <w:numId w:val="2"/>
        </w:numPr>
        <w:spacing w:after="60"/>
      </w:pPr>
      <w:r>
        <w:rPr>
          <w:rFonts w:ascii="Arial" w:cs="Arial" w:eastAsia="Arial" w:hAnsi="Arial"/>
          <w:sz w:val="20"/>
          <w:szCs w:val="20"/>
        </w:rPr>
        <w:t xml:space="preserve">Spam complaint rate above 0.05% (Gmail's limit is 0.1%)</w:t>
      </w:r>
    </w:p>
    <w:p>
      <w:pPr>
        <w:pStyle w:val="ListParagraph"/>
        <w:numPr>
          <w:ilvl w:val="0"/>
          <w:numId w:val="2"/>
        </w:numPr>
        <w:spacing w:after="60"/>
      </w:pPr>
      <w:r>
        <w:rPr>
          <w:rFonts w:ascii="Arial" w:cs="Arial" w:eastAsia="Arial" w:hAnsi="Arial"/>
          <w:sz w:val="20"/>
          <w:szCs w:val="20"/>
        </w:rPr>
        <w:t xml:space="preserve">Bounce rate above 2%</w:t>
      </w:r>
    </w:p>
    <w:p>
      <w:pPr>
        <w:spacing w:after="60" w:before="0"/>
      </w:pPr>
    </w:p>
    <w:p>
      <w:r>
        <w:rPr>
          <w:rFonts w:ascii="Arial" w:cs="Arial" w:eastAsia="Arial" w:hAnsi="Arial"/>
          <w:b/>
          <w:bCs/>
          <w:sz w:val="20"/>
          <w:szCs w:val="20"/>
        </w:rPr>
        <w:t xml:space="preserve">Blocks on Klaviyo's shared sending pool are Klaviyo's problem to fix.</w:t>
      </w:r>
      <w:r>
        <w:rPr>
          <w:rFonts w:ascii="Arial" w:cs="Arial" w:eastAsia="Arial" w:hAnsi="Arial"/>
          <w:sz w:val="20"/>
          <w:szCs w:val="20"/>
        </w:rPr>
        <w:t xml:space="preserve"> Every Ascent contract must say this clearly so there are no misunderstandings.</w:t>
      </w:r>
    </w:p>
    <w:p>
      <w:pPr>
        <w:pStyle w:val="Heading2"/>
        <w:keepNext/>
      </w:pPr>
      <w:r>
        <w:rPr>
          <w:rFonts w:ascii="Arial" w:cs="Arial" w:eastAsia="Arial" w:hAnsi="Arial"/>
        </w:rPr>
        <w:t xml:space="preserve">12.7 What is NOT a real finding</w:t>
      </w:r>
    </w:p>
    <w:p>
      <w:r>
        <w:rPr>
          <w:rFonts w:ascii="Arial" w:cs="Arial" w:eastAsia="Arial" w:hAnsi="Arial"/>
          <w:sz w:val="20"/>
          <w:szCs w:val="20"/>
        </w:rPr>
        <w:t xml:space="preserve">Do not use these as a reason to pitch Ascent, they are not real problems: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77"/>
        <w:gridCol w:w="5203"/>
      </w:tblGrid>
      <w:tr>
        <w:trPr>
          <w:cantSplit/>
          <w:tblHeader/>
        </w:trPr>
        <w:tc>
          <w:tcPr>
            <w:tcW w:type="dxa" w:w="487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False finding</w:t>
            </w:r>
          </w:p>
        </w:tc>
        <w:tc>
          <w:tcPr>
            <w:tcW w:type="dxa" w:w="520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Why it is not a problem</w:t>
            </w:r>
          </w:p>
        </w:tc>
      </w:tr>
      <w:tr>
        <w:trPr>
          <w:cantSplit/>
        </w:trPr>
        <w:tc>
          <w:tcPr>
            <w:tcW w:type="dxa" w:w="48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 is only p=none"</w:t>
            </w:r>
          </w:p>
        </w:tc>
        <w:tc>
          <w:tcPr>
            <w:tcW w:type="dxa" w:w="52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Monitoring-only DMARC satisfies all three major providers</w:t>
            </w:r>
          </w:p>
        </w:tc>
      </w:tr>
      <w:tr>
        <w:trPr>
          <w:cantSplit/>
        </w:trPr>
        <w:tc>
          <w:tcPr>
            <w:tcW w:type="dxa" w:w="48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"You're missing pct=100"</w:t>
            </w:r>
          </w:p>
        </w:tc>
        <w:tc>
          <w:tcPr>
            <w:tcW w:type="dxa" w:w="520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That tag was removed from the DMARC standard in 2026</w:t>
            </w:r>
          </w:p>
        </w:tc>
      </w:tr>
      <w:tr>
        <w:trPr>
          <w:cantSplit/>
        </w:trPr>
        <w:tc>
          <w:tcPr>
            <w:tcW w:type="dxa" w:w="48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BIMI is hurting delivery"</w:t>
            </w:r>
          </w:p>
        </w:tc>
        <w:tc>
          <w:tcPr>
            <w:tcW w:type="dxa" w:w="52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BIMI adds a logo in Gmail; it has zero effect on whether emails reach the inbox</w:t>
            </w:r>
          </w:p>
        </w:tc>
      </w:tr>
      <w:tr>
        <w:trPr>
          <w:cantSplit/>
        </w:trPr>
        <w:tc>
          <w:tcPr>
            <w:tcW w:type="dxa" w:w="48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"Promotions tab = deliverability problem"</w:t>
            </w:r>
          </w:p>
        </w:tc>
        <w:tc>
          <w:tcPr>
            <w:tcW w:type="dxa" w:w="520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treats the Promotions tab as part of the inbox</w:t>
            </w:r>
          </w:p>
        </w:tc>
      </w:tr>
      <w:tr>
        <w:trPr>
          <w:cantSplit/>
        </w:trPr>
        <w:tc>
          <w:tcPr>
            <w:tcW w:type="dxa" w:w="48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"One seed test shows spam, so you're blocked"</w:t>
            </w:r>
          </w:p>
        </w:tc>
        <w:tc>
          <w:tcPr>
            <w:tcW w:type="dxa" w:w="52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Seed test accounts have no email history, providers treat them differently</w:t>
            </w:r>
          </w:p>
        </w:tc>
      </w:tr>
    </w:tbl>
    <w:p>
      <w:pPr>
        <w:spacing w:after="120" w:before="0"/>
      </w:pPr>
    </w:p>
    <w:p>
      <w:r>
        <w:rPr>
          <w:rFonts w:ascii="Arial" w:cs="Arial" w:eastAsia="Arial" w:hAnsi="Arial"/>
          <w:b/>
          <w:bCs/>
          <w:sz w:val="20"/>
          <w:szCs w:val="20"/>
        </w:rPr>
        <w:t xml:space="preserve">Lead with real findings instead:</w:t>
      </w:r>
      <w:r>
        <w:rPr>
          <w:rFonts w:ascii="Arial" w:cs="Arial" w:eastAsia="Arial" w:hAnsi="Arial"/>
          <w:sz w:val="20"/>
          <w:szCs w:val="20"/>
        </w:rPr>
        <w:t xml:space="preserve"> no DMARC record at all; two DMARC records; failed alignment; shared Klaviyo domain on a big list; Shopify sender rewrite; SPF over its lookup limit; missing one-click unsubscribe; order confirmation emails landing in spam.</w:t>
      </w:r>
    </w:p>
    <w:p>
      <w:pPr>
        <w:pStyle w:val="Heading2"/>
        <w:keepNext/>
      </w:pPr>
      <w:r>
        <w:rPr>
          <w:rFonts w:ascii="Arial" w:cs="Arial" w:eastAsia="Arial" w:hAnsi="Arial"/>
        </w:rPr>
        <w:t xml:space="preserve">12.8 Ascent repair process, no disruption to sending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861"/>
        <w:gridCol w:w="3597"/>
        <w:gridCol w:w="3722"/>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Day</w:t>
            </w:r>
          </w:p>
        </w:tc>
        <w:tc>
          <w:tcPr>
            <w:tcW w:type="dxa" w:w="186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Work</w:t>
            </w:r>
          </w:p>
        </w:tc>
        <w:tc>
          <w:tcPr>
            <w:tcW w:type="dxa" w:w="359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Actions</w:t>
            </w:r>
          </w:p>
        </w:tc>
        <w:tc>
          <w:tcPr>
            <w:tcW w:type="dxa" w:w="372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Safety guardrail</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w:t>
            </w:r>
          </w:p>
        </w:tc>
        <w:tc>
          <w:tcPr>
            <w:tcW w:type="dxa" w:w="18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Access and baseline</w:t>
            </w:r>
          </w:p>
        </w:tc>
        <w:tc>
          <w:tcPr>
            <w:tcW w:type="dxa" w:w="35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Read-only Klaviyo access; DNS contact info; Google Postmaster Tools setup; DMARC report inbox; record current metrics</w:t>
            </w:r>
          </w:p>
        </w:tc>
        <w:tc>
          <w:tcPr>
            <w:tcW w:type="dxa" w:w="37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DNS changes yet</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1–3</w:t>
            </w:r>
          </w:p>
        </w:tc>
        <w:tc>
          <w:tcPr>
            <w:tcW w:type="dxa" w:w="18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Inventory and quick wins</w:t>
            </w:r>
          </w:p>
        </w:tc>
        <w:tc>
          <w:tcPr>
            <w:tcW w:type="dxa" w:w="35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List every tool sending email; fix SPF to under 10 lookups; remove duplicate records; publish DMARC monitoring-only if missing</w:t>
            </w:r>
          </w:p>
        </w:tc>
        <w:tc>
          <w:tcPr>
            <w:tcW w:type="dxa" w:w="37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 records before removing any; one change at a time</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3–5</w:t>
            </w:r>
          </w:p>
        </w:tc>
        <w:tc>
          <w:tcPr>
            <w:tcW w:type="dxa" w:w="18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Alignment</w:t>
            </w:r>
          </w:p>
        </w:tc>
        <w:tc>
          <w:tcPr>
            <w:tcW w:type="dxa" w:w="35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Set up branded Klaviyo sending domain; add DKIM for Google, help desk, reviews, subscriptions; verify one-click unsubscribe</w:t>
            </w:r>
          </w:p>
        </w:tc>
        <w:tc>
          <w:tcPr>
            <w:tcW w:type="dxa" w:w="37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Old sending path stays live until new one is verified</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5–10</w:t>
            </w:r>
          </w:p>
        </w:tc>
        <w:tc>
          <w:tcPr>
            <w:tcW w:type="dxa" w:w="18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List cleanup</w:t>
            </w:r>
          </w:p>
        </w:tc>
        <w:tc>
          <w:tcPr>
            <w:tcW w:type="dxa" w:w="35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Remove bounces, bots, and inactive profiles; build engagement tiers; launch sunset sequence; add bot protection to forms</w:t>
            </w:r>
          </w:p>
        </w:tc>
        <w:tc>
          <w:tcPr>
            <w:tcW w:type="dxa" w:w="37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Removals are tagged and reversible</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10–14</w:t>
            </w:r>
          </w:p>
        </w:tc>
        <w:tc>
          <w:tcPr>
            <w:tcW w:type="dxa" w:w="186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Warm-up and repair</w:t>
            </w:r>
          </w:p>
        </w:tc>
        <w:tc>
          <w:tcPr>
            <w:tcW w:type="dxa" w:w="359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Start the warm-up schedule (Section 13); fix Microsoft-specific problems first in UK/Canada/Australia; write handover document</w:t>
            </w:r>
          </w:p>
        </w:tc>
        <w:tc>
          <w:tcPr>
            <w:tcW w:type="dxa" w:w="37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Automated sequences keep sending throughout</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Weeks 3–12</w:t>
            </w:r>
          </w:p>
        </w:tc>
        <w:tc>
          <w:tcPr>
            <w:tcW w:type="dxa" w:w="186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Monitor and enforce</w:t>
            </w:r>
          </w:p>
        </w:tc>
        <w:tc>
          <w:tcPr>
            <w:tcW w:type="dxa" w:w="359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Weekly metrics check; move DMARC toward blocking as reports confirm it's safe; 30-day review; Lhotse proposal if the brand fits</w:t>
            </w:r>
          </w:p>
        </w:tc>
        <w:tc>
          <w:tcPr>
            <w:tcW w:type="dxa" w:w="37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Rollback plan for every DNS change</w:t>
            </w:r>
          </w:p>
        </w:tc>
      </w:tr>
    </w:tbl>
    <w:p>
      <w:pPr>
        <w:spacing w:after="120" w:before="0"/>
      </w:pPr>
    </w:p>
    <w:p>
      <w:r>
        <w:rPr>
          <w:rFonts w:ascii="Arial" w:cs="Arial" w:eastAsia="Arial" w:hAnsi="Arial"/>
          <w:b/>
          <w:bCs/>
          <w:sz w:val="20"/>
          <w:szCs w:val="20"/>
        </w:rPr>
        <w:t xml:space="preserve">For large enterprise clients (A3):</w:t>
      </w:r>
      <w:r>
        <w:rPr>
          <w:rFonts w:ascii="Arial" w:cs="Arial" w:eastAsia="Arial" w:hAnsi="Arial"/>
          <w:sz w:val="20"/>
          <w:szCs w:val="20"/>
        </w:rPr>
        <w:t xml:space="preserve"> they usually want their own IT team to make DNS changes. For each step, give them a change request document listing the exact records to add, why each one is needed, how to verify it, and how to undo it if needed.</w:t>
      </w:r>
    </w:p>
    <w:p>
      <w:pPr>
        <w:pStyle w:val="Heading1"/>
        <w:keepNext/>
      </w:pPr>
      <w:r>
        <w:rPr>
          <w:rFonts w:ascii="Arial" w:cs="Arial" w:eastAsia="Arial" w:hAnsi="Arial"/>
        </w:rPr>
        <w:t xml:space="preserve">13. How to Test Whether Emails Actually Reach the Inbox</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A "seed test" (sending a test email to a panel of fake test accounts) shows how an email provider treats a stranger with no history. Google Postmaster Tools shows how the provider actually treats the brand's real customers. Protect your sender reputation by only emailing people who engaged recently, measure it with real data, and only use dedicated sending IP addresses for very large, consistent senders. The industry average inbox rate is already above 80%, so using "80% inbox rate" as a success bar for Ascent is too weak. Use a full scorecard instead.</w:t>
      </w:r>
    </w:p>
    <w:p>
      <w:pPr>
        <w:pStyle w:val="Heading2"/>
        <w:keepNext/>
      </w:pPr>
      <w:r>
        <w:rPr>
          <w:rFonts w:ascii="Arial" w:cs="Arial" w:eastAsia="Arial" w:hAnsi="Arial"/>
        </w:rPr>
        <w:t xml:space="preserve">13.1 Where emails end up (industry data)</w:t>
      </w:r>
    </w:p>
    <w:p>
      <w:r>
        <w:rPr>
          <w:rFonts w:ascii="Arial" w:cs="Arial" w:eastAsia="Arial" w:hAnsi="Arial"/>
          <w:sz w:val="20"/>
          <w:szCs w:val="20"/>
        </w:rPr>
        <w:t xml:space="preserve">According to Validity's 2025 benchmark report, 83.5% of marketing emails reached the inbox. About 1 in 6 missed. Spam placement rose from 4.5% in Q1 to 8.6% in Q4.</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7"/>
        <w:gridCol w:w="2154"/>
        <w:gridCol w:w="2348"/>
        <w:gridCol w:w="2154"/>
        <w:gridCol w:w="1837"/>
      </w:tblGrid>
      <w:tr>
        <w:trPr>
          <w:cantSplit/>
          <w:tblHeader/>
        </w:trPr>
        <w:tc>
          <w:tcPr>
            <w:tcW w:type="dxa" w:w="158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Country</w:t>
            </w:r>
          </w:p>
        </w:tc>
        <w:tc>
          <w:tcPr>
            <w:tcW w:type="dxa" w:w="215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Gmail's inbox share</w:t>
            </w:r>
          </w:p>
        </w:tc>
        <w:tc>
          <w:tcPr>
            <w:tcW w:type="dxa" w:w="234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Microsoft's inbox share</w:t>
            </w:r>
          </w:p>
        </w:tc>
        <w:tc>
          <w:tcPr>
            <w:tcW w:type="dxa" w:w="215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Yahoo's inbox share</w:t>
            </w:r>
          </w:p>
        </w:tc>
        <w:tc>
          <w:tcPr>
            <w:tcW w:type="dxa" w:w="183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Overall inbox rate</w:t>
            </w:r>
          </w:p>
        </w:tc>
      </w:tr>
      <w:tr>
        <w:trPr>
          <w:cantSplit/>
        </w:trPr>
        <w:tc>
          <w:tcPr>
            <w:tcW w:type="dxa" w:w="158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States</w:t>
            </w:r>
          </w:p>
        </w:tc>
        <w:tc>
          <w:tcPr>
            <w:tcW w:type="dxa" w:w="215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54.4% (88.8% inbox)</w:t>
            </w:r>
          </w:p>
        </w:tc>
        <w:tc>
          <w:tcPr>
            <w:tcW w:type="dxa" w:w="23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10.8% (75.8% inbox)</w:t>
            </w:r>
          </w:p>
        </w:tc>
        <w:tc>
          <w:tcPr>
            <w:tcW w:type="dxa" w:w="215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21.8% (86.4% inbox)</w:t>
            </w:r>
          </w:p>
        </w:tc>
        <w:tc>
          <w:tcPr>
            <w:tcW w:type="dxa" w:w="183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85.0%</w:t>
            </w:r>
          </w:p>
        </w:tc>
      </w:tr>
      <w:tr>
        <w:trPr>
          <w:cantSplit/>
        </w:trPr>
        <w:tc>
          <w:tcPr>
            <w:tcW w:type="dxa" w:w="158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w:t>
            </w:r>
          </w:p>
        </w:tc>
        <w:tc>
          <w:tcPr>
            <w:tcW w:type="dxa" w:w="215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45.5% (94.4% inbox)</w:t>
            </w:r>
          </w:p>
        </w:tc>
        <w:tc>
          <w:tcPr>
            <w:tcW w:type="dxa" w:w="23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27.9% (78.9% inbox)</w:t>
            </w:r>
          </w:p>
        </w:tc>
        <w:tc>
          <w:tcPr>
            <w:tcW w:type="dxa" w:w="215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12.2% (88.6% inbox)</w:t>
            </w:r>
          </w:p>
        </w:tc>
        <w:tc>
          <w:tcPr>
            <w:tcW w:type="dxa" w:w="183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86.7%</w:t>
            </w:r>
          </w:p>
        </w:tc>
      </w:tr>
      <w:tr>
        <w:trPr>
          <w:cantSplit/>
        </w:trPr>
        <w:tc>
          <w:tcPr>
            <w:tcW w:type="dxa" w:w="158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Kingdom</w:t>
            </w:r>
          </w:p>
        </w:tc>
        <w:tc>
          <w:tcPr>
            <w:tcW w:type="dxa" w:w="215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41.1% (91.8% inbox)</w:t>
            </w:r>
          </w:p>
        </w:tc>
        <w:tc>
          <w:tcPr>
            <w:tcW w:type="dxa" w:w="23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32.3% (86.9% inbox)</w:t>
            </w:r>
          </w:p>
        </w:tc>
        <w:tc>
          <w:tcPr>
            <w:tcW w:type="dxa" w:w="215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7.8% (90.2% inbox)</w:t>
            </w:r>
          </w:p>
        </w:tc>
        <w:tc>
          <w:tcPr>
            <w:tcW w:type="dxa" w:w="183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87.8%</w:t>
            </w:r>
          </w:p>
        </w:tc>
      </w:tr>
      <w:tr>
        <w:trPr>
          <w:cantSplit/>
        </w:trPr>
        <w:tc>
          <w:tcPr>
            <w:tcW w:type="dxa" w:w="158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w:t>
            </w:r>
          </w:p>
        </w:tc>
        <w:tc>
          <w:tcPr>
            <w:tcW w:type="dxa" w:w="215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47.3% (92.6% inbox)</w:t>
            </w:r>
          </w:p>
        </w:tc>
        <w:tc>
          <w:tcPr>
            <w:tcW w:type="dxa" w:w="23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30.2% (77.7% inbox)</w:t>
            </w:r>
          </w:p>
        </w:tc>
        <w:tc>
          <w:tcPr>
            <w:tcW w:type="dxa" w:w="215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7.5% (86.4% inbox)</w:t>
            </w:r>
          </w:p>
        </w:tc>
        <w:tc>
          <w:tcPr>
            <w:tcW w:type="dxa" w:w="183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85.0%</w:t>
            </w:r>
          </w:p>
        </w:tc>
      </w:tr>
    </w:tbl>
    <w:p>
      <w:pPr>
        <w:spacing w:after="120" w:before="0"/>
      </w:pPr>
    </w:p>
    <w:p>
      <w:pPr>
        <w:spacing w:after="160" w:before="0"/>
      </w:pPr>
      <w:r>
        <w:rPr>
          <w:rFonts w:ascii="Arial" w:cs="Arial" w:eastAsia="Arial" w:hAnsi="Arial"/>
          <w:i/>
          <w:iCs/>
          <w:color w:val="5B6573"/>
          <w:sz w:val="16"/>
          <w:szCs w:val="16"/>
        </w:rPr>
        <w:t xml:space="preserve">Validity. No data for Ireland or New Zealand.</w:t>
      </w:r>
    </w:p>
    <w:p>
      <w:r>
        <w:rPr>
          <w:rFonts w:ascii="Arial" w:cs="Arial" w:eastAsia="Arial" w:hAnsi="Arial"/>
          <w:b/>
          <w:bCs/>
          <w:sz w:val="20"/>
          <w:szCs w:val="20"/>
        </w:rPr>
        <w:t xml:space="preserve">Microsoft is the weak spot outside the US.</w:t>
      </w:r>
      <w:r>
        <w:rPr>
          <w:rFonts w:ascii="Arial" w:cs="Arial" w:eastAsia="Arial" w:hAnsi="Arial"/>
          <w:sz w:val="20"/>
          <w:szCs w:val="20"/>
        </w:rPr>
        <w:t xml:space="preserve"> It holds about a third of inboxes in Canada, the UK, and Australia, and brands have reported months of emails going to Hotmail's spam folder even when they were only emailing 30-day-engaged subscribers. For non-US brands, check Microsoft first.</w:t>
      </w:r>
    </w:p>
    <w:p>
      <w:r>
        <w:rPr>
          <w:rFonts w:ascii="Arial" w:cs="Arial" w:eastAsia="Arial" w:hAnsi="Arial"/>
          <w:b/>
          <w:bCs/>
          <w:sz w:val="20"/>
          <w:szCs w:val="20"/>
        </w:rPr>
        <w:t xml:space="preserve">Gmail's "Promotions" tab is not spam.</w:t>
      </w:r>
      <w:r>
        <w:rPr>
          <w:rFonts w:ascii="Arial" w:cs="Arial" w:eastAsia="Arial" w:hAnsi="Arial"/>
          <w:sz w:val="20"/>
          <w:szCs w:val="20"/>
        </w:rPr>
        <w:t xml:space="preserve"> Klaviyo calls it "a type of inbox." No sender can choose which tab a message lands in. Since September 2025, Gmail has sorted the Promotions tab by relevance, so low-engagement senders sink within it. The honest pitch is about staying visible inside Promotions, which is an engagement argument, not a claim to "get you out of Promotions."</w:t>
      </w:r>
    </w:p>
    <w:p>
      <w:pPr>
        <w:pStyle w:val="Heading2"/>
        <w:keepNext/>
      </w:pPr>
      <w:r>
        <w:rPr>
          <w:rFonts w:ascii="Arial" w:cs="Arial" w:eastAsia="Arial" w:hAnsi="Arial"/>
        </w:rPr>
        <w:t xml:space="preserve">13.2 The measurement toolkit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48"/>
        <w:gridCol w:w="4066"/>
        <w:gridCol w:w="4066"/>
      </w:tblGrid>
      <w:tr>
        <w:trPr>
          <w:cantSplit/>
          <w:tblHeader/>
        </w:trPr>
        <w:tc>
          <w:tcPr>
            <w:tcW w:type="dxa" w:w="194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Tool</w:t>
            </w:r>
          </w:p>
        </w:tc>
        <w:tc>
          <w:tcPr>
            <w:tcW w:type="dxa" w:w="406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shows</w:t>
            </w:r>
          </w:p>
        </w:tc>
        <w:tc>
          <w:tcPr>
            <w:tcW w:type="dxa" w:w="406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Limitations</w:t>
            </w:r>
          </w:p>
        </w:tc>
      </w:tr>
      <w:tr>
        <w:trPr>
          <w:cantSplit/>
        </w:trPr>
        <w:tc>
          <w:tcPr>
            <w:tcW w:type="dxa" w:w="19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Google Postmaster Tools</w:t>
            </w:r>
          </w:p>
        </w:tc>
        <w:tc>
          <w:tcPr>
            <w:tcW w:type="dxa" w:w="4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spam rate, compliance status</w:t>
            </w:r>
          </w:p>
        </w:tc>
        <w:tc>
          <w:tcPr>
            <w:tcW w:type="dxa" w:w="4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Needs enough daily Gmail volume to show data</w:t>
            </w:r>
          </w:p>
        </w:tc>
      </w:tr>
      <w:tr>
        <w:trPr>
          <w:cantSplit/>
        </w:trPr>
        <w:tc>
          <w:tcPr>
            <w:tcW w:type="dxa" w:w="19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Yahoo Sender Hub</w:t>
            </w:r>
          </w:p>
        </w:tc>
        <w:tc>
          <w:tcPr>
            <w:tcW w:type="dxa" w:w="40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Yahoo sender data and complaints</w:t>
            </w:r>
          </w:p>
        </w:tc>
        <w:tc>
          <w:tcPr>
            <w:tcW w:type="dxa" w:w="40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Yahoo only</w:t>
            </w:r>
          </w:p>
        </w:tc>
      </w:tr>
      <w:tr>
        <w:trPr>
          <w:cantSplit/>
        </w:trPr>
        <w:tc>
          <w:tcPr>
            <w:tcW w:type="dxa" w:w="19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Microsoft SNDS</w:t>
            </w:r>
          </w:p>
        </w:tc>
        <w:tc>
          <w:tcPr>
            <w:tcW w:type="dxa" w:w="4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Outlook-level data by IP address</w:t>
            </w:r>
          </w:p>
        </w:tc>
        <w:tc>
          <w:tcPr>
            <w:tcW w:type="dxa" w:w="4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useful with a dedicated sending IP</w:t>
            </w:r>
          </w:p>
        </w:tc>
      </w:tr>
      <w:tr>
        <w:trPr>
          <w:cantSplit/>
        </w:trPr>
        <w:tc>
          <w:tcPr>
            <w:tcW w:type="dxa" w:w="19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 reports</w:t>
            </w:r>
          </w:p>
        </w:tc>
        <w:tc>
          <w:tcPr>
            <w:tcW w:type="dxa" w:w="40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Bounces, complaints, engagement by provider</w:t>
            </w:r>
          </w:p>
        </w:tc>
        <w:tc>
          <w:tcPr>
            <w:tcW w:type="dxa" w:w="40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Opens distorted by Apple auto-opens</w:t>
            </w:r>
          </w:p>
        </w:tc>
      </w:tr>
      <w:tr>
        <w:trPr>
          <w:cantSplit/>
        </w:trPr>
        <w:tc>
          <w:tcPr>
            <w:tcW w:type="dxa" w:w="194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 aggregate reports</w:t>
            </w:r>
          </w:p>
        </w:tc>
        <w:tc>
          <w:tcPr>
            <w:tcW w:type="dxa" w:w="4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Every source sending as the brand's domain</w:t>
            </w:r>
          </w:p>
        </w:tc>
        <w:tc>
          <w:tcPr>
            <w:tcW w:type="dxa" w:w="40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Needs a report processing tool at larger volumes</w:t>
            </w:r>
          </w:p>
        </w:tc>
      </w:tr>
      <w:tr>
        <w:trPr>
          <w:cantSplit/>
        </w:trPr>
        <w:tc>
          <w:tcPr>
            <w:tcW w:type="dxa" w:w="194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Seed tests</w:t>
            </w:r>
          </w:p>
        </w:tc>
        <w:tc>
          <w:tcPr>
            <w:tcW w:type="dxa" w:w="40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Where a test email lands across a panel of fake accounts</w:t>
            </w:r>
          </w:p>
        </w:tc>
        <w:tc>
          <w:tcPr>
            <w:tcW w:type="dxa" w:w="40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engagement history; panel mix skews the score</w:t>
            </w:r>
          </w:p>
        </w:tc>
      </w:tr>
    </w:tbl>
    <w:p>
      <w:pPr>
        <w:spacing w:after="120" w:before="0"/>
      </w:pPr>
    </w:p>
    <w:p>
      <w:pPr>
        <w:pStyle w:val="Heading2"/>
        <w:keepNext/>
      </w:pPr>
      <w:r>
        <w:rPr>
          <w:rFonts w:ascii="Arial" w:cs="Arial" w:eastAsia="Arial" w:hAnsi="Arial"/>
        </w:rPr>
        <w:t xml:space="preserve">13.3 How to use seed tests correctly</w:t>
      </w:r>
    </w:p>
    <w:p>
      <w:r>
        <w:rPr>
          <w:rFonts w:ascii="Arial" w:cs="Arial" w:eastAsia="Arial" w:hAnsi="Arial"/>
          <w:sz w:val="20"/>
          <w:szCs w:val="20"/>
        </w:rPr>
        <w:t xml:space="preserve">Seed test accounts do not behave like real people, email providers treat new accounts differently. The mix of accounts in the panel also moves the score: Microsoft and Apple seed accounts place at around 75–76%, while Gmail and Yahoo seed accounts place at 86–87%. </w:t>
      </w:r>
    </w:p>
    <w:p>
      <w:r>
        <w:rPr>
          <w:rFonts w:ascii="Arial" w:cs="Arial" w:eastAsia="Arial" w:hAnsi="Arial"/>
          <w:sz w:val="20"/>
          <w:szCs w:val="20"/>
        </w:rPr>
        <w:t xml:space="preserve">The right way to use a seed test:</w:t>
      </w:r>
    </w:p>
    <w:p>
      <w:pPr>
        <w:pStyle w:val="ListParagraph"/>
        <w:numPr>
          <w:ilvl w:val="0"/>
          <w:numId w:val="2"/>
        </w:numPr>
        <w:spacing w:after="60"/>
      </w:pPr>
      <w:r>
        <w:rPr>
          <w:rFonts w:ascii="Arial" w:cs="Arial" w:eastAsia="Arial" w:hAnsi="Arial"/>
          <w:sz w:val="20"/>
          <w:szCs w:val="20"/>
        </w:rPr>
        <w:t xml:space="preserve">Weight the panel to match the brand's actual mix of subscribers (how many Gmail, how many Microsoft, etc.)</w:t>
      </w:r>
    </w:p>
    <w:p>
      <w:pPr>
        <w:pStyle w:val="ListParagraph"/>
        <w:numPr>
          <w:ilvl w:val="0"/>
          <w:numId w:val="2"/>
        </w:numPr>
        <w:spacing w:after="60"/>
      </w:pPr>
      <w:r>
        <w:rPr>
          <w:rFonts w:ascii="Arial" w:cs="Arial" w:eastAsia="Arial" w:hAnsi="Arial"/>
          <w:sz w:val="20"/>
          <w:szCs w:val="20"/>
        </w:rPr>
        <w:t xml:space="preserve">Read the results as a trend across several sends, not a one-time score</w:t>
      </w:r>
    </w:p>
    <w:p>
      <w:pPr>
        <w:pStyle w:val="ListParagraph"/>
        <w:numPr>
          <w:ilvl w:val="0"/>
          <w:numId w:val="2"/>
        </w:numPr>
        <w:spacing w:after="60"/>
      </w:pPr>
      <w:r>
        <w:rPr>
          <w:rFonts w:ascii="Arial" w:cs="Arial" w:eastAsia="Arial" w:hAnsi="Arial"/>
          <w:sz w:val="20"/>
          <w:szCs w:val="20"/>
        </w:rPr>
        <w:t xml:space="preserve">Always pair seed test results with Google Postmaster spam rate data, bounce reasons, and DMARC data</w:t>
      </w:r>
    </w:p>
    <w:p>
      <w:pPr>
        <w:pStyle w:val="ListParagraph"/>
        <w:numPr>
          <w:ilvl w:val="0"/>
          <w:numId w:val="2"/>
        </w:numPr>
        <w:spacing w:after="60"/>
      </w:pPr>
      <w:r>
        <w:rPr>
          <w:rFonts w:ascii="Arial" w:cs="Arial" w:eastAsia="Arial" w:hAnsi="Arial"/>
          <w:sz w:val="20"/>
          <w:szCs w:val="20"/>
        </w:rPr>
        <w:t xml:space="preserve">Real warning signs: spam placement at multiple providers at the same time, or order confirmation emails landing in spam</w:t>
      </w:r>
    </w:p>
    <w:p>
      <w:pPr>
        <w:spacing w:after="60" w:before="0"/>
      </w:pPr>
    </w:p>
    <w:p>
      <w:r>
        <w:rPr>
          <w:rFonts w:ascii="Arial" w:cs="Arial" w:eastAsia="Arial" w:hAnsi="Arial"/>
          <w:b/>
          <w:bCs/>
          <w:sz w:val="20"/>
          <w:szCs w:val="20"/>
        </w:rPr>
        <w:t xml:space="preserve">The Ascent Health Scorecard</w:t>
      </w:r>
      <w:r>
        <w:rPr>
          <w:rFonts w:ascii="Arial" w:cs="Arial" w:eastAsia="Arial" w:hAnsi="Arial"/>
          <w:sz w:val="20"/>
          <w:szCs w:val="20"/>
        </w:rPr>
        <w:t xml:space="preserve"> (replaces the simple "80% inbox rate" pass bar):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9"/>
        <w:gridCol w:w="3582"/>
        <w:gridCol w:w="3999"/>
      </w:tblGrid>
      <w:tr>
        <w:trPr>
          <w:cantSplit/>
          <w:tblHeader/>
        </w:trPr>
        <w:tc>
          <w:tcPr>
            <w:tcW w:type="dxa" w:w="249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Metric</w:t>
            </w:r>
          </w:p>
        </w:tc>
        <w:tc>
          <w:tcPr>
            <w:tcW w:type="dxa" w:w="358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Target at 30 days</w:t>
            </w:r>
          </w:p>
        </w:tc>
        <w:tc>
          <w:tcPr>
            <w:tcW w:type="dxa" w:w="399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Where to check</w:t>
            </w:r>
          </w:p>
        </w:tc>
      </w:tr>
      <w:tr>
        <w:trPr>
          <w:cantSplit/>
        </w:trPr>
        <w:tc>
          <w:tcPr>
            <w:tcW w:type="dxa" w:w="24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 pass rate on real emails</w:t>
            </w:r>
          </w:p>
        </w:tc>
        <w:tc>
          <w:tcPr>
            <w:tcW w:type="dxa" w:w="3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98%+</w:t>
            </w:r>
          </w:p>
        </w:tc>
        <w:tc>
          <w:tcPr>
            <w:tcW w:type="dxa" w:w="39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 reports</w:t>
            </w:r>
          </w:p>
        </w:tc>
      </w:tr>
      <w:tr>
        <w:trPr>
          <w:cantSplit/>
        </w:trPr>
        <w:tc>
          <w:tcPr>
            <w:tcW w:type="dxa" w:w="24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spam rate</w:t>
            </w:r>
          </w:p>
        </w:tc>
        <w:tc>
          <w:tcPr>
            <w:tcW w:type="dxa" w:w="35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Below 0.1% (aim for below 0.05%)</w:t>
            </w:r>
          </w:p>
        </w:tc>
        <w:tc>
          <w:tcPr>
            <w:tcW w:type="dxa" w:w="39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Google Postmaster Tools</w:t>
            </w:r>
          </w:p>
        </w:tc>
      </w:tr>
      <w:tr>
        <w:trPr>
          <w:cantSplit/>
        </w:trPr>
        <w:tc>
          <w:tcPr>
            <w:tcW w:type="dxa" w:w="24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Bounce rate</w:t>
            </w:r>
          </w:p>
        </w:tc>
        <w:tc>
          <w:tcPr>
            <w:tcW w:type="dxa" w:w="3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Below 1%</w:t>
            </w:r>
          </w:p>
        </w:tc>
        <w:tc>
          <w:tcPr>
            <w:tcW w:type="dxa" w:w="39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w:t>
            </w:r>
          </w:p>
        </w:tc>
      </w:tr>
      <w:tr>
        <w:trPr>
          <w:cantSplit/>
        </w:trPr>
        <w:tc>
          <w:tcPr>
            <w:tcW w:type="dxa" w:w="24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Microsoft inbox rate</w:t>
            </w:r>
          </w:p>
        </w:tc>
        <w:tc>
          <w:tcPr>
            <w:tcW w:type="dxa" w:w="35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Measurably better than before Ascent</w:t>
            </w:r>
          </w:p>
        </w:tc>
        <w:tc>
          <w:tcPr>
            <w:tcW w:type="dxa" w:w="39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Weighted seed test trend + provider engagement data</w:t>
            </w:r>
          </w:p>
        </w:tc>
      </w:tr>
      <w:tr>
        <w:trPr>
          <w:cantSplit/>
        </w:trPr>
        <w:tc>
          <w:tcPr>
            <w:tcW w:type="dxa" w:w="24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Order confirmation emails</w:t>
            </w:r>
          </w:p>
        </w:tc>
        <w:tc>
          <w:tcPr>
            <w:tcW w:type="dxa" w:w="3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Landing in inbox at all major providers</w:t>
            </w:r>
          </w:p>
        </w:tc>
        <w:tc>
          <w:tcPr>
            <w:tcW w:type="dxa" w:w="39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Seed tests and real order tests</w:t>
            </w:r>
          </w:p>
        </w:tc>
      </w:tr>
      <w:tr>
        <w:trPr>
          <w:cantSplit/>
        </w:trPr>
        <w:tc>
          <w:tcPr>
            <w:tcW w:type="dxa" w:w="24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One-click unsubscribe</w:t>
            </w:r>
          </w:p>
        </w:tc>
        <w:tc>
          <w:tcPr>
            <w:tcW w:type="dxa" w:w="35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Present on all marketing emails</w:t>
            </w:r>
          </w:p>
        </w:tc>
        <w:tc>
          <w:tcPr>
            <w:tcW w:type="dxa" w:w="39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 email headers</w:t>
            </w:r>
          </w:p>
        </w:tc>
      </w:tr>
      <w:tr>
        <w:trPr>
          <w:cantSplit/>
        </w:trPr>
        <w:tc>
          <w:tcPr>
            <w:tcW w:type="dxa" w:w="24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Revenue per email sent</w:t>
            </w:r>
          </w:p>
        </w:tc>
        <w:tc>
          <w:tcPr>
            <w:tcW w:type="dxa" w:w="35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Flat or better vs. the same weeks last year</w:t>
            </w:r>
          </w:p>
        </w:tc>
        <w:tc>
          <w:tcPr>
            <w:tcW w:type="dxa" w:w="39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w:t>
            </w:r>
          </w:p>
        </w:tc>
      </w:tr>
    </w:tbl>
    <w:p>
      <w:pPr>
        <w:spacing w:after="120" w:before="0"/>
      </w:pPr>
    </w:p>
    <w:p>
      <w:pPr>
        <w:pStyle w:val="Heading2"/>
        <w:keepNext/>
      </w:pPr>
      <w:r>
        <w:rPr>
          <w:rFonts w:ascii="Arial" w:cs="Arial" w:eastAsia="Arial" w:hAnsi="Arial"/>
        </w:rPr>
        <w:t xml:space="preserve">13.4 Shared IP vs. dedicated sending IP</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2"/>
        <w:gridCol w:w="4359"/>
        <w:gridCol w:w="4359"/>
      </w:tblGrid>
      <w:tr>
        <w:trPr>
          <w:cantSplit/>
          <w:tblHeader/>
        </w:trPr>
        <w:tc>
          <w:tcPr>
            <w:tcW w:type="dxa" w:w="136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p>
        </w:tc>
        <w:tc>
          <w:tcPr>
            <w:tcW w:type="dxa" w:w="435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Shared IP (Klaviyo default)</w:t>
            </w:r>
          </w:p>
        </w:tc>
        <w:tc>
          <w:tcPr>
            <w:tcW w:type="dxa" w:w="435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Dedicated IP</w:t>
            </w:r>
          </w:p>
        </w:tc>
      </w:tr>
      <w:tr>
        <w:trPr>
          <w:cantSplit/>
        </w:trPr>
        <w:tc>
          <w:tcPr>
            <w:tcW w:type="dxa" w:w="136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Reputation</w:t>
            </w:r>
          </w:p>
        </w:tc>
        <w:tc>
          <w:tcPr>
            <w:tcW w:type="dxa" w:w="43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Shared with other Klaviyo senders</w:t>
            </w:r>
          </w:p>
        </w:tc>
        <w:tc>
          <w:tcPr>
            <w:tcW w:type="dxa" w:w="43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brand's alone</w:t>
            </w:r>
          </w:p>
        </w:tc>
      </w:tr>
      <w:tr>
        <w:trPr>
          <w:cantSplit/>
        </w:trPr>
        <w:tc>
          <w:tcPr>
            <w:tcW w:type="dxa" w:w="136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Volume required</w:t>
            </w:r>
          </w:p>
        </w:tc>
        <w:tc>
          <w:tcPr>
            <w:tcW w:type="dxa" w:w="43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None</w:t>
            </w:r>
          </w:p>
        </w:tc>
        <w:tc>
          <w:tcPr>
            <w:tcW w:type="dxa" w:w="43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 and consistent; gaps in sending let it go cold</w:t>
            </w:r>
          </w:p>
        </w:tc>
      </w:tr>
      <w:tr>
        <w:trPr>
          <w:cantSplit/>
        </w:trPr>
        <w:tc>
          <w:tcPr>
            <w:tcW w:type="dxa" w:w="136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Cost</w:t>
            </w:r>
          </w:p>
        </w:tc>
        <w:tc>
          <w:tcPr>
            <w:tcW w:type="dxa" w:w="43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Included in Klaviyo</w:t>
            </w:r>
          </w:p>
        </w:tc>
        <w:tc>
          <w:tcPr>
            <w:tcW w:type="dxa" w:w="43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Extra fee plus warm-up effort</w:t>
            </w:r>
          </w:p>
        </w:tc>
      </w:tr>
      <w:tr>
        <w:trPr>
          <w:cantSplit/>
        </w:trPr>
        <w:tc>
          <w:tcPr>
            <w:tcW w:type="dxa" w:w="136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Main risk</w:t>
            </w:r>
          </w:p>
        </w:tc>
        <w:tc>
          <w:tcPr>
            <w:tcW w:type="dxa" w:w="43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If another brand on the same pool gets blocked, you might be affected</w:t>
            </w:r>
          </w:p>
        </w:tc>
        <w:tc>
          <w:tcPr>
            <w:tcW w:type="dxa" w:w="43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Every mistake is purely the brand's own problem</w:t>
            </w:r>
          </w:p>
        </w:tc>
      </w:tr>
      <w:tr>
        <w:trPr>
          <w:cantSplit/>
        </w:trPr>
        <w:tc>
          <w:tcPr>
            <w:tcW w:type="dxa" w:w="136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Best for</w:t>
            </w:r>
          </w:p>
        </w:tc>
        <w:tc>
          <w:tcPr>
            <w:tcW w:type="dxa" w:w="43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Almost every brand we target</w:t>
            </w:r>
          </w:p>
        </w:tc>
        <w:tc>
          <w:tcPr>
            <w:tcW w:type="dxa" w:w="43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A3 brands with large, consistent daily sending volume</w:t>
            </w:r>
          </w:p>
        </w:tc>
      </w:tr>
    </w:tbl>
    <w:p>
      <w:pPr>
        <w:spacing w:after="120" w:before="0"/>
      </w:pPr>
    </w:p>
    <w:p>
      <w:r>
        <w:rPr>
          <w:rFonts w:ascii="Arial" w:cs="Arial" w:eastAsia="Arial" w:hAnsi="Arial"/>
          <w:sz w:val="20"/>
          <w:szCs w:val="20"/>
        </w:rPr>
        <w:t xml:space="preserve">At Gmail, </w:t>
      </w:r>
      <w:r>
        <w:rPr>
          <w:rFonts w:ascii="Arial" w:cs="Arial" w:eastAsia="Arial" w:hAnsi="Arial"/>
          <w:b/>
          <w:bCs/>
          <w:sz w:val="20"/>
          <w:szCs w:val="20"/>
        </w:rPr>
        <w:t xml:space="preserve">domain reputation</w:t>
      </w:r>
      <w:r>
        <w:rPr>
          <w:rFonts w:ascii="Arial" w:cs="Arial" w:eastAsia="Arial" w:hAnsi="Arial"/>
          <w:sz w:val="20"/>
          <w:szCs w:val="20"/>
        </w:rPr>
        <w:t xml:space="preserve"> now carries most of the weight, not which IP address you send from. For almost every brand we target, having authenticated email with an engaged list matters far more than whether you have your own IP address.</w:t>
      </w:r>
    </w:p>
    <w:p>
      <w:r>
        <w:rPr>
          <w:rFonts w:ascii="Arial" w:cs="Arial" w:eastAsia="Arial" w:hAnsi="Arial"/>
          <w:sz w:val="20"/>
          <w:szCs w:val="20"/>
        </w:rPr>
        <w:t xml:space="preserve">Shared sending pools do fail: one merchant reported Gmail blocking Klaviyo's shared IPs, bouncing 22.5% and 60% of two Black Friday 2025 campaigns. Even then, the fix was escalating to Klaviyo and tightening targeting, not switching to a dedicated IP.</w:t>
      </w:r>
    </w:p>
    <w:p>
      <w:pPr>
        <w:pStyle w:val="Heading2"/>
        <w:keepNext/>
      </w:pPr>
      <w:r>
        <w:rPr>
          <w:rFonts w:ascii="Arial" w:cs="Arial" w:eastAsia="Arial" w:hAnsi="Arial"/>
        </w:rPr>
        <w:t xml:space="preserve">13.5 Warm-up schedule for a new sending domain</w:t>
      </w:r>
    </w:p>
    <w:p>
      <w:r>
        <w:rPr>
          <w:rFonts w:ascii="Arial" w:cs="Arial" w:eastAsia="Arial" w:hAnsi="Arial"/>
          <w:sz w:val="20"/>
          <w:szCs w:val="20"/>
        </w:rPr>
        <w:t xml:space="preserve">If a brand needs a new branded sending domain (e.g., moving from "via klaviyomail.com" to sending from "send.brand.com"), they need to warm it up gradually. This is based on Klaviyo's own guidance, third-party "warm-up" services have no role here.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1"/>
        <w:gridCol w:w="6565"/>
        <w:gridCol w:w="2494"/>
      </w:tblGrid>
      <w:tr>
        <w:trPr>
          <w:cantSplit/>
          <w:tblHeader/>
        </w:trPr>
        <w:tc>
          <w:tcPr>
            <w:tcW w:type="dxa" w:w="102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Weeks</w:t>
            </w:r>
          </w:p>
        </w:tc>
        <w:tc>
          <w:tcPr>
            <w:tcW w:type="dxa" w:w="656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Who gets campaign emails</w:t>
            </w:r>
          </w:p>
        </w:tc>
        <w:tc>
          <w:tcPr>
            <w:tcW w:type="dxa" w:w="249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Automated sequences</w:t>
            </w:r>
          </w:p>
        </w:tc>
      </w:tr>
      <w:tr>
        <w:trPr>
          <w:cantSplit/>
        </w:trPr>
        <w:tc>
          <w:tcPr>
            <w:tcW w:type="dxa" w:w="102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w:t>
            </w:r>
          </w:p>
        </w:tc>
        <w:tc>
          <w:tcPr>
            <w:tcW w:type="dxa" w:w="65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People who clicked or ordered in last 30 days</w:t>
            </w:r>
          </w:p>
        </w:tc>
        <w:tc>
          <w:tcPr>
            <w:tcW w:type="dxa" w:w="249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w:t>
            </w:r>
          </w:p>
        </w:tc>
      </w:tr>
      <w:tr>
        <w:trPr>
          <w:cantSplit/>
        </w:trPr>
        <w:tc>
          <w:tcPr>
            <w:tcW w:type="dxa" w:w="102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3–4</w:t>
            </w:r>
          </w:p>
        </w:tc>
        <w:tc>
          <w:tcPr>
            <w:tcW w:type="dxa" w:w="65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Engaged in last 60 days</w:t>
            </w:r>
          </w:p>
        </w:tc>
        <w:tc>
          <w:tcPr>
            <w:tcW w:type="dxa" w:w="249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w:t>
            </w:r>
          </w:p>
        </w:tc>
      </w:tr>
      <w:tr>
        <w:trPr>
          <w:cantSplit/>
        </w:trPr>
        <w:tc>
          <w:tcPr>
            <w:tcW w:type="dxa" w:w="102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5–6</w:t>
            </w:r>
          </w:p>
        </w:tc>
        <w:tc>
          <w:tcPr>
            <w:tcW w:type="dxa" w:w="65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Engaged in last 90 days</w:t>
            </w:r>
          </w:p>
        </w:tc>
        <w:tc>
          <w:tcPr>
            <w:tcW w:type="dxa" w:w="249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w:t>
            </w:r>
          </w:p>
        </w:tc>
      </w:tr>
      <w:tr>
        <w:trPr>
          <w:cantSplit/>
        </w:trPr>
        <w:tc>
          <w:tcPr>
            <w:tcW w:type="dxa" w:w="102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7–8</w:t>
            </w:r>
          </w:p>
        </w:tc>
        <w:tc>
          <w:tcPr>
            <w:tcW w:type="dxa" w:w="65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Engaged in last 120 days</w:t>
            </w:r>
          </w:p>
        </w:tc>
        <w:tc>
          <w:tcPr>
            <w:tcW w:type="dxa" w:w="249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w:t>
            </w:r>
          </w:p>
        </w:tc>
      </w:tr>
      <w:tr>
        <w:trPr>
          <w:cantSplit/>
        </w:trPr>
        <w:tc>
          <w:tcPr>
            <w:tcW w:type="dxa" w:w="102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9–10</w:t>
            </w:r>
          </w:p>
        </w:tc>
        <w:tc>
          <w:tcPr>
            <w:tcW w:type="dxa" w:w="65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Engaged in last 180 days</w:t>
            </w:r>
          </w:p>
        </w:tc>
        <w:tc>
          <w:tcPr>
            <w:tcW w:type="dxa" w:w="249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w:t>
            </w:r>
          </w:p>
        </w:tc>
      </w:tr>
    </w:tbl>
    <w:p>
      <w:pPr>
        <w:spacing w:after="120" w:before="0"/>
      </w:pPr>
    </w:p>
    <w:p>
      <w:r>
        <w:rPr>
          <w:rFonts w:ascii="Arial" w:cs="Arial" w:eastAsia="Arial" w:hAnsi="Arial"/>
          <w:sz w:val="20"/>
          <w:szCs w:val="20"/>
        </w:rPr>
        <w:t xml:space="preserve">Only step up if spam complaints stay below 0.05% and bounces below 1%. Otherwise hold the current level for another week.</w:t>
      </w:r>
    </w:p>
    <w:p>
      <w:r>
        <w:rPr>
          <w:rFonts w:ascii="Arial" w:cs="Arial" w:eastAsia="Arial" w:hAnsi="Arial"/>
          <w:b/>
          <w:bCs/>
          <w:sz w:val="20"/>
          <w:szCs w:val="20"/>
        </w:rPr>
        <w:t xml:space="preserve">Important timing:</w:t>
      </w:r>
      <w:r>
        <w:rPr>
          <w:rFonts w:ascii="Arial" w:cs="Arial" w:eastAsia="Arial" w:hAnsi="Arial"/>
          <w:sz w:val="20"/>
          <w:szCs w:val="20"/>
        </w:rPr>
        <w:t xml:space="preserve"> To finish warm-up before Black Friday 2026 (November 27), warm-up had to start by about September 18, 2026. </w:t>
      </w:r>
      <w:r>
        <w:rPr>
          <w:rFonts w:ascii="Arial" w:cs="Arial" w:eastAsia="Arial" w:hAnsi="Arial"/>
          <w:b/>
          <w:bCs/>
          <w:sz w:val="20"/>
          <w:szCs w:val="20"/>
        </w:rPr>
        <w:t xml:space="preserve">For Black Friday 2027 (November 26), start by about September 17, 2027.</w:t>
      </w:r>
      <w:r>
        <w:rPr>
          <w:rFonts w:ascii="Arial" w:cs="Arial" w:eastAsia="Arial" w:hAnsi="Arial"/>
          <w:sz w:val="20"/>
          <w:szCs w:val="20"/>
        </w:rPr>
        <w:t xml:space="preserve"> Brands that missed the window should stay on their current authenticated path through peak season and migrate in January.</w:t>
      </w:r>
    </w:p>
    <w:p>
      <w:pPr>
        <w:pStyle w:val="Heading2"/>
        <w:keepNext/>
      </w:pPr>
      <w:r>
        <w:rPr>
          <w:rFonts w:ascii="Arial" w:cs="Arial" w:eastAsia="Arial" w:hAnsi="Arial"/>
        </w:rPr>
        <w:t xml:space="preserve">13.6 How to handle delivery problems (incident runbook)</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7"/>
        <w:gridCol w:w="2145"/>
        <w:gridCol w:w="900"/>
        <w:gridCol w:w="2424"/>
        <w:gridCol w:w="2574"/>
      </w:tblGrid>
      <w:tr>
        <w:trPr>
          <w:cantSplit/>
          <w:tblHeader/>
        </w:trPr>
        <w:tc>
          <w:tcPr>
            <w:tcW w:type="dxa" w:w="203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Problem</w:t>
            </w:r>
          </w:p>
        </w:tc>
        <w:tc>
          <w:tcPr>
            <w:tcW w:type="dxa" w:w="214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you notice it</w:t>
            </w:r>
          </w:p>
        </w:tc>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Severity</w:t>
            </w:r>
          </w:p>
        </w:tc>
        <w:tc>
          <w:tcPr>
            <w:tcW w:type="dxa" w:w="242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First 24 hours</w:t>
            </w:r>
          </w:p>
        </w:tc>
        <w:tc>
          <w:tcPr>
            <w:tcW w:type="dxa" w:w="257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Recovery</w:t>
            </w:r>
          </w:p>
        </w:tc>
      </w:tr>
      <w:tr>
        <w:trPr>
          <w:cantSplit/>
        </w:trPr>
        <w:tc>
          <w:tcPr>
            <w:tcW w:type="dxa" w:w="203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spam rate above 0.3%</w:t>
            </w:r>
          </w:p>
        </w:tc>
        <w:tc>
          <w:tcPr>
            <w:tcW w:type="dxa" w:w="214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Google Postmaster Tools</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Critical</w:t>
            </w:r>
          </w:p>
        </w:tc>
        <w:tc>
          <w:tcPr>
            <w:tcW w:type="dxa" w:w="242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send campaigns to 30-day-engaged subscribers; review recent list sources</w:t>
            </w:r>
          </w:p>
        </w:tc>
        <w:tc>
          <w:tcPr>
            <w:tcW w:type="dxa" w:w="25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7 clean days, then ramp back up tier by tier</w:t>
            </w:r>
          </w:p>
        </w:tc>
      </w:tr>
      <w:tr>
        <w:trPr>
          <w:cantSplit/>
        </w:trPr>
        <w:tc>
          <w:tcPr>
            <w:tcW w:type="dxa" w:w="203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Bounce rate above 2%</w:t>
            </w:r>
          </w:p>
        </w:tc>
        <w:tc>
          <w:tcPr>
            <w:tcW w:type="dxa" w:w="214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w:t>
            </w:r>
          </w:p>
        </w:tc>
        <w:tc>
          <w:tcPr>
            <w:tcW w:type="dxa" w:w="242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Read the bounce error codes; pause new sign-up sources; check forms for bots</w:t>
            </w:r>
          </w:p>
        </w:tc>
        <w:tc>
          <w:tcPr>
            <w:tcW w:type="dxa" w:w="257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Remove the affected cohort; re-verify sources</w:t>
            </w:r>
          </w:p>
        </w:tc>
      </w:tr>
      <w:tr>
        <w:trPr>
          <w:cantSplit/>
        </w:trPr>
        <w:tc>
          <w:tcPr>
            <w:tcW w:type="dxa" w:w="203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Microsoft rejections</w:t>
            </w:r>
          </w:p>
        </w:tc>
        <w:tc>
          <w:tcPr>
            <w:tcW w:type="dxa" w:w="214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Bounce reason codes</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w:t>
            </w:r>
          </w:p>
        </w:tc>
        <w:tc>
          <w:tcPr>
            <w:tcW w:type="dxa" w:w="242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 SPF, DKIM, DMARC, and alignment on that sending path</w:t>
            </w:r>
          </w:p>
        </w:tc>
        <w:tc>
          <w:tcPr>
            <w:tcW w:type="dxa" w:w="25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Fix, then retest</w:t>
            </w:r>
          </w:p>
        </w:tc>
      </w:tr>
      <w:tr>
        <w:trPr>
          <w:cantSplit/>
        </w:trPr>
        <w:tc>
          <w:tcPr>
            <w:tcW w:type="dxa" w:w="203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Shared IP blocked</w:t>
            </w:r>
          </w:p>
        </w:tc>
        <w:tc>
          <w:tcPr>
            <w:tcW w:type="dxa" w:w="214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Bounce error codes; Klaviyo notification</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 to high</w:t>
            </w:r>
          </w:p>
        </w:tc>
        <w:tc>
          <w:tcPr>
            <w:tcW w:type="dxa" w:w="242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Open Klaviyo support ticket; narrow sends to engaged-only</w:t>
            </w:r>
          </w:p>
        </w:tc>
        <w:tc>
          <w:tcPr>
            <w:tcW w:type="dxa" w:w="257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 moves traffic; record this in the client report</w:t>
            </w:r>
          </w:p>
        </w:tc>
      </w:tr>
      <w:tr>
        <w:trPr>
          <w:cantSplit/>
        </w:trPr>
        <w:tc>
          <w:tcPr>
            <w:tcW w:type="dxa" w:w="203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List bombing (bot sign-ups)</w:t>
            </w:r>
          </w:p>
        </w:tc>
        <w:tc>
          <w:tcPr>
            <w:tcW w:type="dxa" w:w="214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Sign-up spike</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w:t>
            </w:r>
          </w:p>
        </w:tc>
        <w:tc>
          <w:tcPr>
            <w:tcW w:type="dxa" w:w="242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 CAPTCHA and double opt-in to affected forms</w:t>
            </w:r>
          </w:p>
        </w:tc>
        <w:tc>
          <w:tcPr>
            <w:tcW w:type="dxa" w:w="25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Remove the affected cohort</w:t>
            </w:r>
          </w:p>
        </w:tc>
      </w:tr>
      <w:tr>
        <w:trPr>
          <w:cantSplit/>
        </w:trPr>
        <w:tc>
          <w:tcPr>
            <w:tcW w:type="dxa" w:w="203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 failures after adding a new tool</w:t>
            </w:r>
          </w:p>
        </w:tc>
        <w:tc>
          <w:tcPr>
            <w:tcW w:type="dxa" w:w="214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 aggregate reports</w:t>
            </w:r>
          </w:p>
        </w:tc>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w:t>
            </w:r>
          </w:p>
        </w:tc>
        <w:tc>
          <w:tcPr>
            <w:tcW w:type="dxa" w:w="242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 DKIM or SPF for the new tool</w:t>
            </w:r>
          </w:p>
        </w:tc>
        <w:tc>
          <w:tcPr>
            <w:tcW w:type="dxa" w:w="257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Add a change-request step for future tool additions</w:t>
            </w:r>
          </w:p>
        </w:tc>
      </w:tr>
      <w:tr>
        <w:trPr>
          <w:cantSplit/>
        </w:trPr>
        <w:tc>
          <w:tcPr>
            <w:tcW w:type="dxa" w:w="203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Volume jump before peak</w:t>
            </w:r>
          </w:p>
        </w:tc>
        <w:tc>
          <w:tcPr>
            <w:tcW w:type="dxa" w:w="214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Sending plan</w:t>
            </w:r>
          </w:p>
        </w:tc>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Preventive</w:t>
            </w:r>
          </w:p>
        </w:tc>
        <w:tc>
          <w:tcPr>
            <w:tcW w:type="dxa" w:w="242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Ramp up over 4–6 weeks</w:t>
            </w:r>
          </w:p>
        </w:tc>
        <w:tc>
          <w:tcPr>
            <w:tcW w:type="dxa" w:w="25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Follow the peak SOP (Section 14)</w:t>
            </w:r>
          </w:p>
        </w:tc>
      </w:tr>
    </w:tbl>
    <w:p>
      <w:pPr>
        <w:spacing w:after="120" w:before="0"/>
      </w:pPr>
    </w:p>
    <w:p>
      <w:pPr>
        <w:pStyle w:val="Heading2"/>
        <w:keepNext/>
      </w:pPr>
      <w:r>
        <w:rPr>
          <w:rFonts w:ascii="Arial" w:cs="Arial" w:eastAsia="Arial" w:hAnsi="Arial"/>
        </w:rPr>
        <w:t xml:space="preserve">13.7 Validity's "Heatwave" blocklist</w:t>
      </w:r>
    </w:p>
    <w:p>
      <w:r>
        <w:rPr>
          <w:rFonts w:ascii="Arial" w:cs="Arial" w:eastAsia="Arial" w:hAnsi="Arial"/>
          <w:sz w:val="20"/>
          <w:szCs w:val="20"/>
        </w:rPr>
        <w:t xml:space="preserve">On September 3, 2026, a company called Validity announced a new blocklist called Heatwave. It targets domains that use fake warm-up networks (networks of fake accounts that artificially exchange emails, opens, and replies to build a reputation). It launched with more than a million domains listed, with partners including Proofpoint, Spamhaus, SURBL, Comcast, and beehiiv.</w:t>
      </w:r>
    </w:p>
    <w:p>
      <w:r>
        <w:rPr>
          <w:rFonts w:ascii="Arial" w:cs="Arial" w:eastAsia="Arial" w:hAnsi="Arial"/>
          <w:sz w:val="20"/>
          <w:szCs w:val="20"/>
        </w:rPr>
        <w:t xml:space="preserve">Whether Gmail or Outlook use this list is unconfirmed. But email specialists have separately noted that filtering of cold emails has increased.</w:t>
      </w:r>
    </w:p>
    <w:p>
      <w:r>
        <w:rPr>
          <w:rFonts w:ascii="Arial" w:cs="Arial" w:eastAsia="Arial" w:hAnsi="Arial"/>
          <w:b/>
          <w:bCs/>
          <w:sz w:val="20"/>
          <w:szCs w:val="20"/>
        </w:rPr>
        <w:t xml:space="preserve">For clients:</w:t>
      </w:r>
      <w:r>
        <w:rPr>
          <w:rFonts w:ascii="Arial" w:cs="Arial" w:eastAsia="Arial" w:hAnsi="Arial"/>
          <w:sz w:val="20"/>
          <w:szCs w:val="20"/>
        </w:rPr>
        <w:t xml:space="preserve"> Klaviyo's own warm-up process is the right method. No one should use warm-up networks.</w:t>
      </w:r>
    </w:p>
    <w:p>
      <w:r>
        <w:rPr>
          <w:rFonts w:ascii="Arial" w:cs="Arial" w:eastAsia="Arial" w:hAnsi="Arial"/>
          <w:b/>
          <w:bCs/>
          <w:sz w:val="20"/>
          <w:szCs w:val="20"/>
        </w:rPr>
        <w:t xml:space="preserve">For GrowMailers:</w:t>
      </w:r>
      <w:r>
        <w:rPr>
          <w:rFonts w:ascii="Arial" w:cs="Arial" w:eastAsia="Arial" w:hAnsi="Arial"/>
          <w:sz w:val="20"/>
          <w:szCs w:val="20"/>
        </w:rPr>
        <w:t xml:space="preserve"> Stop all fake warm-up activity on GrowMailers' own outreach domains immediately. A deliverability agency whose own domain is on a blocklist has zero credibility.</w:t>
      </w:r>
    </w:p>
    <w:p>
      <w:pPr>
        <w:pStyle w:val="Heading1"/>
        <w:keepNext/>
      </w:pPr>
      <w:r>
        <w:rPr>
          <w:rFonts w:ascii="Arial" w:cs="Arial" w:eastAsia="Arial" w:hAnsi="Arial"/>
        </w:rPr>
        <w:t xml:space="preserve">14. The Shopping Holiday Calendar</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Black Friday falls on November 27, 2026 in all six of our target markets, that is 60 days from the date of this document. The planning year runs from the early-October setup freeze to the following September. Market-specific shopping events like Boxing Day, Mothering Sunday, and Australia's End of Financial Year shape client calendars and GrowMailers' selling windows. In 2025, US peak grew while the UK, Canada, and New Zealand were flat or down, so outside the US, peak revenue is about taking share, not riding overall growth.</w:t>
      </w:r>
    </w:p>
    <w:p>
      <w:pPr>
        <w:pStyle w:val="Heading2"/>
        <w:keepNext/>
      </w:pPr>
      <w:r>
        <w:rPr>
          <w:rFonts w:ascii="Arial" w:cs="Arial" w:eastAsia="Arial" w:hAnsi="Arial"/>
        </w:rPr>
        <w:t xml:space="preserve">14.1 Key dates: October 2026 to November 2027</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66"/>
        <w:gridCol w:w="3292"/>
        <w:gridCol w:w="2331"/>
        <w:gridCol w:w="3291"/>
      </w:tblGrid>
      <w:tr>
        <w:trPr>
          <w:cantSplit/>
          <w:tblHeader/>
        </w:trPr>
        <w:tc>
          <w:tcPr>
            <w:tcW w:type="dxa" w:w="116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Date</w:t>
            </w:r>
          </w:p>
        </w:tc>
        <w:tc>
          <w:tcPr>
            <w:tcW w:type="dxa" w:w="329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Event</w:t>
            </w:r>
          </w:p>
        </w:tc>
        <w:tc>
          <w:tcPr>
            <w:tcW w:type="dxa" w:w="233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Markets</w:t>
            </w:r>
          </w:p>
        </w:tc>
        <w:tc>
          <w:tcPr>
            <w:tcW w:type="dxa" w:w="329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Why it matters</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Oct 6–7, 2026</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Amazon Prime Big Deal Days</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 except NZ</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Counter with bundles and loyalty perks, not deeper discounts</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Oct 12, 2026</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Thanksgiving</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 gifting</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Oct 31, 2026</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Halloween</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Canada, UK, Ireland</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Candy; pet costumes</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Nov 1, 2026</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UK Black Friday campaigns begin (Black Friday week is Nov 23–30)</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UK</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Month-long UK peak</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Nov 11, 2026</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Singles Day</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 especially in Australia and NZ</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Nov 26, 2026</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Thanksgiving</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Nov 27, 2026</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Black Friday</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All six</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Biggest day for all four product types</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Nov 30, 2026</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Cyber Monday</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All six</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Dec 1, 2026</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Giving Tuesday</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Cause-linked campaigns</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Dec 14, 2026</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Green Monday</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Last reliable ground shipping date</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Dec 19, 2026</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Super Saturday</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UK</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Last-minute gifting; digital gift cards</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Dec 26, 2026</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Boxing Day</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 UK, Ireland, Australia, NZ</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Major sale day outside the US</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Jan 1, 2027</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Year</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 six</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Resolutions: supplements, health, food</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Feb 6, 2027</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Lunar New Year</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gifting</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Feb 14, 2027</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Valentine's Day</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 six</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 food and drink</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 7, 2027</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Mothering Sunday</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UK, Ireland</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 and food gifting</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 17, 2027</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 Patrick's Day</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Ireland and diaspora</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Food and drink</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 26–29, 2027</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Easter</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 six</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Chocolate, gifting</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May 9, 2027</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Mother's Day</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Canada, Australia, NZ</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Beauty's biggest non-Q4 moment</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June 2027</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Australian End of Financial Year sales</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month-long sale period; budgets reset July 1</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Jun 20, 2027</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Father's Day</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Canada, UK, Ireland</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Grooming, food and drink</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July 2027</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Amazon Prime Day</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 except NZ</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Counter-program</w:t>
            </w: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Late Jul–Aug 2027</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Back-to-school</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Canada</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Lunchbox food, routines, supplements</w:t>
            </w:r>
          </w:p>
        </w:tc>
      </w:tr>
      <w:tr>
        <w:trPr>
          <w:cantSplit/>
        </w:trPr>
        <w:tc>
          <w:tcPr>
            <w:tcW w:type="dxa" w:w="116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Sep 5, 2027</w:t>
            </w:r>
          </w:p>
        </w:tc>
        <w:tc>
          <w:tcPr>
            <w:tcW w:type="dxa" w:w="32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Father's Day</w:t>
            </w:r>
          </w:p>
        </w:tc>
        <w:tc>
          <w:tcPr>
            <w:tcW w:type="dxa" w:w="233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 NZ</w:t>
            </w:r>
          </w:p>
        </w:tc>
        <w:tc>
          <w:tcPr>
            <w:tcW w:type="dxa" w:w="3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p>
        </w:tc>
      </w:tr>
      <w:tr>
        <w:trPr>
          <w:cantSplit/>
        </w:trPr>
        <w:tc>
          <w:tcPr>
            <w:tcW w:type="dxa" w:w="116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Nov 26, 2027</w:t>
            </w:r>
          </w:p>
        </w:tc>
        <w:tc>
          <w:tcPr>
            <w:tcW w:type="dxa" w:w="32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Black Friday 2027</w:t>
            </w:r>
          </w:p>
        </w:tc>
        <w:tc>
          <w:tcPr>
            <w:tcW w:type="dxa" w:w="233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All six</w:t>
            </w:r>
          </w:p>
        </w:tc>
        <w:tc>
          <w:tcPr>
            <w:tcW w:type="dxa" w:w="3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p>
        </w:tc>
      </w:tr>
    </w:tbl>
    <w:p>
      <w:pPr>
        <w:spacing w:after="120" w:before="0"/>
      </w:pPr>
    </w:p>
    <w:p>
      <w:r>
        <w:rPr>
          <w:rFonts w:ascii="Arial" w:cs="Arial" w:eastAsia="Arial" w:hAnsi="Arial"/>
          <w:b/>
          <w:bCs/>
          <w:sz w:val="20"/>
          <w:szCs w:val="20"/>
        </w:rPr>
        <w:t xml:space="preserve">One important calendar shift:</w:t>
      </w:r>
      <w:r>
        <w:rPr>
          <w:rFonts w:ascii="Arial" w:cs="Arial" w:eastAsia="Arial" w:hAnsi="Arial"/>
          <w:sz w:val="20"/>
          <w:szCs w:val="20"/>
        </w:rPr>
        <w:t xml:space="preserve"> Cyber Monday moves from December 1 (2025) to November 30 (2026). This means November 2026 will look stronger year-over-year and December 2026 will look weaker, purely because of the date shift. Warn clients before they try to read too much into the comparison.</w:t>
      </w:r>
    </w:p>
    <w:p>
      <w:pPr>
        <w:pStyle w:val="Heading2"/>
        <w:keepNext/>
      </w:pPr>
      <w:r>
        <w:rPr>
          <w:rFonts w:ascii="Arial" w:cs="Arial" w:eastAsia="Arial" w:hAnsi="Arial"/>
        </w:rPr>
        <w:t xml:space="preserve">14.2 How big peak season was in 2025</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1"/>
        <w:gridCol w:w="4826"/>
        <w:gridCol w:w="3753"/>
      </w:tblGrid>
      <w:tr>
        <w:trPr>
          <w:cantSplit/>
          <w:tblHeader/>
        </w:trPr>
        <w:tc>
          <w:tcPr>
            <w:tcW w:type="dxa" w:w="150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Market</w:t>
            </w:r>
          </w:p>
        </w:tc>
        <w:tc>
          <w:tcPr>
            <w:tcW w:type="dxa" w:w="482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was measured</w:t>
            </w:r>
          </w:p>
        </w:tc>
        <w:tc>
          <w:tcPr>
            <w:tcW w:type="dxa" w:w="375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2025 result</w:t>
            </w:r>
          </w:p>
        </w:tc>
      </w:tr>
      <w:tr>
        <w:trPr>
          <w:cantSplit/>
        </w:trPr>
        <w:tc>
          <w:tcPr>
            <w:tcW w:type="dxa" w:w="15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States</w:t>
            </w:r>
          </w:p>
        </w:tc>
        <w:tc>
          <w:tcPr>
            <w:tcW w:type="dxa" w:w="482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Cyber Week online spending</w:t>
            </w:r>
          </w:p>
        </w:tc>
        <w:tc>
          <w:tcPr>
            <w:tcW w:type="dxa" w:w="37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$44.2B (+7.7%)</w:t>
            </w:r>
          </w:p>
        </w:tc>
      </w:tr>
      <w:tr>
        <w:trPr>
          <w:cantSplit/>
        </w:trPr>
        <w:tc>
          <w:tcPr>
            <w:tcW w:type="dxa" w:w="15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States</w:t>
            </w:r>
          </w:p>
        </w:tc>
        <w:tc>
          <w:tcPr>
            <w:tcW w:type="dxa" w:w="482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Cyber Monday alone</w:t>
            </w:r>
          </w:p>
        </w:tc>
        <w:tc>
          <w:tcPr>
            <w:tcW w:type="dxa" w:w="37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$14.25B (+7.1%)</w:t>
            </w:r>
          </w:p>
        </w:tc>
      </w:tr>
      <w:tr>
        <w:trPr>
          <w:cantSplit/>
        </w:trPr>
        <w:tc>
          <w:tcPr>
            <w:tcW w:type="dxa" w:w="15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States</w:t>
            </w:r>
          </w:p>
        </w:tc>
        <w:tc>
          <w:tcPr>
            <w:tcW w:type="dxa" w:w="482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November–December total</w:t>
            </w:r>
          </w:p>
        </w:tc>
        <w:tc>
          <w:tcPr>
            <w:tcW w:type="dxa" w:w="37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$257.8B (+6.8%)</w:t>
            </w:r>
          </w:p>
        </w:tc>
      </w:tr>
      <w:tr>
        <w:trPr>
          <w:cantSplit/>
        </w:trPr>
        <w:tc>
          <w:tcPr>
            <w:tcW w:type="dxa" w:w="15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Global</w:t>
            </w:r>
          </w:p>
        </w:tc>
        <w:tc>
          <w:tcPr>
            <w:tcW w:type="dxa" w:w="482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merchants, Black Friday weekend</w:t>
            </w:r>
          </w:p>
        </w:tc>
        <w:tc>
          <w:tcPr>
            <w:tcW w:type="dxa" w:w="37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$14.6B (+27%)</w:t>
            </w:r>
          </w:p>
        </w:tc>
      </w:tr>
      <w:tr>
        <w:trPr>
          <w:cantSplit/>
        </w:trPr>
        <w:tc>
          <w:tcPr>
            <w:tcW w:type="dxa" w:w="15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Kingdom</w:t>
            </w:r>
          </w:p>
        </w:tc>
        <w:tc>
          <w:tcPr>
            <w:tcW w:type="dxa" w:w="482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week online</w:t>
            </w:r>
          </w:p>
        </w:tc>
        <w:tc>
          <w:tcPr>
            <w:tcW w:type="dxa" w:w="37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w:t>
            </w:r>
          </w:p>
        </w:tc>
      </w:tr>
      <w:tr>
        <w:trPr>
          <w:cantSplit/>
        </w:trPr>
        <w:tc>
          <w:tcPr>
            <w:tcW w:type="dxa" w:w="15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w:t>
            </w:r>
          </w:p>
        </w:tc>
        <w:tc>
          <w:tcPr>
            <w:tcW w:type="dxa" w:w="482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card payment volume</w:t>
            </w:r>
          </w:p>
        </w:tc>
        <w:tc>
          <w:tcPr>
            <w:tcW w:type="dxa" w:w="37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w:t>
            </w:r>
          </w:p>
        </w:tc>
      </w:tr>
      <w:tr>
        <w:trPr>
          <w:cantSplit/>
        </w:trPr>
        <w:tc>
          <w:tcPr>
            <w:tcW w:type="dxa" w:w="15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Ireland</w:t>
            </w:r>
          </w:p>
        </w:tc>
        <w:tc>
          <w:tcPr>
            <w:tcW w:type="dxa" w:w="482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online card spending (2024 data)</w:t>
            </w:r>
          </w:p>
        </w:tc>
        <w:tc>
          <w:tcPr>
            <w:tcW w:type="dxa" w:w="37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€120M (+22%)</w:t>
            </w:r>
          </w:p>
        </w:tc>
      </w:tr>
      <w:tr>
        <w:trPr>
          <w:cantSplit/>
        </w:trPr>
        <w:tc>
          <w:tcPr>
            <w:tcW w:type="dxa" w:w="15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w:t>
            </w:r>
          </w:p>
        </w:tc>
        <w:tc>
          <w:tcPr>
            <w:tcW w:type="dxa" w:w="482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weekend</w:t>
            </w:r>
          </w:p>
        </w:tc>
        <w:tc>
          <w:tcPr>
            <w:tcW w:type="dxa" w:w="375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Parcels up 6.3%; about A$1.5B spent</w:t>
            </w:r>
          </w:p>
        </w:tc>
      </w:tr>
      <w:tr>
        <w:trPr>
          <w:cantSplit/>
        </w:trPr>
        <w:tc>
          <w:tcPr>
            <w:tcW w:type="dxa" w:w="15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Zealand</w:t>
            </w:r>
          </w:p>
        </w:tc>
        <w:tc>
          <w:tcPr>
            <w:tcW w:type="dxa" w:w="482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non-food spending</w:t>
            </w:r>
          </w:p>
        </w:tc>
        <w:tc>
          <w:tcPr>
            <w:tcW w:type="dxa" w:w="375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NZ$55.6M (−6.2%)</w:t>
            </w:r>
          </w:p>
        </w:tc>
      </w:tr>
    </w:tbl>
    <w:p>
      <w:pPr>
        <w:spacing w:after="120" w:before="0"/>
      </w:pPr>
    </w:p>
    <w:p>
      <w:r>
        <w:rPr>
          <w:rFonts w:ascii="Arial" w:cs="Arial" w:eastAsia="Arial" w:hAnsi="Arial"/>
          <w:b/>
          <w:bCs/>
          <w:sz w:val="20"/>
          <w:szCs w:val="20"/>
        </w:rPr>
        <w:t xml:space="preserve">Why peak concentration matters for Ascent.</w:t>
      </w:r>
      <w:r>
        <w:rPr>
          <w:rFonts w:ascii="Arial" w:cs="Arial" w:eastAsia="Arial" w:hAnsi="Arial"/>
          <w:sz w:val="20"/>
          <w:szCs w:val="20"/>
        </w:rPr>
        <w:t xml:space="preserve"> Cyber Week (5 days) generated 17.1% of the entire US November–December season. About 1 in 6 US brands takes 30%+ of their yearly orders during Black Friday week. For those brands, a delivery failure during that one week damages their whole year. Beauty and activewear were the strongest categories in 2025 peak in the US, UK, and Australia.</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3"/>
        <w:gridCol w:w="4398"/>
        <w:gridCol w:w="4399"/>
      </w:tblGrid>
      <w:tr>
        <w:trPr>
          <w:cantSplit/>
          <w:tblHeader/>
        </w:trPr>
        <w:tc>
          <w:tcPr>
            <w:tcW w:type="dxa" w:w="128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Product type</w:t>
            </w:r>
          </w:p>
        </w:tc>
        <w:tc>
          <w:tcPr>
            <w:tcW w:type="dxa" w:w="439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Biggest moments beyond Black Friday</w:t>
            </w:r>
          </w:p>
        </w:tc>
        <w:tc>
          <w:tcPr>
            <w:tcW w:type="dxa" w:w="439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Email program implication</w:t>
            </w:r>
          </w:p>
        </w:tc>
      </w:tr>
      <w:tr>
        <w:trPr>
          <w:cantSplit/>
        </w:trPr>
        <w:tc>
          <w:tcPr>
            <w:tcW w:type="dxa" w:w="12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Beauty</w:t>
            </w:r>
          </w:p>
        </w:tc>
        <w:tc>
          <w:tcPr>
            <w:tcW w:type="dxa" w:w="43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Valentine's Day, Mothering Sunday, Mother's Day, holiday gifting, Singles Day</w:t>
            </w:r>
          </w:p>
        </w:tc>
        <w:tc>
          <w:tcPr>
            <w:tcW w:type="dxa" w:w="43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Gift guides, gift-with-purchase, sets</w:t>
            </w:r>
          </w:p>
        </w:tc>
      </w:tr>
      <w:tr>
        <w:trPr>
          <w:cantSplit/>
        </w:trPr>
        <w:tc>
          <w:tcPr>
            <w:tcW w:type="dxa" w:w="12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Supplements</w:t>
            </w:r>
          </w:p>
        </w:tc>
        <w:tc>
          <w:tcPr>
            <w:tcW w:type="dxa" w:w="43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January resolutions</w:t>
            </w:r>
            <w:r>
              <w:rPr>
                <w:rFonts w:ascii="Arial" w:cs="Arial" w:eastAsia="Arial" w:hAnsi="Arial"/>
                <w:sz w:val="16"/>
                <w:szCs w:val="16"/>
              </w:rPr>
              <w:t xml:space="preserve"> (the supplements "Black Friday"), September back-to-routine</w:t>
            </w:r>
          </w:p>
        </w:tc>
        <w:tc>
          <w:tcPr>
            <w:tcW w:type="dxa" w:w="43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Education series; subscription offers</w:t>
            </w:r>
          </w:p>
        </w:tc>
      </w:tr>
      <w:tr>
        <w:trPr>
          <w:cantSplit/>
        </w:trPr>
        <w:tc>
          <w:tcPr>
            <w:tcW w:type="dxa" w:w="12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Food and drink</w:t>
            </w:r>
          </w:p>
        </w:tc>
        <w:tc>
          <w:tcPr>
            <w:tcW w:type="dxa" w:w="439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Thanksgiving, holiday hampers, Easter, Lunar New Year, summer BBQ</w:t>
            </w:r>
          </w:p>
        </w:tc>
        <w:tc>
          <w:tcPr>
            <w:tcW w:type="dxa" w:w="439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Shipping cut-offs; gifting; perishability</w:t>
            </w:r>
          </w:p>
        </w:tc>
      </w:tr>
      <w:tr>
        <w:trPr>
          <w:cantSplit/>
        </w:trPr>
        <w:tc>
          <w:tcPr>
            <w:tcW w:type="dxa" w:w="12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Pet</w:t>
            </w:r>
          </w:p>
        </w:tc>
        <w:tc>
          <w:tcPr>
            <w:tcW w:type="dxa" w:w="439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Holiday gifting; flea and tick season (spring/summer); adoption anniversaries</w:t>
            </w:r>
          </w:p>
        </w:tc>
        <w:tc>
          <w:tcPr>
            <w:tcW w:type="dxa" w:w="439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Seasonal health sequences; "gotcha day" automations</w:t>
            </w:r>
          </w:p>
        </w:tc>
      </w:tr>
    </w:tbl>
    <w:p>
      <w:pPr>
        <w:spacing w:after="120" w:before="0"/>
      </w:pPr>
    </w:p>
    <w:p>
      <w:r>
        <w:rPr>
          <w:rFonts w:ascii="Arial" w:cs="Arial" w:eastAsia="Arial" w:hAnsi="Arial"/>
          <w:b/>
          <w:bCs/>
          <w:sz w:val="20"/>
          <w:szCs w:val="20"/>
        </w:rPr>
        <w:t xml:space="preserve">Regional notes:</w:t>
      </w:r>
      <w:r>
        <w:rPr>
          <w:rFonts w:ascii="Arial" w:cs="Arial" w:eastAsia="Arial" w:hAnsi="Arial"/>
          <w:sz w:val="20"/>
          <w:szCs w:val="20"/>
        </w:rPr>
        <w:t xml:space="preserve"> The UK's Black Friday runs all month, so UK segments must be live by late October. Mothering Sunday (March 7) and Mother's Day (May 9) are two months apart, so multi-market brands need two separate campaign tracks. Boxing Day is a major sale day outside the US, and December list capacity should be held for it. Australian and New Zealand summer falls over Christmas.</w:t>
      </w:r>
    </w:p>
    <w:p>
      <w:pPr>
        <w:pStyle w:val="Heading2"/>
        <w:keepNext/>
      </w:pPr>
      <w:r>
        <w:rPr>
          <w:rFonts w:ascii="Arial" w:cs="Arial" w:eastAsia="Arial" w:hAnsi="Arial"/>
        </w:rPr>
        <w:t xml:space="preserve">14.3 Peak season email preparation checklist</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6"/>
          <w:szCs w:val="16"/>
        </w:rPr>
        <w:t xml:space="preserve">  12 WEEKS OUT ── Security settings final; any new sending domain already warming (≈ mid-Sep)</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10 WEEKS OUT ── List clean: sunset run done, bots removed, engagement tiers rebuilt</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8  WEEKS OUT ── Peak calendar drafted; offers agreed with finance (minimum margin per product)</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6  WEEKS OUT ── Volume ramp begins: +1 send per week to engaged and warm tiers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4  WEEKS OUT ── Segments, email creative, and sequences locked; SMS consent list verified</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2  WEEKS OUT ── Quality check: links, discount codes, one-click unsubscribe, mobile layout</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PEAK WEEK ─── Email engaged subscribers first, then wider tiers; check spam and bounces daily</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1  WEEK AFTER ── Move new buyers out of sale campaigns and into post-purchase sequences</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6"/>
          <w:szCs w:val="16"/>
        </w:rPr>
        <w:t xml:space="preserve">  3  WEEKS AFTER ── Remove peak-only subscribers who never engaged; plan January win-back</w:t>
      </w:r>
    </w:p>
    <w:p>
      <w:r>
        <w:rPr>
          <w:rFonts w:ascii="Arial" w:cs="Arial" w:eastAsia="Arial" w:hAnsi="Arial"/>
          <w:b/>
          <w:bCs/>
          <w:sz w:val="20"/>
          <w:szCs w:val="20"/>
        </w:rPr>
        <w:t xml:space="preserve">The rule that prevents most peak problems:</w:t>
      </w:r>
      <w:r>
        <w:rPr>
          <w:rFonts w:ascii="Arial" w:cs="Arial" w:eastAsia="Arial" w:hAnsi="Arial"/>
          <w:sz w:val="20"/>
          <w:szCs w:val="20"/>
        </w:rPr>
        <w:t xml:space="preserve"> Never let send volume jump suddenly. A list that has been quiet for months and then gets blasted on Black Friday will see some of that email land in spam. Brands that paused sending before peak have reported bounce spikes on their first sale email.</w:t>
      </w:r>
    </w:p>
    <w:p>
      <w:pPr>
        <w:pStyle w:val="Heading1"/>
        <w:keepNext/>
      </w:pPr>
      <w:r>
        <w:rPr>
          <w:rFonts w:ascii="Arial" w:cs="Arial" w:eastAsia="Arial" w:hAnsi="Arial"/>
        </w:rPr>
        <w:t xml:space="preserve">15. When to Pitch Which Service</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Pitch Lhotse when budgets have just reset and there is time to build: January to February, and June to mid-September. From mid-October to year-end, only sell low-risk quick Ascent fixes and book January conversations. As of September 28, 2026, GrowMailers has about three weeks of safe Ascent selling time left before the Black Friday setup freeze. The next Lhotse window opens January 4, 2027.</w:t>
      </w:r>
    </w:p>
    <w:p>
      <w:pPr>
        <w:pStyle w:val="Heading2"/>
        <w:keepNext/>
      </w:pPr>
      <w:r>
        <w:rPr>
          <w:rFonts w:ascii="Arial" w:cs="Arial" w:eastAsia="Arial" w:hAnsi="Arial"/>
        </w:rPr>
        <w:t xml:space="preserve">15.1 The master selling calendar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0"/>
        <w:gridCol w:w="1086"/>
        <w:gridCol w:w="930"/>
        <w:gridCol w:w="2482"/>
        <w:gridCol w:w="2481"/>
        <w:gridCol w:w="2171"/>
      </w:tblGrid>
      <w:tr>
        <w:trPr>
          <w:cantSplit/>
          <w:tblHeader/>
        </w:trPr>
        <w:tc>
          <w:tcPr>
            <w:tcW w:type="dxa" w:w="93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Window</w:t>
            </w:r>
          </w:p>
        </w:tc>
        <w:tc>
          <w:tcPr>
            <w:tcW w:type="dxa" w:w="108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Dates</w:t>
            </w:r>
          </w:p>
        </w:tc>
        <w:tc>
          <w:tcPr>
            <w:tcW w:type="dxa" w:w="93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Lead offer</w:t>
            </w:r>
          </w:p>
        </w:tc>
        <w:tc>
          <w:tcPr>
            <w:tcW w:type="dxa" w:w="248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Ascent can cover</w:t>
            </w:r>
          </w:p>
        </w:tc>
        <w:tc>
          <w:tcPr>
            <w:tcW w:type="dxa" w:w="248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Lhotse</w:t>
            </w:r>
          </w:p>
        </w:tc>
        <w:tc>
          <w:tcPr>
            <w:tcW w:type="dxa" w:w="217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Message</w:t>
            </w:r>
          </w:p>
        </w:tc>
      </w:tr>
      <w:tr>
        <w:trPr>
          <w:cantSplit/>
        </w:trPr>
        <w:tc>
          <w:tcPr>
            <w:tcW w:type="dxa" w:w="93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Pre-freeze sprint</w:t>
            </w:r>
          </w:p>
        </w:tc>
        <w:tc>
          <w:tcPr>
            <w:tcW w:type="dxa" w:w="1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Now to Oct 16, 2026</w:t>
            </w:r>
          </w:p>
        </w:tc>
        <w:tc>
          <w:tcPr>
            <w:tcW w:type="dxa" w:w="93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quick fixes</w:t>
            </w:r>
          </w:p>
        </w:tc>
        <w:tc>
          <w:tcPr>
            <w:tcW w:type="dxa" w:w="24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DMARC on current domain; alignment; list cleaning; bot removal; spam triage</w:t>
            </w:r>
          </w:p>
        </w:tc>
        <w:tc>
          <w:tcPr>
            <w:tcW w:type="dxa" w:w="24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Book January starts only</w:t>
            </w:r>
          </w:p>
        </w:tc>
        <w:tc>
          <w:tcPr>
            <w:tcW w:type="dxa" w:w="21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"Protect peak without changing your setup"</w:t>
            </w:r>
          </w:p>
        </w:tc>
      </w:tr>
      <w:tr>
        <w:trPr>
          <w:cantSplit/>
        </w:trPr>
        <w:tc>
          <w:tcPr>
            <w:tcW w:type="dxa" w:w="93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Freeze</w:t>
            </w:r>
          </w:p>
        </w:tc>
        <w:tc>
          <w:tcPr>
            <w:tcW w:type="dxa" w:w="10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Oct 16–Dec 31, 2026</w:t>
            </w:r>
          </w:p>
        </w:tc>
        <w:tc>
          <w:tcPr>
            <w:tcW w:type="dxa" w:w="93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None</w:t>
            </w:r>
          </w:p>
        </w:tc>
        <w:tc>
          <w:tcPr>
            <w:tcW w:type="dxa" w:w="24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Emergency repairs only</w:t>
            </w:r>
          </w:p>
        </w:tc>
        <w:tc>
          <w:tcPr>
            <w:tcW w:type="dxa" w:w="24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Sign for January</w:t>
            </w:r>
          </w:p>
        </w:tc>
        <w:tc>
          <w:tcPr>
            <w:tcW w:type="dxa" w:w="217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"Let's review your peak data in January"</w:t>
            </w:r>
          </w:p>
        </w:tc>
      </w:tr>
      <w:tr>
        <w:trPr>
          <w:cantSplit/>
        </w:trPr>
        <w:tc>
          <w:tcPr>
            <w:tcW w:type="dxa" w:w="93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Best window</w:t>
            </w:r>
          </w:p>
        </w:tc>
        <w:tc>
          <w:tcPr>
            <w:tcW w:type="dxa" w:w="1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Jan 4–end of Feb 2027</w:t>
            </w:r>
          </w:p>
        </w:tc>
        <w:tc>
          <w:tcPr>
            <w:tcW w:type="dxa" w:w="93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w:t>
            </w:r>
          </w:p>
        </w:tc>
        <w:tc>
          <w:tcPr>
            <w:tcW w:type="dxa" w:w="24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Full, including new sending domains</w:t>
            </w:r>
          </w:p>
        </w:tc>
        <w:tc>
          <w:tcPr>
            <w:tcW w:type="dxa" w:w="24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Full pitch</w:t>
            </w:r>
          </w:p>
        </w:tc>
        <w:tc>
          <w:tcPr>
            <w:tcW w:type="dxa" w:w="21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budget; here's what peak revealed"</w:t>
            </w:r>
          </w:p>
        </w:tc>
      </w:tr>
      <w:tr>
        <w:trPr>
          <w:cantSplit/>
        </w:trPr>
        <w:tc>
          <w:tcPr>
            <w:tcW w:type="dxa" w:w="93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Steady window</w:t>
            </w:r>
          </w:p>
        </w:tc>
        <w:tc>
          <w:tcPr>
            <w:tcW w:type="dxa" w:w="108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Mar–May 2027</w:t>
            </w:r>
          </w:p>
        </w:tc>
        <w:tc>
          <w:tcPr>
            <w:tcW w:type="dxa" w:w="93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Both</w:t>
            </w:r>
          </w:p>
        </w:tc>
        <w:tc>
          <w:tcPr>
            <w:tcW w:type="dxa" w:w="24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Full</w:t>
            </w:r>
          </w:p>
        </w:tc>
        <w:tc>
          <w:tcPr>
            <w:tcW w:type="dxa" w:w="248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Canada, non-gifting brands; Australia before EOFY</w:t>
            </w:r>
          </w:p>
        </w:tc>
        <w:tc>
          <w:tcPr>
            <w:tcW w:type="dxa" w:w="217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"Build the system before summer"</w:t>
            </w:r>
          </w:p>
        </w:tc>
      </w:tr>
      <w:tr>
        <w:trPr>
          <w:cantSplit/>
        </w:trPr>
        <w:tc>
          <w:tcPr>
            <w:tcW w:type="dxa" w:w="93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Second-best window</w:t>
            </w:r>
          </w:p>
        </w:tc>
        <w:tc>
          <w:tcPr>
            <w:tcW w:type="dxa" w:w="108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Jun–mid-Sep 2027</w:t>
            </w:r>
          </w:p>
        </w:tc>
        <w:tc>
          <w:tcPr>
            <w:tcW w:type="dxa" w:w="93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Both</w:t>
            </w:r>
          </w:p>
        </w:tc>
        <w:tc>
          <w:tcPr>
            <w:tcW w:type="dxa" w:w="24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Full; new domains warming by ~Sep 17</w:t>
            </w:r>
          </w:p>
        </w:tc>
        <w:tc>
          <w:tcPr>
            <w:tcW w:type="dxa" w:w="248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Aim for starts by early August</w:t>
            </w:r>
          </w:p>
        </w:tc>
        <w:tc>
          <w:tcPr>
            <w:tcW w:type="dxa" w:w="217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"Black Friday is won in summer"</w:t>
            </w:r>
          </w:p>
        </w:tc>
      </w:tr>
    </w:tbl>
    <w:p>
      <w:pPr>
        <w:spacing w:after="120" w:before="0"/>
      </w:pPr>
    </w:p>
    <w:p>
      <w:r>
        <w:rPr>
          <w:rFonts w:ascii="Arial" w:cs="Arial" w:eastAsia="Arial" w:hAnsi="Arial"/>
          <w:b/>
          <w:bCs/>
          <w:sz w:val="20"/>
          <w:szCs w:val="20"/>
        </w:rPr>
        <w:t xml:space="preserve">Why this rhythm matters.</w:t>
      </w:r>
      <w:r>
        <w:rPr>
          <w:rFonts w:ascii="Arial" w:cs="Arial" w:eastAsia="Arial" w:hAnsi="Arial"/>
          <w:sz w:val="20"/>
          <w:szCs w:val="20"/>
        </w:rPr>
        <w:t xml:space="preserve"> Klaviyo's own checklist says Black Friday is won in summer, with setup, segments, and automated sequences final by early October. Email agencies advise brands to hire email partners 8–12 weeks before Black Friday. Most teams freeze changes in November, and getting set up takes 2–3 weeks. A retainer pitched in late October is nearly impossible to deliver well and very easy to lose.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6"/>
          <w:szCs w:val="16"/>
        </w:rPr>
        <w:t xml:space="preserve">  WHERE IS TODAY RELATIVE TO BLACK FRIDAY (BF)?</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 More than 12 weeks before → Brand making $3M–$20M in a target product type?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                                ├─ YES → LFS ≥ 40? ASCENT FIRST → LHOTSE NEXT : LHOTSE FIRST</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                                └─ NO → ASCENT ONLY ($1M–$3M or $20M+)</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 6–12 weeks before → ASCENT on current domain only; Lhotse proposals dated January</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 Within 6 weeks or freeze → NO NEW PROJECTS; emergency repairs; book January calls</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6"/>
          <w:szCs w:val="16"/>
        </w:rPr>
        <w:t xml:space="preserve">   └─ January–February → LHOTSE, with Ascent folded into onboarding if needed</w:t>
      </w:r>
    </w:p>
    <w:p>
      <w:pPr>
        <w:pStyle w:val="Heading2"/>
        <w:keepNext/>
      </w:pPr>
      <w:r>
        <w:rPr>
          <w:rFonts w:ascii="Arial" w:cs="Arial" w:eastAsia="Arial" w:hAnsi="Arial"/>
        </w:rPr>
        <w:t xml:space="preserve">15.2 Planning backward from Black Friday 2027</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7"/>
          <w:szCs w:val="17"/>
        </w:rPr>
        <w:t xml:space="preserve">  JUN 2027     JUL              AUG              SEP                  OCT           NOV 26</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Pitch ──►  Contract ──►   Onboarding ──►  Sequences rebuilt;    Setup lock   Black Friday</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and          (latest:       (2–3 weeks)     new domain warming     (early Oct)</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7"/>
          <w:szCs w:val="17"/>
        </w:rPr>
        <w:t xml:space="preserve">  discovery    early Aug)                     by ≈ Sep 17</w:t>
      </w:r>
    </w:p>
    <w:p>
      <w:r>
        <w:rPr>
          <w:rFonts w:ascii="Arial" w:cs="Arial" w:eastAsia="Arial" w:hAnsi="Arial"/>
          <w:sz w:val="20"/>
          <w:szCs w:val="20"/>
        </w:rPr>
        <w:t xml:space="preserve">For a Lhotse client to be fully ready for peak, the latest sensible contract date is early August. After that, pitch a January start instead.</w:t>
      </w:r>
    </w:p>
    <w:p>
      <w:pPr>
        <w:pStyle w:val="Heading2"/>
        <w:keepNext/>
      </w:pPr>
      <w:r>
        <w:rPr>
          <w:rFonts w:ascii="Arial" w:cs="Arial" w:eastAsia="Arial" w:hAnsi="Arial"/>
        </w:rPr>
        <w:t xml:space="preserve">15.3 How long each deal typically takes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1"/>
        <w:gridCol w:w="3077"/>
        <w:gridCol w:w="4002"/>
      </w:tblGrid>
      <w:tr>
        <w:trPr>
          <w:cantSplit/>
          <w:tblHeader/>
        </w:trPr>
        <w:tc>
          <w:tcPr>
            <w:tcW w:type="dxa" w:w="300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Service and client type</w:t>
            </w:r>
          </w:p>
        </w:tc>
        <w:tc>
          <w:tcPr>
            <w:tcW w:type="dxa" w:w="3077"/>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Typical time from first contact to signed</w:t>
            </w:r>
          </w:p>
        </w:tc>
        <w:tc>
          <w:tcPr>
            <w:tcW w:type="dxa" w:w="400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Implication</w:t>
            </w:r>
          </w:p>
        </w:tc>
      </w:tr>
      <w:tr>
        <w:trPr>
          <w:cantSplit/>
        </w:trPr>
        <w:tc>
          <w:tcPr>
            <w:tcW w:type="dxa" w:w="30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founder decides</w:t>
            </w:r>
          </w:p>
        </w:tc>
        <w:tc>
          <w:tcPr>
            <w:tcW w:type="dxa" w:w="30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1–2 weeks</w:t>
            </w:r>
          </w:p>
        </w:tc>
        <w:tc>
          <w:tcPr>
            <w:tcW w:type="dxa" w:w="40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 close within the pre-freeze sprint</w:t>
            </w:r>
          </w:p>
        </w:tc>
      </w:tr>
      <w:tr>
        <w:trPr>
          <w:cantSplit/>
        </w:trPr>
        <w:tc>
          <w:tcPr>
            <w:tcW w:type="dxa" w:w="30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marketing lead + VP decides</w:t>
            </w:r>
          </w:p>
        </w:tc>
        <w:tc>
          <w:tcPr>
            <w:tcW w:type="dxa" w:w="30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2–3 weeks</w:t>
            </w:r>
          </w:p>
        </w:tc>
        <w:tc>
          <w:tcPr>
            <w:tcW w:type="dxa" w:w="40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Start by late September for October delivery</w:t>
            </w:r>
          </w:p>
        </w:tc>
      </w:tr>
      <w:tr>
        <w:trPr>
          <w:cantSplit/>
        </w:trPr>
        <w:tc>
          <w:tcPr>
            <w:tcW w:type="dxa" w:w="30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 enterprise with IT involved</w:t>
            </w:r>
          </w:p>
        </w:tc>
        <w:tc>
          <w:tcPr>
            <w:tcW w:type="dxa" w:w="30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3–6 weeks</w:t>
            </w:r>
          </w:p>
        </w:tc>
        <w:tc>
          <w:tcPr>
            <w:tcW w:type="dxa" w:w="40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Best sold in January or summer. Expect a security review for DNS access.</w:t>
            </w:r>
          </w:p>
        </w:tc>
      </w:tr>
      <w:tr>
        <w:trPr>
          <w:cantSplit/>
        </w:trPr>
        <w:tc>
          <w:tcPr>
            <w:tcW w:type="dxa" w:w="30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founder decides</w:t>
            </w:r>
          </w:p>
        </w:tc>
        <w:tc>
          <w:tcPr>
            <w:tcW w:type="dxa" w:w="30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2–4 weeks</w:t>
            </w:r>
          </w:p>
        </w:tc>
        <w:tc>
          <w:tcPr>
            <w:tcW w:type="dxa" w:w="40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Pitch in January, start in February</w:t>
            </w:r>
          </w:p>
        </w:tc>
      </w:tr>
      <w:tr>
        <w:trPr>
          <w:cantSplit/>
        </w:trPr>
        <w:tc>
          <w:tcPr>
            <w:tcW w:type="dxa" w:w="300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VP or Head of Growth decides</w:t>
            </w:r>
          </w:p>
        </w:tc>
        <w:tc>
          <w:tcPr>
            <w:tcW w:type="dxa" w:w="3077"/>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4–8 weeks</w:t>
            </w:r>
          </w:p>
        </w:tc>
        <w:tc>
          <w:tcPr>
            <w:tcW w:type="dxa" w:w="40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Start in early January for March starts</w:t>
            </w:r>
          </w:p>
        </w:tc>
      </w:tr>
      <w:tr>
        <w:trPr>
          <w:cantSplit/>
        </w:trPr>
        <w:tc>
          <w:tcPr>
            <w:tcW w:type="dxa" w:w="300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 CMO + finance reviews</w:t>
            </w:r>
          </w:p>
        </w:tc>
        <w:tc>
          <w:tcPr>
            <w:tcW w:type="dxa" w:w="3077"/>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6–12 weeks</w:t>
            </w:r>
          </w:p>
        </w:tc>
        <w:tc>
          <w:tcPr>
            <w:tcW w:type="dxa" w:w="40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Start pitching in November or December for Q1 decisions</w:t>
            </w:r>
          </w:p>
        </w:tc>
      </w:tr>
    </w:tbl>
    <w:p>
      <w:pPr>
        <w:spacing w:after="120" w:before="0"/>
      </w:pPr>
    </w:p>
    <w:p>
      <w:pPr>
        <w:spacing w:after="160" w:before="0"/>
      </w:pPr>
      <w:r>
        <w:rPr>
          <w:rFonts w:ascii="Arial" w:cs="Arial" w:eastAsia="Arial" w:hAnsi="Arial"/>
          <w:i/>
          <w:iCs/>
          <w:color w:val="5B6573"/>
          <w:sz w:val="16"/>
          <w:szCs w:val="16"/>
        </w:rPr>
        <w:t xml:space="preserve">Planning estimates. Calibrate against GrowMailers' real closed deals.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6"/>
          <w:szCs w:val="16"/>
        </w:rPr>
        <w:t xml:space="preserve">  Accounts to audit per month = Target clients ÷ (reply rate × meeting rate × close rate)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  With rates of 10% reply × 50% meeting × 25% close and a target of 2 clients/month:</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6"/>
          <w:szCs w:val="16"/>
        </w:rPr>
        <w:t xml:space="preserve">  2 ÷ 0.0125 = 160 audits per month ≈ 40 per week ≈ two researcher-days at 15–20 minutes each</w:t>
      </w:r>
    </w:p>
    <w:p>
      <w:r>
        <w:rPr>
          <w:rFonts w:ascii="Arial" w:cs="Arial" w:eastAsia="Arial" w:hAnsi="Arial"/>
          <w:b/>
          <w:bCs/>
          <w:sz w:val="20"/>
          <w:szCs w:val="20"/>
        </w:rPr>
        <w:t xml:space="preserve">Weekly rhythm:</w:t>
      </w:r>
    </w:p>
    <w:p>
      <w:pPr>
        <w:pStyle w:val="ListParagraph"/>
        <w:numPr>
          <w:ilvl w:val="0"/>
          <w:numId w:val="2"/>
        </w:numPr>
        <w:spacing w:after="60"/>
      </w:pPr>
      <w:r>
        <w:rPr>
          <w:rFonts w:ascii="Arial" w:cs="Arial" w:eastAsia="Arial" w:hAnsi="Arial"/>
          <w:sz w:val="20"/>
          <w:szCs w:val="20"/>
        </w:rPr>
        <w:t xml:space="preserve">Monday: Build and score about 50 prospect accounts</w:t>
      </w:r>
    </w:p>
    <w:p>
      <w:pPr>
        <w:pStyle w:val="ListParagraph"/>
        <w:numPr>
          <w:ilvl w:val="0"/>
          <w:numId w:val="2"/>
        </w:numPr>
        <w:spacing w:after="60"/>
      </w:pPr>
      <w:r>
        <w:rPr>
          <w:rFonts w:ascii="Arial" w:cs="Arial" w:eastAsia="Arial" w:hAnsi="Arial"/>
          <w:sz w:val="20"/>
          <w:szCs w:val="20"/>
        </w:rPr>
        <w:t xml:space="preserve">Tuesday–Wednesday: Run about 40 external audits and record 10–15 short videos</w:t>
      </w:r>
    </w:p>
    <w:p>
      <w:pPr>
        <w:pStyle w:val="ListParagraph"/>
        <w:numPr>
          <w:ilvl w:val="0"/>
          <w:numId w:val="2"/>
        </w:numPr>
        <w:spacing w:after="60"/>
      </w:pPr>
      <w:r>
        <w:rPr>
          <w:rFonts w:ascii="Arial" w:cs="Arial" w:eastAsia="Arial" w:hAnsi="Arial"/>
          <w:sz w:val="20"/>
          <w:szCs w:val="20"/>
        </w:rPr>
        <w:t xml:space="preserve">Thursday: Follow-ups, discovery calls, and proposals</w:t>
      </w:r>
    </w:p>
    <w:p>
      <w:pPr>
        <w:pStyle w:val="ListParagraph"/>
        <w:numPr>
          <w:ilvl w:val="0"/>
          <w:numId w:val="2"/>
        </w:numPr>
        <w:spacing w:after="60"/>
      </w:pPr>
      <w:r>
        <w:rPr>
          <w:rFonts w:ascii="Arial" w:cs="Arial" w:eastAsia="Arial" w:hAnsi="Arial"/>
          <w:sz w:val="20"/>
          <w:szCs w:val="20"/>
        </w:rPr>
        <w:t xml:space="preserve">Friday: Pipeline review, re-scoring, and a health check on GrowMailers' own outreach domains</w:t>
      </w:r>
    </w:p>
    <w:p>
      <w:pPr>
        <w:spacing w:after="60" w:before="0"/>
      </w:pPr>
    </w:p>
    <w:p>
      <w:pPr>
        <w:pStyle w:val="Heading2"/>
        <w:keepNext/>
      </w:pPr>
      <w:r>
        <w:rPr>
          <w:rFonts w:ascii="Arial" w:cs="Arial" w:eastAsia="Arial" w:hAnsi="Arial"/>
        </w:rPr>
        <w:t xml:space="preserve">15.4 Priority by market and time of year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
        <w:gridCol w:w="1283"/>
        <w:gridCol w:w="2291"/>
        <w:gridCol w:w="2474"/>
        <w:gridCol w:w="3024"/>
      </w:tblGrid>
      <w:tr>
        <w:trPr>
          <w:cantSplit/>
          <w:tblHeader/>
        </w:trPr>
        <w:tc>
          <w:tcPr>
            <w:tcW w:type="dxa" w:w="100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Time of year</w:t>
            </w:r>
          </w:p>
        </w:tc>
        <w:tc>
          <w:tcPr>
            <w:tcW w:type="dxa" w:w="128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US</w:t>
            </w:r>
          </w:p>
        </w:tc>
        <w:tc>
          <w:tcPr>
            <w:tcW w:type="dxa" w:w="2291"/>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UK and Ireland</w:t>
            </w:r>
          </w:p>
        </w:tc>
        <w:tc>
          <w:tcPr>
            <w:tcW w:type="dxa" w:w="247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Canada</w:t>
            </w:r>
          </w:p>
        </w:tc>
        <w:tc>
          <w:tcPr>
            <w:tcW w:type="dxa" w:w="302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Australia and NZ</w:t>
            </w:r>
          </w:p>
        </w:tc>
      </w:tr>
      <w:tr>
        <w:trPr>
          <w:cantSplit/>
        </w:trPr>
        <w:tc>
          <w:tcPr>
            <w:tcW w:type="dxa" w:w="10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Jan–Feb</w:t>
            </w:r>
          </w:p>
        </w:tc>
        <w:tc>
          <w:tcPr>
            <w:tcW w:type="dxa" w:w="12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2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(non-gifting)</w:t>
            </w:r>
          </w:p>
        </w:tc>
        <w:tc>
          <w:tcPr>
            <w:tcW w:type="dxa" w:w="24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(legal-compliant only)</w:t>
            </w:r>
          </w:p>
        </w:tc>
        <w:tc>
          <w:tcPr>
            <w:tcW w:type="dxa" w:w="302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r>
      <w:tr>
        <w:trPr>
          <w:cantSplit/>
        </w:trPr>
        <w:tc>
          <w:tcPr>
            <w:tcW w:type="dxa" w:w="10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Mar–May</w:t>
            </w:r>
          </w:p>
        </w:tc>
        <w:tc>
          <w:tcPr>
            <w:tcW w:type="dxa" w:w="12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2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247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2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(ready for EOFY by early May)</w:t>
            </w:r>
          </w:p>
        </w:tc>
      </w:tr>
      <w:tr>
        <w:trPr>
          <w:cantSplit/>
        </w:trPr>
        <w:tc>
          <w:tcPr>
            <w:tcW w:type="dxa" w:w="10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Jun–Aug</w:t>
            </w:r>
          </w:p>
        </w:tc>
        <w:tc>
          <w:tcPr>
            <w:tcW w:type="dxa" w:w="12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2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24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2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(new budgets from July)</w:t>
            </w:r>
          </w:p>
        </w:tc>
      </w:tr>
      <w:tr>
        <w:trPr>
          <w:cantSplit/>
        </w:trPr>
        <w:tc>
          <w:tcPr>
            <w:tcW w:type="dxa" w:w="100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Sep–mid-Oct</w:t>
            </w:r>
          </w:p>
        </w:tc>
        <w:tc>
          <w:tcPr>
            <w:tcW w:type="dxa" w:w="128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Ascent only</w:t>
            </w:r>
          </w:p>
        </w:tc>
        <w:tc>
          <w:tcPr>
            <w:tcW w:type="dxa" w:w="2291"/>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 (UK peak starts Nov 1)</w:t>
            </w:r>
          </w:p>
        </w:tc>
        <w:tc>
          <w:tcPr>
            <w:tcW w:type="dxa" w:w="247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c>
          <w:tcPr>
            <w:tcW w:type="dxa" w:w="302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t>
            </w:r>
          </w:p>
        </w:tc>
      </w:tr>
      <w:tr>
        <w:trPr>
          <w:cantSplit/>
        </w:trPr>
        <w:tc>
          <w:tcPr>
            <w:tcW w:type="dxa" w:w="100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Mid-Oct–Dec</w:t>
            </w:r>
          </w:p>
        </w:tc>
        <w:tc>
          <w:tcPr>
            <w:tcW w:type="dxa" w:w="128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Freeze</w:t>
            </w:r>
          </w:p>
        </w:tc>
        <w:tc>
          <w:tcPr>
            <w:tcW w:type="dxa" w:w="2291"/>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Freeze</w:t>
            </w:r>
          </w:p>
        </w:tc>
        <w:tc>
          <w:tcPr>
            <w:tcW w:type="dxa" w:w="247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Freeze</w:t>
            </w:r>
          </w:p>
        </w:tc>
        <w:tc>
          <w:tcPr>
            <w:tcW w:type="dxa" w:w="302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Freeze</w:t>
            </w:r>
          </w:p>
        </w:tc>
      </w:tr>
    </w:tbl>
    <w:p>
      <w:pPr>
        <w:spacing w:after="120" w:before="0"/>
      </w:pPr>
    </w:p>
    <w:p>
      <w:pPr>
        <w:pStyle w:val="Heading1"/>
        <w:keepNext/>
      </w:pPr>
      <w:r>
        <w:rPr>
          <w:rFonts w:ascii="Arial" w:cs="Arial" w:eastAsia="Arial" w:hAnsi="Arial"/>
        </w:rPr>
        <w:t xml:space="preserve">16. Email Marketing Laws by Country</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Cold email to businesses is easiest in the US, which runs an opt-out system (brands can email first, and recipients unsubscribe if they don't want it). It is more restricted in the UK (only companies registered with the government are fully safe), and tightly regulated in Canada and Ireland (where only specific published addresses work). Australia and New Zealand use consent-based rules with some automatic exemptions for business addresses. Cold text messages are banned everywhere. In every country: identify GrowMailers honestly, include a mailing address and a working way to unsubscribe, record where each contact came from, and never buy lists.</w:t>
      </w:r>
    </w:p>
    <w:p>
      <w:pPr>
        <w:spacing w:after="160" w:before="0"/>
      </w:pPr>
      <w:r>
        <w:rPr>
          <w:rFonts w:ascii="Arial" w:cs="Arial" w:eastAsia="Arial" w:hAnsi="Arial"/>
          <w:i/>
          <w:iCs/>
          <w:color w:val="5B6573"/>
          <w:sz w:val="16"/>
          <w:szCs w:val="16"/>
        </w:rPr>
        <w:t xml:space="preserve">This section is research, not legal advice. Confirm each country's rules with a lawyer before scaling outreach there.</w:t>
      </w:r>
    </w:p>
    <w:p>
      <w:pPr>
        <w:pStyle w:val="Heading2"/>
        <w:keepNext/>
      </w:pPr>
      <w:r>
        <w:rPr>
          <w:rFonts w:ascii="Arial" w:cs="Arial" w:eastAsia="Arial" w:hAnsi="Arial"/>
        </w:rPr>
        <w:t xml:space="preserve">16.1 Rules that apply everywhere</w:t>
      </w:r>
    </w:p>
    <w:p>
      <w:pPr>
        <w:pStyle w:val="ListParagraph"/>
        <w:numPr>
          <w:ilvl w:val="0"/>
          <w:numId w:val="10"/>
        </w:numPr>
        <w:spacing w:after="60"/>
      </w:pPr>
      <w:r>
        <w:rPr>
          <w:rFonts w:ascii="Arial" w:cs="Arial" w:eastAsia="Arial" w:hAnsi="Arial"/>
          <w:b/>
          <w:bCs/>
          <w:sz w:val="20"/>
          <w:szCs w:val="20"/>
        </w:rPr>
        <w:t xml:space="preserve">Be honest about who you are:</w:t>
      </w:r>
      <w:r>
        <w:rPr>
          <w:rFonts w:ascii="Arial" w:cs="Arial" w:eastAsia="Arial" w:hAnsi="Arial"/>
          <w:sz w:val="20"/>
          <w:szCs w:val="20"/>
        </w:rPr>
        <w:t xml:space="preserve"> use a named GrowMailers sender, the real company name, and accurate email headers.</w:t>
      </w:r>
    </w:p>
    <w:p>
      <w:pPr>
        <w:pStyle w:val="ListParagraph"/>
        <w:numPr>
          <w:ilvl w:val="0"/>
          <w:numId w:val="10"/>
        </w:numPr>
        <w:spacing w:after="60"/>
      </w:pPr>
      <w:r>
        <w:rPr>
          <w:rFonts w:ascii="Arial" w:cs="Arial" w:eastAsia="Arial" w:hAnsi="Arial"/>
          <w:b/>
          <w:bCs/>
          <w:sz w:val="20"/>
          <w:szCs w:val="20"/>
        </w:rPr>
        <w:t xml:space="preserve">Honest subject lines</w:t>
      </w:r>
      <w:r>
        <w:rPr>
          <w:rFonts w:ascii="Arial" w:cs="Arial" w:eastAsia="Arial" w:hAnsi="Arial"/>
          <w:sz w:val="20"/>
          <w:szCs w:val="20"/>
        </w:rPr>
        <w:t xml:space="preserve"> that match the content. Never use "Re:" or "Fwd:" in a first message.</w:t>
      </w:r>
    </w:p>
    <w:p>
      <w:pPr>
        <w:pStyle w:val="ListParagraph"/>
        <w:numPr>
          <w:ilvl w:val="0"/>
          <w:numId w:val="10"/>
        </w:numPr>
        <w:spacing w:after="60"/>
      </w:pPr>
      <w:r>
        <w:rPr>
          <w:rFonts w:ascii="Arial" w:cs="Arial" w:eastAsia="Arial" w:hAnsi="Arial"/>
          <w:b/>
          <w:bCs/>
          <w:sz w:val="20"/>
          <w:szCs w:val="20"/>
        </w:rPr>
        <w:t xml:space="preserve">Mailing address and a working unsubscribe</w:t>
      </w:r>
      <w:r>
        <w:rPr>
          <w:rFonts w:ascii="Arial" w:cs="Arial" w:eastAsia="Arial" w:hAnsi="Arial"/>
          <w:sz w:val="20"/>
          <w:szCs w:val="20"/>
        </w:rPr>
        <w:t xml:space="preserve"> in every commercial email.</w:t>
      </w:r>
    </w:p>
    <w:p>
      <w:pPr>
        <w:pStyle w:val="ListParagraph"/>
        <w:numPr>
          <w:ilvl w:val="0"/>
          <w:numId w:val="10"/>
        </w:numPr>
        <w:spacing w:after="60"/>
      </w:pPr>
      <w:r>
        <w:rPr>
          <w:rFonts w:ascii="Arial" w:cs="Arial" w:eastAsia="Arial" w:hAnsi="Arial"/>
          <w:b/>
          <w:bCs/>
          <w:sz w:val="20"/>
          <w:szCs w:val="20"/>
        </w:rPr>
        <w:t xml:space="preserve">Fast, permanent opt-outs,</w:t>
      </w:r>
      <w:r>
        <w:rPr>
          <w:rFonts w:ascii="Arial" w:cs="Arial" w:eastAsia="Arial" w:hAnsi="Arial"/>
          <w:sz w:val="20"/>
          <w:szCs w:val="20"/>
        </w:rPr>
        <w:t xml:space="preserve"> stored on one shared list used by every tool and team member.</w:t>
      </w:r>
    </w:p>
    <w:p>
      <w:pPr>
        <w:pStyle w:val="ListParagraph"/>
        <w:numPr>
          <w:ilvl w:val="0"/>
          <w:numId w:val="10"/>
        </w:numPr>
        <w:spacing w:after="60"/>
      </w:pPr>
      <w:r>
        <w:rPr>
          <w:rFonts w:ascii="Arial" w:cs="Arial" w:eastAsia="Arial" w:hAnsi="Arial"/>
          <w:b/>
          <w:bCs/>
          <w:sz w:val="20"/>
          <w:szCs w:val="20"/>
        </w:rPr>
        <w:t xml:space="preserve">Record where the contact came from:</w:t>
      </w:r>
      <w:r>
        <w:rPr>
          <w:rFonts w:ascii="Arial" w:cs="Arial" w:eastAsia="Arial" w:hAnsi="Arial"/>
          <w:sz w:val="20"/>
          <w:szCs w:val="20"/>
        </w:rPr>
        <w:t xml:space="preserve"> the URL, the date, and a screenshot for Canada, Australia, and NZ.</w:t>
      </w:r>
    </w:p>
    <w:p>
      <w:pPr>
        <w:pStyle w:val="ListParagraph"/>
        <w:numPr>
          <w:ilvl w:val="0"/>
          <w:numId w:val="10"/>
        </w:numPr>
        <w:spacing w:after="60"/>
      </w:pPr>
      <w:r>
        <w:rPr>
          <w:rFonts w:ascii="Arial" w:cs="Arial" w:eastAsia="Arial" w:hAnsi="Arial"/>
          <w:b/>
          <w:bCs/>
          <w:sz w:val="20"/>
          <w:szCs w:val="20"/>
        </w:rPr>
        <w:t xml:space="preserve">No bought lists, and no guessed or generated email addresses</w:t>
      </w:r>
      <w:r>
        <w:rPr>
          <w:rFonts w:ascii="Arial" w:cs="Arial" w:eastAsia="Arial" w:hAnsi="Arial"/>
          <w:sz w:val="20"/>
          <w:szCs w:val="20"/>
        </w:rPr>
        <w:t xml:space="preserve"> in strict countries.</w:t>
      </w:r>
    </w:p>
    <w:p>
      <w:pPr>
        <w:pStyle w:val="ListParagraph"/>
        <w:numPr>
          <w:ilvl w:val="0"/>
          <w:numId w:val="10"/>
        </w:numPr>
        <w:spacing w:after="60"/>
      </w:pPr>
      <w:r>
        <w:rPr>
          <w:rFonts w:ascii="Arial" w:cs="Arial" w:eastAsia="Arial" w:hAnsi="Arial"/>
          <w:b/>
          <w:bCs/>
          <w:sz w:val="20"/>
          <w:szCs w:val="20"/>
        </w:rPr>
        <w:t xml:space="preserve">No cold text messages, automated calls, AI voices, or ringless voicemail</w:t>
      </w:r>
      <w:r>
        <w:rPr>
          <w:rFonts w:ascii="Arial" w:cs="Arial" w:eastAsia="Arial" w:hAnsi="Arial"/>
          <w:sz w:val="20"/>
          <w:szCs w:val="20"/>
        </w:rPr>
        <w:t xml:space="preserve"> anywhere.</w:t>
      </w:r>
    </w:p>
    <w:p>
      <w:pPr>
        <w:spacing w:after="60" w:before="0"/>
      </w:pPr>
    </w:p>
    <w:p>
      <w:pPr>
        <w:pStyle w:val="Heading2"/>
        <w:keepNext/>
      </w:pPr>
      <w:r>
        <w:rPr>
          <w:rFonts w:ascii="Arial" w:cs="Arial" w:eastAsia="Arial" w:hAnsi="Arial"/>
        </w:rPr>
        <w:t xml:space="preserve">16.2 United States: the basic rules</w:t>
      </w:r>
    </w:p>
    <w:p>
      <w:r>
        <w:rPr>
          <w:rFonts w:ascii="Arial" w:cs="Arial" w:eastAsia="Arial" w:hAnsi="Arial"/>
          <w:b/>
          <w:bCs/>
          <w:sz w:val="20"/>
          <w:szCs w:val="20"/>
        </w:rPr>
        <w:t xml:space="preserve">US federal law (CAN-SPAM)</w:t>
      </w:r>
      <w:r>
        <w:rPr>
          <w:rFonts w:ascii="Arial" w:cs="Arial" w:eastAsia="Arial" w:hAnsi="Arial"/>
          <w:sz w:val="20"/>
          <w:szCs w:val="20"/>
        </w:rPr>
        <w:t xml:space="preserve"> covers all commercial email including business-to-business, and runs on an opt-out basis, prior consent is not required. Every message still needs: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0"/>
        <w:gridCol w:w="5040"/>
      </w:tblGrid>
      <w:tr>
        <w:trPr>
          <w:cantSplit/>
          <w:tblHeader/>
        </w:trPr>
        <w:tc>
          <w:tcPr>
            <w:tcW w:type="dxa" w:w="5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Requirement</w:t>
            </w:r>
          </w:p>
        </w:tc>
        <w:tc>
          <w:tcPr>
            <w:tcW w:type="dxa" w:w="50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this means for GrowMailers outreach</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Accurate email headers; honest subject line</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From, Reply-To, and routing identify GrowMailers; the subject matches the email content</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Identify the message as commercial</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Say clearly that the message is about GrowMailers' services</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Valid physical mailing address</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street address, a registered PO box, or a registered virtual mailbox</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Clear unsubscribe link, honored within 10 business days</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Must work for at least 30 days after sending; no fee or login required to unsubscribe; never sell or share opted-out addresses</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GrowMailers is still responsible</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Even if a third-party lead-gen vendor sends on our behalf</w:t>
            </w:r>
          </w:p>
        </w:tc>
      </w:tr>
      <w:tr>
        <w:trPr>
          <w:cantSplit/>
        </w:trPr>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harvesting addresses</w:t>
            </w:r>
          </w:p>
        </w:tc>
        <w:tc>
          <w:tcPr>
            <w:tcW w:type="dxa" w:w="50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Scraping addresses from sites that forbid it, or generating/guessing them, is a serious violation</w:t>
            </w:r>
          </w:p>
        </w:tc>
      </w:tr>
      <w:tr>
        <w:trPr>
          <w:cantSplit/>
        </w:trPr>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Penalties</w:t>
            </w:r>
          </w:p>
        </w:tc>
        <w:tc>
          <w:tcPr>
            <w:tcW w:type="dxa" w:w="50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More than $50,000 per non-compliant email</w:t>
            </w:r>
          </w:p>
        </w:tc>
      </w:tr>
    </w:tbl>
    <w:p>
      <w:pPr>
        <w:spacing w:after="120" w:before="0"/>
      </w:pPr>
    </w:p>
    <w:p>
      <w:r>
        <w:rPr>
          <w:rFonts w:ascii="Arial" w:cs="Arial" w:eastAsia="Arial" w:hAnsi="Arial"/>
          <w:b/>
          <w:bCs/>
          <w:sz w:val="20"/>
          <w:szCs w:val="20"/>
        </w:rPr>
        <w:t xml:space="preserve">US rules for calls and texts (TCPA):</w:t>
      </w:r>
      <w:r>
        <w:rPr>
          <w:rFonts w:ascii="Arial" w:cs="Arial" w:eastAsia="Arial" w:hAnsi="Arial"/>
          <w:sz w:val="20"/>
          <w:szCs w:val="20"/>
        </w:rPr>
        <w:t xml:space="preserve"> Calls or texts to mobile phones made with an auto-dialer or a recorded/AI voice require prior consent. Marketing texts require </w:t>
      </w:r>
      <w:r>
        <w:rPr>
          <w:rFonts w:ascii="Arial" w:cs="Arial" w:eastAsia="Arial" w:hAnsi="Arial"/>
          <w:i/>
          <w:iCs/>
          <w:sz w:val="20"/>
          <w:szCs w:val="20"/>
        </w:rPr>
        <w:t xml:space="preserve">written</w:t>
      </w:r>
      <w:r>
        <w:rPr>
          <w:rFonts w:ascii="Arial" w:cs="Arial" w:eastAsia="Arial" w:hAnsi="Arial"/>
          <w:sz w:val="20"/>
          <w:szCs w:val="20"/>
        </w:rPr>
        <w:t xml:space="preserve"> consent. Texts count as calls under this law. The National Do Not Call Registry protects residential and cell numbers. Business landlines are generally exempt, but many founders use their cell phone as the business line, scrub mobile numbers against the registry and call manually. Only call between </w:t>
      </w:r>
      <w:r>
        <w:rPr>
          <w:rFonts w:ascii="Arial" w:cs="Arial" w:eastAsia="Arial" w:hAnsi="Arial"/>
          <w:b/>
          <w:bCs/>
          <w:sz w:val="20"/>
          <w:szCs w:val="20"/>
        </w:rPr>
        <w:t xml:space="preserve">8 AM and 9 PM in the recipient's local time zone.</w:t>
      </w:r>
      <w:r>
        <w:rPr>
          <w:rFonts w:ascii="Arial" w:cs="Arial" w:eastAsia="Arial" w:hAnsi="Arial"/>
          <w:sz w:val="20"/>
          <w:szCs w:val="20"/>
        </w:rPr>
        <w:t xml:space="preserve"> Fines are </w:t>
      </w:r>
      <w:r>
        <w:rPr>
          <w:rFonts w:ascii="Arial" w:cs="Arial" w:eastAsia="Arial" w:hAnsi="Arial"/>
          <w:b/>
          <w:bCs/>
          <w:sz w:val="20"/>
          <w:szCs w:val="20"/>
        </w:rPr>
        <w:t xml:space="preserve">$500 per violation, up to $1,500 if intentional.</w:t>
      </w:r>
      <w:r>
        <w:rPr>
          <w:rFonts w:ascii="Arial" w:cs="Arial" w:eastAsia="Arial" w:hAnsi="Arial"/>
          <w:sz w:val="20"/>
          <w:szCs w:val="20"/>
        </w:rPr>
        <w:t xml:space="preserve"> Class action lawsuits are common.</w:t>
      </w:r>
    </w:p>
    <w:p>
      <w:pPr>
        <w:pStyle w:val="Heading2"/>
        <w:keepNext/>
      </w:pPr>
      <w:r>
        <w:rPr>
          <w:rFonts w:ascii="Arial" w:cs="Arial" w:eastAsia="Arial" w:hAnsi="Arial"/>
        </w:rPr>
        <w:t xml:space="preserve">16.3 United Kingdom</w:t>
      </w:r>
    </w:p>
    <w:p>
      <w:pPr>
        <w:pStyle w:val="ListParagraph"/>
        <w:numPr>
          <w:ilvl w:val="0"/>
          <w:numId w:val="2"/>
        </w:numPr>
        <w:spacing w:after="60"/>
      </w:pPr>
      <w:r>
        <w:rPr>
          <w:rFonts w:ascii="Arial" w:cs="Arial" w:eastAsia="Arial" w:hAnsi="Arial"/>
          <w:b/>
          <w:bCs/>
          <w:sz w:val="20"/>
          <w:szCs w:val="20"/>
        </w:rPr>
        <w:t xml:space="preserve">Registered companies</w:t>
      </w:r>
      <w:r>
        <w:rPr>
          <w:rFonts w:ascii="Arial" w:cs="Arial" w:eastAsia="Arial" w:hAnsi="Arial"/>
          <w:sz w:val="20"/>
          <w:szCs w:val="20"/>
        </w:rPr>
        <w:t xml:space="preserve"> (Ltd, LLP, PLC, Scottish partnerships, government bodies) can receive B2B marketing email without consent, as long as GrowMailers identifies itself and offers an easy unsubscribe.</w:t>
      </w:r>
    </w:p>
    <w:p>
      <w:pPr>
        <w:pStyle w:val="ListParagraph"/>
        <w:numPr>
          <w:ilvl w:val="0"/>
          <w:numId w:val="2"/>
        </w:numPr>
        <w:spacing w:after="60"/>
      </w:pPr>
      <w:r>
        <w:rPr>
          <w:rFonts w:ascii="Arial" w:cs="Arial" w:eastAsia="Arial" w:hAnsi="Arial"/>
          <w:b/>
          <w:bCs/>
          <w:sz w:val="20"/>
          <w:szCs w:val="20"/>
        </w:rPr>
        <w:t xml:space="preserve">Sole traders and some partnerships</w:t>
      </w:r>
      <w:r>
        <w:rPr>
          <w:rFonts w:ascii="Arial" w:cs="Arial" w:eastAsia="Arial" w:hAnsi="Arial"/>
          <w:sz w:val="20"/>
          <w:szCs w:val="20"/>
        </w:rPr>
        <w:t xml:space="preserve"> need </w:t>
      </w:r>
      <w:r>
        <w:rPr>
          <w:rFonts w:ascii="Arial" w:cs="Arial" w:eastAsia="Arial" w:hAnsi="Arial"/>
          <w:b/>
          <w:bCs/>
          <w:sz w:val="20"/>
          <w:szCs w:val="20"/>
        </w:rPr>
        <w:t xml:space="preserve">consent</w:t>
      </w:r>
      <w:r>
        <w:rPr>
          <w:rFonts w:ascii="Arial" w:cs="Arial" w:eastAsia="Arial" w:hAnsi="Arial"/>
          <w:sz w:val="20"/>
          <w:szCs w:val="20"/>
        </w:rPr>
        <w:t xml:space="preserve">, check the UK companies register (Companies House) first. If no company is registered, do not cold email.</w:t>
      </w:r>
    </w:p>
    <w:p>
      <w:pPr>
        <w:pStyle w:val="ListParagraph"/>
        <w:numPr>
          <w:ilvl w:val="0"/>
          <w:numId w:val="2"/>
        </w:numPr>
        <w:spacing w:after="60"/>
      </w:pPr>
      <w:r>
        <w:rPr>
          <w:rFonts w:ascii="Arial" w:cs="Arial" w:eastAsia="Arial" w:hAnsi="Arial"/>
          <w:b/>
          <w:bCs/>
          <w:sz w:val="20"/>
          <w:szCs w:val="20"/>
        </w:rPr>
        <w:t xml:space="preserve">Named employee email addresses</w:t>
      </w:r>
      <w:r>
        <w:rPr>
          <w:rFonts w:ascii="Arial" w:cs="Arial" w:eastAsia="Arial" w:hAnsi="Arial"/>
          <w:sz w:val="20"/>
          <w:szCs w:val="20"/>
        </w:rPr>
        <w:t xml:space="preserve"> (like jane@brand.co.uk) count as personal data under UK law. GrowMailers needs a written justification for why it is legitimate to contact them, must tell them where we got their address within one month (putting this in the first email's footer works), and must treat any objection as permanent.</w:t>
      </w:r>
    </w:p>
    <w:p>
      <w:pPr>
        <w:pStyle w:val="ListParagraph"/>
        <w:numPr>
          <w:ilvl w:val="0"/>
          <w:numId w:val="2"/>
        </w:numPr>
        <w:spacing w:after="60"/>
      </w:pPr>
      <w:r>
        <w:rPr>
          <w:rFonts w:ascii="Arial" w:cs="Arial" w:eastAsia="Arial" w:hAnsi="Arial"/>
          <w:b/>
          <w:bCs/>
          <w:sz w:val="20"/>
          <w:szCs w:val="20"/>
        </w:rPr>
        <w:t xml:space="preserve">A founder's personal Gmail address</w:t>
      </w:r>
      <w:r>
        <w:rPr>
          <w:rFonts w:ascii="Arial" w:cs="Arial" w:eastAsia="Arial" w:hAnsi="Arial"/>
          <w:sz w:val="20"/>
          <w:szCs w:val="20"/>
        </w:rPr>
        <w:t xml:space="preserve"> almost certainly counts as an individual and needs consent (our reading).</w:t>
      </w:r>
    </w:p>
    <w:p>
      <w:pPr>
        <w:pStyle w:val="ListParagraph"/>
        <w:numPr>
          <w:ilvl w:val="0"/>
          <w:numId w:val="2"/>
        </w:numPr>
        <w:spacing w:after="60"/>
      </w:pPr>
      <w:r>
        <w:rPr>
          <w:rFonts w:ascii="Arial" w:cs="Arial" w:eastAsia="Arial" w:hAnsi="Arial"/>
          <w:b/>
          <w:bCs/>
          <w:sz w:val="20"/>
          <w:szCs w:val="20"/>
        </w:rPr>
        <w:t xml:space="preserve">Calls:</w:t>
      </w:r>
      <w:r>
        <w:rPr>
          <w:rFonts w:ascii="Arial" w:cs="Arial" w:eastAsia="Arial" w:hAnsi="Arial"/>
          <w:sz w:val="20"/>
          <w:szCs w:val="20"/>
        </w:rPr>
        <w:t xml:space="preserve"> Screen against the Telephone Preference Service and Corporate TPS first. Automated calls need consent.</w:t>
      </w:r>
    </w:p>
    <w:p>
      <w:pPr>
        <w:pStyle w:val="ListParagraph"/>
        <w:numPr>
          <w:ilvl w:val="0"/>
          <w:numId w:val="2"/>
        </w:numPr>
        <w:spacing w:after="60"/>
      </w:pPr>
      <w:r>
        <w:rPr>
          <w:rFonts w:ascii="Arial" w:cs="Arial" w:eastAsia="Arial" w:hAnsi="Arial"/>
          <w:b/>
          <w:bCs/>
          <w:sz w:val="20"/>
          <w:szCs w:val="20"/>
        </w:rPr>
        <w:t xml:space="preserve">Penalties:</w:t>
      </w:r>
      <w:r>
        <w:rPr>
          <w:rFonts w:ascii="Arial" w:cs="Arial" w:eastAsia="Arial" w:hAnsi="Arial"/>
          <w:sz w:val="20"/>
          <w:szCs w:val="20"/>
        </w:rPr>
        <w:t xml:space="preserve"> The maximum fine since February 5, 2026 is </w:t>
      </w:r>
      <w:r>
        <w:rPr>
          <w:rFonts w:ascii="Arial" w:cs="Arial" w:eastAsia="Arial" w:hAnsi="Arial"/>
          <w:b/>
          <w:bCs/>
          <w:sz w:val="20"/>
          <w:szCs w:val="20"/>
        </w:rPr>
        <w:t xml:space="preserve">£17.5 million or 4% of global revenue</w:t>
      </w:r>
      <w:r>
        <w:rPr>
          <w:rFonts w:ascii="Arial" w:cs="Arial" w:eastAsia="Arial" w:hAnsi="Arial"/>
          <w:sz w:val="20"/>
          <w:szCs w:val="20"/>
        </w:rPr>
        <w:t xml:space="preserve">, whichever is higher.</w:t>
      </w:r>
    </w:p>
    <w:p>
      <w:pPr>
        <w:spacing w:after="60" w:before="0"/>
      </w:pPr>
    </w:p>
    <w:p>
      <w:pPr>
        <w:pStyle w:val="Heading2"/>
        <w:keepNext/>
      </w:pPr>
      <w:r>
        <w:rPr>
          <w:rFonts w:ascii="Arial" w:cs="Arial" w:eastAsia="Arial" w:hAnsi="Arial"/>
        </w:rPr>
        <w:t xml:space="preserve">16.4 Canada, Strictest rules in our markets</w:t>
      </w:r>
    </w:p>
    <w:p>
      <w:r>
        <w:rPr>
          <w:rFonts w:ascii="Arial" w:cs="Arial" w:eastAsia="Arial" w:hAnsi="Arial"/>
          <w:sz w:val="20"/>
          <w:szCs w:val="20"/>
        </w:rPr>
        <w:t xml:space="preserve">Canada's anti-spam law (CASL) applies to messages </w:t>
      </w:r>
      <w:r>
        <w:rPr>
          <w:rFonts w:ascii="Arial" w:cs="Arial" w:eastAsia="Arial" w:hAnsi="Arial"/>
          <w:b/>
          <w:bCs/>
          <w:sz w:val="20"/>
          <w:szCs w:val="20"/>
        </w:rPr>
        <w:t xml:space="preserve">sent into Canada from anywhere in the world</w:t>
      </w:r>
      <w:r>
        <w:rPr>
          <w:rFonts w:ascii="Arial" w:cs="Arial" w:eastAsia="Arial" w:hAnsi="Arial"/>
          <w:sz w:val="20"/>
          <w:szCs w:val="20"/>
        </w:rPr>
        <w:t xml:space="preserve">, including Nepal.</w:t>
      </w:r>
    </w:p>
    <w:p>
      <w:pPr>
        <w:pStyle w:val="ListParagraph"/>
        <w:numPr>
          <w:ilvl w:val="0"/>
          <w:numId w:val="2"/>
        </w:numPr>
        <w:spacing w:after="60"/>
      </w:pPr>
      <w:r>
        <w:rPr>
          <w:rFonts w:ascii="Arial" w:cs="Arial" w:eastAsia="Arial" w:hAnsi="Arial"/>
          <w:sz w:val="20"/>
          <w:szCs w:val="20"/>
        </w:rPr>
        <w:t xml:space="preserve">Every commercial email needs </w:t>
      </w:r>
      <w:r>
        <w:rPr>
          <w:rFonts w:ascii="Arial" w:cs="Arial" w:eastAsia="Arial" w:hAnsi="Arial"/>
          <w:b/>
          <w:bCs/>
          <w:sz w:val="20"/>
          <w:szCs w:val="20"/>
        </w:rPr>
        <w:t xml:space="preserve">consent</w:t>
      </w:r>
      <w:r>
        <w:rPr>
          <w:rFonts w:ascii="Arial" w:cs="Arial" w:eastAsia="Arial" w:hAnsi="Arial"/>
          <w:sz w:val="20"/>
          <w:szCs w:val="20"/>
        </w:rPr>
        <w:t xml:space="preserve"> (express or implied), </w:t>
      </w:r>
      <w:r>
        <w:rPr>
          <w:rFonts w:ascii="Arial" w:cs="Arial" w:eastAsia="Arial" w:hAnsi="Arial"/>
          <w:b/>
          <w:bCs/>
          <w:sz w:val="20"/>
          <w:szCs w:val="20"/>
        </w:rPr>
        <w:t xml:space="preserve">sender identification</w:t>
      </w:r>
      <w:r>
        <w:rPr>
          <w:rFonts w:ascii="Arial" w:cs="Arial" w:eastAsia="Arial" w:hAnsi="Arial"/>
          <w:sz w:val="20"/>
          <w:szCs w:val="20"/>
        </w:rPr>
        <w:t xml:space="preserve">, and a </w:t>
      </w:r>
      <w:r>
        <w:rPr>
          <w:rFonts w:ascii="Arial" w:cs="Arial" w:eastAsia="Arial" w:hAnsi="Arial"/>
          <w:b/>
          <w:bCs/>
          <w:sz w:val="20"/>
          <w:szCs w:val="20"/>
        </w:rPr>
        <w:t xml:space="preserve">working unsubscribe</w:t>
      </w:r>
      <w:r>
        <w:rPr>
          <w:rFonts w:ascii="Arial" w:cs="Arial" w:eastAsia="Arial" w:hAnsi="Arial"/>
          <w:sz w:val="20"/>
          <w:szCs w:val="20"/>
        </w:rPr>
        <w:t xml:space="preserve">.</w:t>
      </w:r>
    </w:p>
    <w:p>
      <w:pPr>
        <w:pStyle w:val="ListParagraph"/>
        <w:numPr>
          <w:ilvl w:val="0"/>
          <w:numId w:val="2"/>
        </w:numPr>
        <w:spacing w:after="60"/>
      </w:pPr>
      <w:r>
        <w:rPr>
          <w:rFonts w:ascii="Arial" w:cs="Arial" w:eastAsia="Arial" w:hAnsi="Arial"/>
          <w:b/>
          <w:bCs/>
          <w:sz w:val="20"/>
          <w:szCs w:val="20"/>
        </w:rPr>
        <w:t xml:space="preserve">Implied consent through a published address</w:t>
      </w:r>
      <w:r>
        <w:rPr>
          <w:rFonts w:ascii="Arial" w:cs="Arial" w:eastAsia="Arial" w:hAnsi="Arial"/>
          <w:sz w:val="20"/>
          <w:szCs w:val="20"/>
        </w:rPr>
        <w:t xml:space="preserve"> requires ALL three of these: the person published the address (e.g., on their company website); nothing near it says "do not send unsolicited messages"; and the message is relevant to their business role. Canadian regulators have said this is not a blanket license to email any address found online.</w:t>
      </w:r>
    </w:p>
    <w:p>
      <w:pPr>
        <w:pStyle w:val="ListParagraph"/>
        <w:numPr>
          <w:ilvl w:val="0"/>
          <w:numId w:val="2"/>
        </w:numPr>
        <w:spacing w:after="60"/>
      </w:pPr>
      <w:r>
        <w:rPr>
          <w:rFonts w:ascii="Arial" w:cs="Arial" w:eastAsia="Arial" w:hAnsi="Arial"/>
          <w:b/>
          <w:bCs/>
          <w:sz w:val="20"/>
          <w:szCs w:val="20"/>
        </w:rPr>
        <w:t xml:space="preserve">Addresses found only through enrichment tools, and personal Gmail addresses, do not qualify for implied consent.</w:t>
      </w:r>
    </w:p>
    <w:p>
      <w:pPr>
        <w:pStyle w:val="ListParagraph"/>
        <w:numPr>
          <w:ilvl w:val="0"/>
          <w:numId w:val="2"/>
        </w:numPr>
        <w:spacing w:after="60"/>
      </w:pPr>
      <w:r>
        <w:rPr>
          <w:rFonts w:ascii="Arial" w:cs="Arial" w:eastAsia="Arial" w:hAnsi="Arial"/>
          <w:b/>
          <w:bCs/>
          <w:sz w:val="20"/>
          <w:szCs w:val="20"/>
        </w:rPr>
        <w:t xml:space="preserve">Referral exception:</w:t>
      </w:r>
      <w:r>
        <w:rPr>
          <w:rFonts w:ascii="Arial" w:cs="Arial" w:eastAsia="Arial" w:hAnsi="Arial"/>
          <w:sz w:val="20"/>
          <w:szCs w:val="20"/>
        </w:rPr>
        <w:t xml:space="preserve"> one message is allowed after a referral from someone who knows both parties, and it must name the referrer in full.</w:t>
      </w:r>
    </w:p>
    <w:p>
      <w:pPr>
        <w:pStyle w:val="ListParagraph"/>
        <w:numPr>
          <w:ilvl w:val="0"/>
          <w:numId w:val="2"/>
        </w:numPr>
        <w:spacing w:after="60"/>
      </w:pPr>
      <w:r>
        <w:rPr>
          <w:rFonts w:ascii="Arial" w:cs="Arial" w:eastAsia="Arial" w:hAnsi="Arial"/>
          <w:b/>
          <w:bCs/>
          <w:sz w:val="20"/>
          <w:szCs w:val="20"/>
        </w:rPr>
        <w:t xml:space="preserve">Every email must include:</w:t>
      </w:r>
      <w:r>
        <w:rPr>
          <w:rFonts w:ascii="Arial" w:cs="Arial" w:eastAsia="Arial" w:hAnsi="Arial"/>
          <w:sz w:val="20"/>
          <w:szCs w:val="20"/>
        </w:rPr>
        <w:t xml:space="preserve"> sender name, mailing address, and a phone, email, or web contact that stays valid for 60 days. Unsubscribes must be processed within </w:t>
      </w:r>
      <w:r>
        <w:rPr>
          <w:rFonts w:ascii="Arial" w:cs="Arial" w:eastAsia="Arial" w:hAnsi="Arial"/>
          <w:b/>
          <w:bCs/>
          <w:sz w:val="20"/>
          <w:szCs w:val="20"/>
        </w:rPr>
        <w:t xml:space="preserve">10 business days.</w:t>
      </w:r>
    </w:p>
    <w:p>
      <w:pPr>
        <w:pStyle w:val="ListParagraph"/>
        <w:numPr>
          <w:ilvl w:val="0"/>
          <w:numId w:val="2"/>
        </w:numPr>
        <w:spacing w:after="60"/>
      </w:pPr>
      <w:r>
        <w:rPr>
          <w:rFonts w:ascii="Arial" w:cs="Arial" w:eastAsia="Arial" w:hAnsi="Arial"/>
          <w:b/>
          <w:bCs/>
          <w:sz w:val="20"/>
          <w:szCs w:val="20"/>
        </w:rPr>
        <w:t xml:space="preserve">The sender must be able to prove consent</w:t>
      </w:r>
      <w:r>
        <w:rPr>
          <w:rFonts w:ascii="Arial" w:cs="Arial" w:eastAsia="Arial" w:hAnsi="Arial"/>
          <w:sz w:val="20"/>
          <w:szCs w:val="20"/>
        </w:rPr>
        <w:t xml:space="preserve">, keep a dated screenshot of where each address was publicly published.</w:t>
      </w:r>
    </w:p>
    <w:p>
      <w:pPr>
        <w:pStyle w:val="ListParagraph"/>
        <w:numPr>
          <w:ilvl w:val="0"/>
          <w:numId w:val="2"/>
        </w:numPr>
        <w:spacing w:after="60"/>
      </w:pPr>
      <w:r>
        <w:rPr>
          <w:rFonts w:ascii="Arial" w:cs="Arial" w:eastAsia="Arial" w:hAnsi="Arial"/>
          <w:b/>
          <w:bCs/>
          <w:sz w:val="20"/>
          <w:szCs w:val="20"/>
        </w:rPr>
        <w:t xml:space="preserve">Penalties:</w:t>
      </w:r>
      <w:r>
        <w:rPr>
          <w:rFonts w:ascii="Arial" w:cs="Arial" w:eastAsia="Arial" w:hAnsi="Arial"/>
          <w:sz w:val="20"/>
          <w:szCs w:val="20"/>
        </w:rPr>
        <w:t xml:space="preserve"> up to </w:t>
      </w:r>
      <w:r>
        <w:rPr>
          <w:rFonts w:ascii="Arial" w:cs="Arial" w:eastAsia="Arial" w:hAnsi="Arial"/>
          <w:b/>
          <w:bCs/>
          <w:sz w:val="20"/>
          <w:szCs w:val="20"/>
        </w:rPr>
        <w:t xml:space="preserve">C$10 million per violation</w:t>
      </w:r>
      <w:r>
        <w:rPr>
          <w:rFonts w:ascii="Arial" w:cs="Arial" w:eastAsia="Arial" w:hAnsi="Arial"/>
          <w:sz w:val="20"/>
          <w:szCs w:val="20"/>
        </w:rPr>
        <w:t xml:space="preserve"> for a business. Recent enforcement against Indeed Canada, Hudson's Bay, and DavidsTea all involved broken unsubscribe processes.</w:t>
      </w:r>
    </w:p>
    <w:p>
      <w:pPr>
        <w:pStyle w:val="ListParagraph"/>
        <w:numPr>
          <w:ilvl w:val="0"/>
          <w:numId w:val="2"/>
        </w:numPr>
        <w:spacing w:after="60"/>
      </w:pPr>
      <w:r>
        <w:rPr>
          <w:rFonts w:ascii="Arial" w:cs="Arial" w:eastAsia="Arial" w:hAnsi="Arial"/>
          <w:b/>
          <w:bCs/>
          <w:sz w:val="20"/>
          <w:szCs w:val="20"/>
        </w:rPr>
        <w:t xml:space="preserve">Calls:</w:t>
      </w:r>
      <w:r>
        <w:rPr>
          <w:rFonts w:ascii="Arial" w:cs="Arial" w:eastAsia="Arial" w:hAnsi="Arial"/>
          <w:sz w:val="20"/>
          <w:szCs w:val="20"/>
        </w:rPr>
        <w:t xml:space="preserve"> Register with Canada's National Do Not Call List (DNCL), keep an internal do-not-call list, only call </w:t>
      </w:r>
      <w:r>
        <w:rPr>
          <w:rFonts w:ascii="Arial" w:cs="Arial" w:eastAsia="Arial" w:hAnsi="Arial"/>
          <w:b/>
          <w:bCs/>
          <w:sz w:val="20"/>
          <w:szCs w:val="20"/>
        </w:rPr>
        <w:t xml:space="preserve">9 AM–9:30 PM weekdays and 10 AM–6 PM weekends</w:t>
      </w:r>
      <w:r>
        <w:rPr>
          <w:rFonts w:ascii="Arial" w:cs="Arial" w:eastAsia="Arial" w:hAnsi="Arial"/>
          <w:sz w:val="20"/>
          <w:szCs w:val="20"/>
        </w:rPr>
        <w:t xml:space="preserve">, and identify yourself. The CRTC has fined foreign callers C$175,000.</w:t>
      </w:r>
    </w:p>
    <w:p>
      <w:pPr>
        <w:pStyle w:val="ListParagraph"/>
        <w:numPr>
          <w:ilvl w:val="0"/>
          <w:numId w:val="2"/>
        </w:numPr>
        <w:spacing w:after="60"/>
      </w:pPr>
      <w:r>
        <w:rPr>
          <w:rFonts w:ascii="Arial" w:cs="Arial" w:eastAsia="Arial" w:hAnsi="Arial"/>
          <w:b/>
          <w:bCs/>
          <w:sz w:val="20"/>
          <w:szCs w:val="20"/>
        </w:rPr>
        <w:t xml:space="preserve">Quebec:</w:t>
      </w:r>
      <w:r>
        <w:rPr>
          <w:rFonts w:ascii="Arial" w:cs="Arial" w:eastAsia="Arial" w:hAnsi="Arial"/>
          <w:sz w:val="20"/>
          <w:szCs w:val="20"/>
        </w:rPr>
        <w:t xml:space="preserve"> marketing must be available in French. Write in French or put Quebec lower in the outreach queue.</w:t>
      </w:r>
    </w:p>
    <w:p>
      <w:pPr>
        <w:spacing w:after="60" w:before="0"/>
      </w:pPr>
    </w:p>
    <w:p>
      <w:pPr>
        <w:pStyle w:val="Heading2"/>
        <w:keepNext/>
      </w:pPr>
      <w:r>
        <w:rPr>
          <w:rFonts w:ascii="Arial" w:cs="Arial" w:eastAsia="Arial" w:hAnsi="Arial"/>
        </w:rPr>
        <w:t xml:space="preserve">16.5 Ireland, Australia, and New Zealand</w:t>
      </w:r>
    </w:p>
    <w:p>
      <w:pPr>
        <w:pStyle w:val="ListParagraph"/>
        <w:numPr>
          <w:ilvl w:val="0"/>
          <w:numId w:val="2"/>
        </w:numPr>
        <w:spacing w:after="60"/>
      </w:pPr>
      <w:r>
        <w:rPr>
          <w:rFonts w:ascii="Arial" w:cs="Arial" w:eastAsia="Arial" w:hAnsi="Arial"/>
          <w:b/>
          <w:bCs/>
          <w:sz w:val="20"/>
          <w:szCs w:val="20"/>
        </w:rPr>
        <w:t xml:space="preserve">Ireland:</w:t>
      </w:r>
      <w:r>
        <w:rPr>
          <w:rFonts w:ascii="Arial" w:cs="Arial" w:eastAsia="Arial" w:hAnsi="Arial"/>
          <w:sz w:val="20"/>
          <w:szCs w:val="20"/>
        </w:rPr>
        <w:t xml:space="preserve"> Email to a </w:t>
      </w:r>
      <w:r>
        <w:rPr>
          <w:rFonts w:ascii="Arial" w:cs="Arial" w:eastAsia="Arial" w:hAnsi="Arial"/>
          <w:b/>
          <w:bCs/>
          <w:sz w:val="20"/>
          <w:szCs w:val="20"/>
        </w:rPr>
        <w:t xml:space="preserve">registered company</w:t>
      </w:r>
      <w:r>
        <w:rPr>
          <w:rFonts w:ascii="Arial" w:cs="Arial" w:eastAsia="Arial" w:hAnsi="Arial"/>
          <w:sz w:val="20"/>
          <w:szCs w:val="20"/>
        </w:rPr>
        <w:t xml:space="preserve"> is allowed unless it has objected. A </w:t>
      </w:r>
      <w:r>
        <w:rPr>
          <w:rFonts w:ascii="Arial" w:cs="Arial" w:eastAsia="Arial" w:hAnsi="Arial"/>
          <w:b/>
          <w:bCs/>
          <w:sz w:val="20"/>
          <w:szCs w:val="20"/>
        </w:rPr>
        <w:t xml:space="preserve">named employee email address</w:t>
      </w:r>
      <w:r>
        <w:rPr>
          <w:rFonts w:ascii="Arial" w:cs="Arial" w:eastAsia="Arial" w:hAnsi="Arial"/>
          <w:sz w:val="20"/>
          <w:szCs w:val="20"/>
        </w:rPr>
        <w:t xml:space="preserve"> may count as a personal address needing consent, use generic company addresses (like info@brand.ie) until a lawyer confirms otherwise. </w:t>
      </w:r>
      <w:r>
        <w:rPr>
          <w:rFonts w:ascii="Arial" w:cs="Arial" w:eastAsia="Arial" w:hAnsi="Arial"/>
          <w:b/>
          <w:bCs/>
          <w:sz w:val="20"/>
          <w:szCs w:val="20"/>
        </w:rPr>
        <w:t xml:space="preserve">Cold texts to mobiles need consent</w:t>
      </w:r>
      <w:r>
        <w:rPr>
          <w:rFonts w:ascii="Arial" w:cs="Arial" w:eastAsia="Arial" w:hAnsi="Arial"/>
          <w:sz w:val="20"/>
          <w:szCs w:val="20"/>
        </w:rPr>
        <w:t xml:space="preserve">, and many Irish founders use a mobile as their business number. Each unsolicited message is a separate offense. Ireland's Data Protection Commission closed 275 direct-marketing investigations in 2025, up 88%.</w:t>
      </w:r>
    </w:p>
    <w:p>
      <w:pPr>
        <w:pStyle w:val="ListParagraph"/>
        <w:numPr>
          <w:ilvl w:val="0"/>
          <w:numId w:val="2"/>
        </w:numPr>
        <w:spacing w:after="60"/>
      </w:pPr>
      <w:r>
        <w:rPr>
          <w:rFonts w:ascii="Arial" w:cs="Arial" w:eastAsia="Arial" w:hAnsi="Arial"/>
          <w:b/>
          <w:bCs/>
          <w:sz w:val="20"/>
          <w:szCs w:val="20"/>
        </w:rPr>
        <w:t xml:space="preserve">Australia (Spam Act 2003):</w:t>
      </w:r>
      <w:r>
        <w:rPr>
          <w:rFonts w:ascii="Arial" w:cs="Arial" w:eastAsia="Arial" w:hAnsi="Arial"/>
          <w:sz w:val="20"/>
          <w:szCs w:val="20"/>
        </w:rPr>
        <w:t xml:space="preserve"> Consent may be express or </w:t>
      </w:r>
      <w:r>
        <w:rPr>
          <w:rFonts w:ascii="Arial" w:cs="Arial" w:eastAsia="Arial" w:hAnsi="Arial"/>
          <w:b/>
          <w:bCs/>
          <w:sz w:val="20"/>
          <w:szCs w:val="20"/>
        </w:rPr>
        <w:t xml:space="preserve">inferred</w:t>
      </w:r>
      <w:r>
        <w:rPr>
          <w:rFonts w:ascii="Arial" w:cs="Arial" w:eastAsia="Arial" w:hAnsi="Arial"/>
          <w:sz w:val="20"/>
          <w:szCs w:val="20"/>
        </w:rPr>
        <w:t xml:space="preserve">. Inferred consent covers business addresses that are publicly displayed and where the message matches the person's business role and nothing nearby says "no unsolicited messages." Every email needs sender identification and an unsubscribe honored within </w:t>
      </w:r>
      <w:r>
        <w:rPr>
          <w:rFonts w:ascii="Arial" w:cs="Arial" w:eastAsia="Arial" w:hAnsi="Arial"/>
          <w:b/>
          <w:bCs/>
          <w:sz w:val="20"/>
          <w:szCs w:val="20"/>
        </w:rPr>
        <w:t xml:space="preserve">5 working days.</w:t>
      </w:r>
      <w:r>
        <w:rPr>
          <w:rFonts w:ascii="Arial" w:cs="Arial" w:eastAsia="Arial" w:hAnsi="Arial"/>
          <w:sz w:val="20"/>
          <w:szCs w:val="20"/>
        </w:rPr>
        <w:t xml:space="preserve"> Repeat violations can be fined up to A$3.3 million per day. Check Australia's Do Not Call Register before calling mobile numbers.</w:t>
      </w:r>
    </w:p>
    <w:p>
      <w:pPr>
        <w:pStyle w:val="ListParagraph"/>
        <w:numPr>
          <w:ilvl w:val="0"/>
          <w:numId w:val="2"/>
        </w:numPr>
        <w:spacing w:after="60"/>
      </w:pPr>
      <w:r>
        <w:rPr>
          <w:rFonts w:ascii="Arial" w:cs="Arial" w:eastAsia="Arial" w:hAnsi="Arial"/>
          <w:b/>
          <w:bCs/>
          <w:sz w:val="20"/>
          <w:szCs w:val="20"/>
        </w:rPr>
        <w:t xml:space="preserve">New Zealand (Unsolicited Electronic Messages Act 2007):</w:t>
      </w:r>
      <w:r>
        <w:rPr>
          <w:rFonts w:ascii="Arial" w:cs="Arial" w:eastAsia="Arial" w:hAnsi="Arial"/>
          <w:sz w:val="20"/>
          <w:szCs w:val="20"/>
        </w:rPr>
        <w:t xml:space="preserve"> Consent may be express, inferred, or </w:t>
      </w:r>
      <w:r>
        <w:rPr>
          <w:rFonts w:ascii="Arial" w:cs="Arial" w:eastAsia="Arial" w:hAnsi="Arial"/>
          <w:b/>
          <w:bCs/>
          <w:sz w:val="20"/>
          <w:szCs w:val="20"/>
        </w:rPr>
        <w:t xml:space="preserve">deemed</w:t>
      </w:r>
      <w:r>
        <w:rPr>
          <w:rFonts w:ascii="Arial" w:cs="Arial" w:eastAsia="Arial" w:hAnsi="Arial"/>
          <w:sz w:val="20"/>
          <w:szCs w:val="20"/>
        </w:rPr>
        <w:t xml:space="preserve">. Deemed consent applies to publicly displayed business addresses, same rules as Australia's inferred consent. Unsubscribes must be honored within </w:t>
      </w:r>
      <w:r>
        <w:rPr>
          <w:rFonts w:ascii="Arial" w:cs="Arial" w:eastAsia="Arial" w:hAnsi="Arial"/>
          <w:b/>
          <w:bCs/>
          <w:sz w:val="20"/>
          <w:szCs w:val="20"/>
        </w:rPr>
        <w:t xml:space="preserve">5 working days.</w:t>
      </w:r>
    </w:p>
    <w:p>
      <w:pPr>
        <w:spacing w:after="60" w:before="0"/>
      </w:pPr>
    </w:p>
    <w:p>
      <w:pPr>
        <w:spacing w:after="160" w:before="0"/>
      </w:pPr>
      <w:r>
        <w:rPr>
          <w:rFonts w:ascii="Arial" w:cs="Arial" w:eastAsia="Arial" w:hAnsi="Arial"/>
          <w:i/>
          <w:iCs/>
          <w:color w:val="5B6573"/>
          <w:sz w:val="16"/>
          <w:szCs w:val="16"/>
        </w:rPr>
        <w:t xml:space="preserve">Our research on Australia and NZ is not complete. Treat both as frameworks to confirm with a local lawyer.</w:t>
      </w:r>
    </w:p>
    <w:p>
      <w:pPr>
        <w:pStyle w:val="Heading2"/>
        <w:keepNext/>
      </w:pPr>
      <w:r>
        <w:rPr>
          <w:rFonts w:ascii="Arial" w:cs="Arial" w:eastAsia="Arial" w:hAnsi="Arial"/>
        </w:rPr>
        <w:t xml:space="preserve">16.6 Six-country comparison and pre-send checklist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840"/>
        <w:gridCol w:w="2122"/>
        <w:gridCol w:w="2034"/>
        <w:gridCol w:w="1592"/>
        <w:gridCol w:w="1592"/>
      </w:tblGrid>
      <w:tr>
        <w:trPr>
          <w:cantSplit/>
          <w:tblHeader/>
        </w:trPr>
        <w:tc>
          <w:tcPr>
            <w:tcW w:type="dxa" w:w="90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Country</w:t>
            </w:r>
          </w:p>
        </w:tc>
        <w:tc>
          <w:tcPr>
            <w:tcW w:type="dxa" w:w="184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Cold email to businesses</w:t>
            </w:r>
          </w:p>
        </w:tc>
        <w:tc>
          <w:tcPr>
            <w:tcW w:type="dxa" w:w="212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Safest address type</w:t>
            </w:r>
          </w:p>
        </w:tc>
        <w:tc>
          <w:tcPr>
            <w:tcW w:type="dxa" w:w="203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Cold calls</w:t>
            </w:r>
          </w:p>
        </w:tc>
        <w:tc>
          <w:tcPr>
            <w:tcW w:type="dxa" w:w="159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Unsubscribe deadline</w:t>
            </w:r>
          </w:p>
        </w:tc>
        <w:tc>
          <w:tcPr>
            <w:tcW w:type="dxa" w:w="159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Risk level</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States</w:t>
            </w:r>
          </w:p>
        </w:tc>
        <w:tc>
          <w:tcPr>
            <w:tcW w:type="dxa" w:w="18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Allowed (opt-out system)</w:t>
            </w:r>
          </w:p>
        </w:tc>
        <w:tc>
          <w:tcPr>
            <w:tcW w:type="dxa" w:w="21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Named business address</w:t>
            </w:r>
          </w:p>
        </w:tc>
        <w:tc>
          <w:tcPr>
            <w:tcW w:type="dxa" w:w="20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Manual dial; scrub mobiles against Do Not Call</w:t>
            </w:r>
          </w:p>
        </w:tc>
        <w:tc>
          <w:tcPr>
            <w:tcW w:type="dxa" w:w="15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 business days</w:t>
            </w:r>
          </w:p>
        </w:tc>
        <w:tc>
          <w:tcPr>
            <w:tcW w:type="dxa" w:w="15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Low (email) / High (calls and texts)</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United Kingdom</w:t>
            </w:r>
          </w:p>
        </w:tc>
        <w:tc>
          <w:tcPr>
            <w:tcW w:type="dxa" w:w="18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OK for registered companies; sole traders need consent</w:t>
            </w:r>
          </w:p>
        </w:tc>
        <w:tc>
          <w:tcPr>
            <w:tcW w:type="dxa" w:w="21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Named address at a verified company, with a written justification</w:t>
            </w:r>
          </w:p>
        </w:tc>
        <w:tc>
          <w:tcPr>
            <w:tcW w:type="dxa" w:w="20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Screen against TPS and CTPS first</w:t>
            </w:r>
          </w:p>
        </w:tc>
        <w:tc>
          <w:tcPr>
            <w:tcW w:type="dxa" w:w="15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Promptly; any objection is permanent</w:t>
            </w:r>
          </w:p>
        </w:tc>
        <w:tc>
          <w:tcPr>
            <w:tcW w:type="dxa" w:w="15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w:t>
            </w:r>
          </w:p>
        </w:tc>
        <w:tc>
          <w:tcPr>
            <w:tcW w:type="dxa" w:w="18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published addresses meeting all three tests, or referrals</w:t>
            </w:r>
          </w:p>
        </w:tc>
        <w:tc>
          <w:tcPr>
            <w:tcW w:type="dxa" w:w="21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Published role address on their website</w:t>
            </w:r>
          </w:p>
        </w:tc>
        <w:tc>
          <w:tcPr>
            <w:tcW w:type="dxa" w:w="20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DNCL registration; strict calling hours</w:t>
            </w:r>
          </w:p>
        </w:tc>
        <w:tc>
          <w:tcPr>
            <w:tcW w:type="dxa" w:w="15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10 business days</w:t>
            </w:r>
          </w:p>
        </w:tc>
        <w:tc>
          <w:tcPr>
            <w:tcW w:type="dxa" w:w="15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High</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Ireland</w:t>
            </w:r>
          </w:p>
        </w:tc>
        <w:tc>
          <w:tcPr>
            <w:tcW w:type="dxa" w:w="18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Registered companies yes; named staff unclear</w:t>
            </w:r>
          </w:p>
        </w:tc>
        <w:tc>
          <w:tcPr>
            <w:tcW w:type="dxa" w:w="21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Generic company address</w:t>
            </w:r>
          </w:p>
        </w:tc>
        <w:tc>
          <w:tcPr>
            <w:tcW w:type="dxa" w:w="20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mobiles without consent</w:t>
            </w:r>
          </w:p>
        </w:tc>
        <w:tc>
          <w:tcPr>
            <w:tcW w:type="dxa" w:w="15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Promptly</w:t>
            </w:r>
          </w:p>
        </w:tc>
        <w:tc>
          <w:tcPr>
            <w:tcW w:type="dxa" w:w="15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High</w:t>
            </w:r>
          </w:p>
        </w:tc>
      </w:tr>
      <w:tr>
        <w:trPr>
          <w:cantSplit/>
        </w:trPr>
        <w:tc>
          <w:tcPr>
            <w:tcW w:type="dxa" w:w="90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Australia</w:t>
            </w:r>
          </w:p>
        </w:tc>
        <w:tc>
          <w:tcPr>
            <w:tcW w:type="dxa" w:w="184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Inferred consent via publicly published address</w:t>
            </w:r>
          </w:p>
        </w:tc>
        <w:tc>
          <w:tcPr>
            <w:tcW w:type="dxa" w:w="21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Published role address</w:t>
            </w:r>
          </w:p>
        </w:tc>
        <w:tc>
          <w:tcPr>
            <w:tcW w:type="dxa" w:w="203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 Do Not Call Register</w:t>
            </w:r>
          </w:p>
        </w:tc>
        <w:tc>
          <w:tcPr>
            <w:tcW w:type="dxa" w:w="15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 working days</w:t>
            </w:r>
          </w:p>
        </w:tc>
        <w:tc>
          <w:tcPr>
            <w:tcW w:type="dxa" w:w="159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 to high</w:t>
            </w:r>
          </w:p>
        </w:tc>
      </w:tr>
      <w:tr>
        <w:trPr>
          <w:cantSplit/>
        </w:trPr>
        <w:tc>
          <w:tcPr>
            <w:tcW w:type="dxa" w:w="90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New Zealand</w:t>
            </w:r>
          </w:p>
        </w:tc>
        <w:tc>
          <w:tcPr>
            <w:tcW w:type="dxa" w:w="184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Deemed consent via published address</w:t>
            </w:r>
          </w:p>
        </w:tc>
        <w:tc>
          <w:tcPr>
            <w:tcW w:type="dxa" w:w="21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Published role address</w:t>
            </w:r>
          </w:p>
        </w:tc>
        <w:tc>
          <w:tcPr>
            <w:tcW w:type="dxa" w:w="203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Check before calling</w:t>
            </w:r>
          </w:p>
        </w:tc>
        <w:tc>
          <w:tcPr>
            <w:tcW w:type="dxa" w:w="15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5 working days</w:t>
            </w:r>
          </w:p>
        </w:tc>
        <w:tc>
          <w:tcPr>
            <w:tcW w:type="dxa" w:w="159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 to high</w:t>
            </w:r>
          </w:p>
        </w:tc>
      </w:tr>
    </w:tbl>
    <w:p>
      <w:pPr>
        <w:spacing w:after="120" w:before="0"/>
      </w:pPr>
    </w:p>
    <w:p>
      <w:r>
        <w:rPr>
          <w:rFonts w:ascii="Arial" w:cs="Arial" w:eastAsia="Arial" w:hAnsi="Arial"/>
          <w:b/>
          <w:bCs/>
          <w:sz w:val="20"/>
          <w:szCs w:val="20"/>
        </w:rPr>
        <w:t xml:space="preserve">Before sending any email, check all of these:</w:t>
      </w:r>
    </w:p>
    <w:p>
      <w:pPr>
        <w:spacing w:after="60"/>
        <w:ind w:left="360" w:hanging="280"/>
      </w:pPr>
      <w:r>
        <w:rPr>
          <w:rFonts w:ascii="Arial" w:cs="Arial" w:eastAsia="Arial" w:hAnsi="Arial"/>
          <w:color w:val="2E7D6B"/>
          <w:sz w:val="20"/>
          <w:szCs w:val="20"/>
        </w:rPr>
        <w:t xml:space="preserve">□  </w:t>
      </w:r>
      <w:r>
        <w:rPr>
          <w:rFonts w:ascii="Arial" w:cs="Arial" w:eastAsia="Arial" w:hAnsi="Arial"/>
          <w:sz w:val="20"/>
          <w:szCs w:val="20"/>
        </w:rPr>
        <w:t xml:space="preserve">Real operating country confirmed (not just a registered-agent address)</w:t>
      </w:r>
    </w:p>
    <w:p>
      <w:pPr>
        <w:spacing w:after="60"/>
        <w:ind w:left="360" w:hanging="280"/>
      </w:pPr>
      <w:r>
        <w:rPr>
          <w:rFonts w:ascii="Arial" w:cs="Arial" w:eastAsia="Arial" w:hAnsi="Arial"/>
          <w:color w:val="2E7D6B"/>
          <w:sz w:val="20"/>
          <w:szCs w:val="20"/>
        </w:rPr>
        <w:t xml:space="preserve">□  </w:t>
      </w:r>
      <w:r>
        <w:rPr>
          <w:rFonts w:ascii="Arial" w:cs="Arial" w:eastAsia="Arial" w:hAnsi="Arial"/>
          <w:sz w:val="20"/>
          <w:szCs w:val="20"/>
        </w:rPr>
        <w:t xml:space="preserve">Address type allowed for that country's rules</w:t>
      </w:r>
    </w:p>
    <w:p>
      <w:pPr>
        <w:spacing w:after="60"/>
        <w:ind w:left="360" w:hanging="280"/>
      </w:pPr>
      <w:r>
        <w:rPr>
          <w:rFonts w:ascii="Arial" w:cs="Arial" w:eastAsia="Arial" w:hAnsi="Arial"/>
          <w:color w:val="2E7D6B"/>
          <w:sz w:val="20"/>
          <w:szCs w:val="20"/>
        </w:rPr>
        <w:t xml:space="preserve">□  </w:t>
      </w:r>
      <w:r>
        <w:rPr>
          <w:rFonts w:ascii="Arial" w:cs="Arial" w:eastAsia="Arial" w:hAnsi="Arial"/>
          <w:sz w:val="20"/>
          <w:szCs w:val="20"/>
        </w:rPr>
        <w:t xml:space="preserve">Source logged (URL, date; screenshot for Canada, Australia, and NZ). UK: Companies House match and written justification on file.</w:t>
      </w:r>
    </w:p>
    <w:p>
      <w:pPr>
        <w:spacing w:after="60"/>
        <w:ind w:left="360" w:hanging="280"/>
      </w:pPr>
      <w:r>
        <w:rPr>
          <w:rFonts w:ascii="Arial" w:cs="Arial" w:eastAsia="Arial" w:hAnsi="Arial"/>
          <w:color w:val="2E7D6B"/>
          <w:sz w:val="20"/>
          <w:szCs w:val="20"/>
        </w:rPr>
        <w:t xml:space="preserve">□  </w:t>
      </w:r>
      <w:r>
        <w:rPr>
          <w:rFonts w:ascii="Arial" w:cs="Arial" w:eastAsia="Arial" w:hAnsi="Arial"/>
          <w:sz w:val="20"/>
          <w:szCs w:val="20"/>
        </w:rPr>
        <w:t xml:space="preserve">Not on the global unsubscribe list</w:t>
      </w:r>
    </w:p>
    <w:p>
      <w:pPr>
        <w:spacing w:after="60"/>
        <w:ind w:left="360" w:hanging="280"/>
      </w:pPr>
      <w:r>
        <w:rPr>
          <w:rFonts w:ascii="Arial" w:cs="Arial" w:eastAsia="Arial" w:hAnsi="Arial"/>
          <w:color w:val="2E7D6B"/>
          <w:sz w:val="20"/>
          <w:szCs w:val="20"/>
        </w:rPr>
        <w:t xml:space="preserve">□  </w:t>
      </w:r>
      <w:r>
        <w:rPr>
          <w:rFonts w:ascii="Arial" w:cs="Arial" w:eastAsia="Arial" w:hAnsi="Arial"/>
          <w:sz w:val="20"/>
          <w:szCs w:val="20"/>
        </w:rPr>
        <w:t xml:space="preserve">Named sender; honest subject line</w:t>
      </w:r>
    </w:p>
    <w:p>
      <w:pPr>
        <w:spacing w:after="60"/>
        <w:ind w:left="360" w:hanging="280"/>
      </w:pPr>
      <w:r>
        <w:rPr>
          <w:rFonts w:ascii="Arial" w:cs="Arial" w:eastAsia="Arial" w:hAnsi="Arial"/>
          <w:color w:val="2E7D6B"/>
          <w:sz w:val="20"/>
          <w:szCs w:val="20"/>
        </w:rPr>
        <w:t xml:space="preserve">□  </w:t>
      </w:r>
      <w:r>
        <w:rPr>
          <w:rFonts w:ascii="Arial" w:cs="Arial" w:eastAsia="Arial" w:hAnsi="Arial"/>
          <w:sz w:val="20"/>
          <w:szCs w:val="20"/>
        </w:rPr>
        <w:t xml:space="preserve">Footer includes: GrowMailers full name, mailing address, statement that this is about GrowMailers' services, data source note (for UK and EU), simple one-click unsubscribe</w:t>
      </w:r>
    </w:p>
    <w:p>
      <w:pPr>
        <w:spacing w:after="60"/>
        <w:ind w:left="360" w:hanging="280"/>
      </w:pPr>
      <w:r>
        <w:rPr>
          <w:rFonts w:ascii="Arial" w:cs="Arial" w:eastAsia="Arial" w:hAnsi="Arial"/>
          <w:color w:val="2E7D6B"/>
          <w:sz w:val="20"/>
          <w:szCs w:val="20"/>
        </w:rPr>
        <w:t xml:space="preserve">□  </w:t>
      </w:r>
      <w:r>
        <w:rPr>
          <w:rFonts w:ascii="Arial" w:cs="Arial" w:eastAsia="Arial" w:hAnsi="Arial"/>
          <w:sz w:val="20"/>
          <w:szCs w:val="20"/>
        </w:rPr>
        <w:t xml:space="preserve">Sequence of 3–4 messages over about 3 weeks, stopping at any reply</w:t>
      </w:r>
    </w:p>
    <w:p>
      <w:pPr>
        <w:spacing w:after="60" w:before="0"/>
      </w:pPr>
    </w:p>
    <w:p>
      <w:pPr>
        <w:pStyle w:val="Heading2"/>
        <w:keepNext/>
      </w:pPr>
      <w:r>
        <w:rPr>
          <w:rFonts w:ascii="Arial" w:cs="Arial" w:eastAsia="Arial" w:hAnsi="Arial"/>
        </w:rPr>
        <w:t xml:space="preserve">16.7 GrowMailers' own outreach setup</w:t>
      </w:r>
    </w:p>
    <w:p>
      <w:r>
        <w:rPr>
          <w:rFonts w:ascii="Arial" w:cs="Arial" w:eastAsia="Arial" w:hAnsi="Arial"/>
          <w:sz w:val="20"/>
          <w:szCs w:val="20"/>
        </w:rPr>
        <w:t xml:space="preserve">A deliverability agency's own outreach is its first case study. Follow these rules:</w:t>
      </w:r>
    </w:p>
    <w:p>
      <w:pPr>
        <w:pStyle w:val="ListParagraph"/>
        <w:numPr>
          <w:ilvl w:val="0"/>
          <w:numId w:val="2"/>
        </w:numPr>
        <w:spacing w:after="60"/>
      </w:pPr>
      <w:r>
        <w:rPr>
          <w:rFonts w:ascii="Arial" w:cs="Arial" w:eastAsia="Arial" w:hAnsi="Arial"/>
          <w:b/>
          <w:bCs/>
          <w:sz w:val="20"/>
          <w:szCs w:val="20"/>
        </w:rPr>
        <w:t xml:space="preserve">Keep cold outreach on separate domains</w:t>
      </w:r>
      <w:r>
        <w:rPr>
          <w:rFonts w:ascii="Arial" w:cs="Arial" w:eastAsia="Arial" w:hAnsi="Arial"/>
          <w:sz w:val="20"/>
          <w:szCs w:val="20"/>
        </w:rPr>
        <w:t xml:space="preserve">, away from growmailers.com</w:t>
      </w:r>
    </w:p>
    <w:p>
      <w:pPr>
        <w:pStyle w:val="ListParagraph"/>
        <w:numPr>
          <w:ilvl w:val="0"/>
          <w:numId w:val="2"/>
        </w:numPr>
        <w:spacing w:after="60"/>
      </w:pPr>
      <w:r>
        <w:rPr>
          <w:rFonts w:ascii="Arial" w:cs="Arial" w:eastAsia="Arial" w:hAnsi="Arial"/>
          <w:b/>
          <w:bCs/>
          <w:sz w:val="20"/>
          <w:szCs w:val="20"/>
        </w:rPr>
        <w:t xml:space="preserve">Authenticate every outreach domain fully</w:t>
      </w:r>
      <w:r>
        <w:rPr>
          <w:rFonts w:ascii="Arial" w:cs="Arial" w:eastAsia="Arial" w:hAnsi="Arial"/>
          <w:sz w:val="20"/>
          <w:szCs w:val="20"/>
        </w:rPr>
        <w:t xml:space="preserve"> (SPF, DKIM, and DMARC, moving toward blocking mode)</w:t>
      </w:r>
    </w:p>
    <w:p>
      <w:pPr>
        <w:pStyle w:val="ListParagraph"/>
        <w:numPr>
          <w:ilvl w:val="0"/>
          <w:numId w:val="2"/>
        </w:numPr>
        <w:spacing w:after="60"/>
      </w:pPr>
      <w:r>
        <w:rPr>
          <w:rFonts w:ascii="Arial" w:cs="Arial" w:eastAsia="Arial" w:hAnsi="Arial"/>
          <w:b/>
          <w:bCs/>
          <w:sz w:val="20"/>
          <w:szCs w:val="20"/>
        </w:rPr>
        <w:t xml:space="preserve">Stop all fake warm-up immediately</w:t>
      </w:r>
      <w:r>
        <w:rPr>
          <w:rFonts w:ascii="Arial" w:cs="Arial" w:eastAsia="Arial" w:hAnsi="Arial"/>
          <w:sz w:val="20"/>
          <w:szCs w:val="20"/>
        </w:rPr>
        <w:t xml:space="preserve"> (Section 13.6, Heatwave blocklist risk)</w:t>
      </w:r>
    </w:p>
    <w:p>
      <w:pPr>
        <w:pStyle w:val="ListParagraph"/>
        <w:numPr>
          <w:ilvl w:val="0"/>
          <w:numId w:val="2"/>
        </w:numPr>
        <w:spacing w:after="60"/>
      </w:pPr>
      <w:r>
        <w:rPr>
          <w:rFonts w:ascii="Arial" w:cs="Arial" w:eastAsia="Arial" w:hAnsi="Arial"/>
          <w:b/>
          <w:bCs/>
          <w:sz w:val="20"/>
          <w:szCs w:val="20"/>
        </w:rPr>
        <w:t xml:space="preserve">Keep volume low and human:</w:t>
      </w:r>
      <w:r>
        <w:rPr>
          <w:rFonts w:ascii="Arial" w:cs="Arial" w:eastAsia="Arial" w:hAnsi="Arial"/>
          <w:sz w:val="20"/>
          <w:szCs w:val="20"/>
        </w:rPr>
        <w:t xml:space="preserve"> researched, personal emails at a steady per-mailbox pace</w:t>
      </w:r>
    </w:p>
    <w:p>
      <w:pPr>
        <w:pStyle w:val="ListParagraph"/>
        <w:numPr>
          <w:ilvl w:val="0"/>
          <w:numId w:val="2"/>
        </w:numPr>
        <w:spacing w:after="60"/>
      </w:pPr>
      <w:r>
        <w:rPr>
          <w:rFonts w:ascii="Arial" w:cs="Arial" w:eastAsia="Arial" w:hAnsi="Arial"/>
          <w:sz w:val="20"/>
          <w:szCs w:val="20"/>
        </w:rPr>
        <w:t xml:space="preserve">Check blocklists and Google Postmaster data every week; keep bounce rate below 2%</w:t>
      </w:r>
    </w:p>
    <w:p>
      <w:pPr>
        <w:spacing w:after="60" w:before="0"/>
      </w:pPr>
    </w:p>
    <w:p>
      <w:r>
        <w:rPr>
          <w:rFonts w:ascii="Arial" w:cs="Arial" w:eastAsia="Arial" w:hAnsi="Arial"/>
          <w:sz w:val="20"/>
          <w:szCs w:val="20"/>
        </w:rPr>
        <w:t xml:space="preserve">New Shopify owners are flooded with cold sales pitches. Online communities often label them scams, and they call out Gmail senders and "your store has a problem" subject lines specifically. What works is the opposite: a specific free fix shown in a short screen recording, with no pitch attached. Public "free audit" offers in forums almost never get a reply.</w:t>
      </w:r>
    </w:p>
    <w:p>
      <w:pPr>
        <w:pStyle w:val="Heading2"/>
        <w:keepNext/>
      </w:pPr>
      <w:r>
        <w:rPr>
          <w:rFonts w:ascii="Arial" w:cs="Arial" w:eastAsia="Arial" w:hAnsi="Arial"/>
        </w:rPr>
        <w:t xml:space="preserve">16.8 Rules our Lhotse clients must follow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4"/>
        <w:gridCol w:w="2122"/>
        <w:gridCol w:w="4244"/>
      </w:tblGrid>
      <w:tr>
        <w:trPr>
          <w:cantSplit/>
          <w:tblHeader/>
        </w:trPr>
        <w:tc>
          <w:tcPr>
            <w:tcW w:type="dxa" w:w="371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Rule</w:t>
            </w:r>
          </w:p>
        </w:tc>
        <w:tc>
          <w:tcPr>
            <w:tcW w:type="dxa" w:w="212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Which country</w:t>
            </w:r>
          </w:p>
        </w:tc>
        <w:tc>
          <w:tcPr>
            <w:tcW w:type="dxa" w:w="4244"/>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it means for Lhotse</w:t>
            </w:r>
          </w:p>
        </w:tc>
      </w:tr>
      <w:tr>
        <w:trPr>
          <w:cantSplit/>
        </w:trPr>
        <w:tc>
          <w:tcPr>
            <w:tcW w:type="dxa" w:w="371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Abandoned checkout is not consent</w:t>
            </w:r>
          </w:p>
        </w:tc>
        <w:tc>
          <w:tcPr>
            <w:tcW w:type="dxa" w:w="21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w:t>
            </w:r>
          </w:p>
        </w:tc>
        <w:tc>
          <w:tcPr>
            <w:tcW w:type="dxa" w:w="42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email Canadian cart abandoners with consent or an existing business relationship</w:t>
            </w:r>
          </w:p>
        </w:tc>
      </w:tr>
      <w:tr>
        <w:trPr>
          <w:cantSplit/>
        </w:trPr>
        <w:tc>
          <w:tcPr>
            <w:tcW w:type="dxa" w:w="371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Soft opt-in for past customers</w:t>
            </w:r>
          </w:p>
        </w:tc>
        <w:tc>
          <w:tcPr>
            <w:tcW w:type="dxa" w:w="21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UK</w:t>
            </w:r>
          </w:p>
        </w:tc>
        <w:tc>
          <w:tcPr>
            <w:tcW w:type="dxa" w:w="42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Past customers may get marketing for similar products, with an unsubscribe in every message</w:t>
            </w:r>
          </w:p>
        </w:tc>
      </w:tr>
      <w:tr>
        <w:trPr>
          <w:cantSplit/>
        </w:trPr>
        <w:tc>
          <w:tcPr>
            <w:tcW w:type="dxa" w:w="371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Unsubscribe within 2 days / 5 working days</w:t>
            </w:r>
          </w:p>
        </w:tc>
        <w:tc>
          <w:tcPr>
            <w:tcW w:type="dxa" w:w="21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Yahoo / Australia and NZ</w:t>
            </w:r>
          </w:p>
        </w:tc>
        <w:tc>
          <w:tcPr>
            <w:tcW w:type="dxa" w:w="42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Never delay processing unsubscribes</w:t>
            </w:r>
          </w:p>
        </w:tc>
      </w:tr>
      <w:tr>
        <w:trPr>
          <w:cantSplit/>
        </w:trPr>
        <w:tc>
          <w:tcPr>
            <w:tcW w:type="dxa" w:w="371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Written consent for marketing texts</w:t>
            </w:r>
          </w:p>
        </w:tc>
        <w:tc>
          <w:tcPr>
            <w:tcW w:type="dxa" w:w="21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w:t>
            </w:r>
          </w:p>
        </w:tc>
        <w:tc>
          <w:tcPr>
            <w:tcW w:type="dxa" w:w="42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Separate text message consent with clear disclosure; respect quiet hours</w:t>
            </w:r>
          </w:p>
        </w:tc>
      </w:tr>
      <w:tr>
        <w:trPr>
          <w:cantSplit/>
        </w:trPr>
        <w:tc>
          <w:tcPr>
            <w:tcW w:type="dxa" w:w="371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French-language marketing</w:t>
            </w:r>
          </w:p>
        </w:tc>
        <w:tc>
          <w:tcPr>
            <w:tcW w:type="dxa" w:w="212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Quebec</w:t>
            </w:r>
          </w:p>
        </w:tc>
        <w:tc>
          <w:tcPr>
            <w:tcW w:type="dxa" w:w="4244"/>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French sequences and campaigns for Quebec subscribers</w:t>
            </w:r>
          </w:p>
        </w:tc>
      </w:tr>
      <w:tr>
        <w:trPr>
          <w:cantSplit/>
        </w:trPr>
        <w:tc>
          <w:tcPr>
            <w:tcW w:type="dxa" w:w="371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Health and supplement claims</w:t>
            </w:r>
          </w:p>
        </w:tc>
        <w:tc>
          <w:tcPr>
            <w:tcW w:type="dxa" w:w="212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UK, Australia</w:t>
            </w:r>
          </w:p>
        </w:tc>
        <w:tc>
          <w:tcPr>
            <w:tcW w:type="dxa" w:w="4244"/>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Review every health claim in copy against FTC, ASA, and TGA rules</w:t>
            </w:r>
          </w:p>
        </w:tc>
      </w:tr>
    </w:tbl>
    <w:p>
      <w:pPr>
        <w:spacing w:after="120" w:before="0"/>
      </w:pPr>
    </w:p>
    <w:p>
      <w:pPr>
        <w:pStyle w:val="Heading1"/>
        <w:keepNext/>
      </w:pPr>
      <w:r>
        <w:rPr>
          <w:rFonts w:ascii="Arial" w:cs="Arial" w:eastAsia="Arial" w:hAnsi="Arial"/>
        </w:rPr>
        <w:t xml:space="preserve">17. How to Find Clients, Audit Their Setup, and Close the Sale</w:t>
      </w:r>
    </w:p>
    <w:p>
      <w:pPr>
        <w:pBdr>
          <w:left w:val="single" w:color="2E7D6B" w:sz="24" w:space="8"/>
        </w:pBdr>
        <w:shd w:fill="EAF4F1" w:color="auto" w:val="clear"/>
        <w:spacing w:after="200" w:before="120" w:line="276"/>
        <w:ind w:left="180" w:right="180"/>
      </w:pPr>
      <w:r>
        <w:rPr>
          <w:rFonts w:ascii="Arial" w:cs="Arial" w:eastAsia="Arial" w:hAnsi="Arial"/>
          <w:b/>
          <w:bCs/>
          <w:sz w:val="20"/>
          <w:szCs w:val="20"/>
        </w:rPr>
        <w:t xml:space="preserve">Bottom line:</w:t>
      </w:r>
      <w:r>
        <w:rPr>
          <w:rFonts w:ascii="Arial" w:cs="Arial" w:eastAsia="Arial" w:hAnsi="Arial"/>
          <w:sz w:val="20"/>
          <w:szCs w:val="20"/>
        </w:rPr>
        <w:t xml:space="preserve"> GrowMailers wins by showing real work, not just talking about it. Build a precise list of prospects. Run a 15-minute audit from the outside (no login needed). Send one specific free fix in a short personalized video. Then qualify using the prospect's own numbers. Every step in this section can be repeated by a researcher and will hold up in front of a technical buyer.</w:t>
      </w:r>
    </w:p>
    <w:p>
      <w:pPr>
        <w:pStyle w:val="Heading2"/>
        <w:keepNext/>
      </w:pPr>
      <w:r>
        <w:rPr>
          <w:rFonts w:ascii="Arial" w:cs="Arial" w:eastAsia="Arial" w:hAnsi="Arial"/>
        </w:rPr>
        <w:t xml:space="preserve">17.1 The full pipeline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7"/>
          <w:szCs w:val="17"/>
        </w:rPr>
        <w:t xml:space="preserve">  SOURCE → GATE → SCORE → AUDIT → OUTREACH → DISCOVERY → PROPOSAL → CLOSE → ONBOARD</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Store     Hard    LFS +   15-min  Video +    Their        Ascent      Signed  30-day plan</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Leads     gates   AUS     external email     numbers →    or Lhotse           + holdouts</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7"/>
          <w:szCs w:val="17"/>
        </w:rPr>
        <w:t xml:space="preserve">  (18.2)    (5.1)   (4.3)   (18.3)  (18.4-5)  model (18.6)   (18.8)</w:t>
      </w:r>
    </w:p>
    <w:p>
      <w:pPr>
        <w:pStyle w:val="Heading2"/>
        <w:keepNext/>
      </w:pPr>
      <w:r>
        <w:rPr>
          <w:rFonts w:ascii="Arial" w:cs="Arial" w:eastAsia="Arial" w:hAnsi="Arial"/>
        </w:rPr>
        <w:t xml:space="preserve">17.2 Step 1: Build the prospect 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5"/>
        <w:gridCol w:w="6815"/>
      </w:tblGrid>
      <w:tr>
        <w:trPr>
          <w:cantSplit/>
          <w:tblHeader/>
        </w:trPr>
        <w:tc>
          <w:tcPr>
            <w:tcW w:type="dxa" w:w="326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Store Leads filter</w:t>
            </w:r>
          </w:p>
        </w:tc>
        <w:tc>
          <w:tcPr>
            <w:tcW w:type="dxa" w:w="6815"/>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to set</w:t>
            </w:r>
          </w:p>
        </w:tc>
      </w:tr>
      <w:tr>
        <w:trPr>
          <w:cantSplit/>
        </w:trPr>
        <w:tc>
          <w:tcPr>
            <w:tcW w:type="dxa" w:w="32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Platform and country</w:t>
            </w:r>
          </w:p>
        </w:tc>
        <w:tc>
          <w:tcPr>
            <w:tcW w:type="dxa" w:w="68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or Shopify Plus; US, UK, Canada, Australia, Ireland, or NZ</w:t>
            </w:r>
          </w:p>
        </w:tc>
      </w:tr>
      <w:tr>
        <w:trPr>
          <w:cantSplit/>
        </w:trPr>
        <w:tc>
          <w:tcPr>
            <w:tcW w:type="dxa" w:w="32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Estimated monthly sales</w:t>
            </w:r>
          </w:p>
        </w:tc>
        <w:tc>
          <w:tcPr>
            <w:tcW w:type="dxa" w:w="681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$83k+/month for Ascent. For Lhotse: $250k+/month for beauty and supplements, $333k+/month for pet, $417k+/month for food.</w:t>
            </w:r>
          </w:p>
        </w:tc>
      </w:tr>
      <w:tr>
        <w:trPr>
          <w:cantSplit/>
        </w:trPr>
        <w:tc>
          <w:tcPr>
            <w:tcW w:type="dxa" w:w="32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Apps to include</w:t>
            </w:r>
          </w:p>
        </w:tc>
        <w:tc>
          <w:tcPr>
            <w:tcW w:type="dxa" w:w="68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Klaviyo</w:t>
            </w:r>
          </w:p>
        </w:tc>
      </w:tr>
      <w:tr>
        <w:trPr>
          <w:cantSplit/>
        </w:trPr>
        <w:tc>
          <w:tcPr>
            <w:tcW w:type="dxa" w:w="32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Apps to exclude</w:t>
            </w:r>
          </w:p>
        </w:tc>
        <w:tc>
          <w:tcPr>
            <w:tcW w:type="dxa" w:w="681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Printful, Printify, Fourthwall; DSers, Zendrop, AutoDS, CJdropshipping</w:t>
            </w:r>
          </w:p>
        </w:tc>
      </w:tr>
      <w:tr>
        <w:trPr>
          <w:cantSplit/>
        </w:trPr>
        <w:tc>
          <w:tcPr>
            <w:tcW w:type="dxa" w:w="326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Product categories</w:t>
            </w:r>
          </w:p>
        </w:tc>
        <w:tc>
          <w:tcPr>
            <w:tcW w:type="dxa" w:w="6815"/>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Beauty and fitness, health, food and drink, pet (clothing as secondary)</w:t>
            </w:r>
          </w:p>
        </w:tc>
      </w:tr>
      <w:tr>
        <w:trPr>
          <w:cantSplit/>
        </w:trPr>
        <w:tc>
          <w:tcPr>
            <w:tcW w:type="dxa" w:w="326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Post-filter checks</w:t>
            </w:r>
          </w:p>
        </w:tc>
        <w:tc>
          <w:tcPr>
            <w:tcW w:type="dxa" w:w="6815"/>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Registered-agent address trap (Section 5.5); marketplace-led; hired email agency in last 6 months</w:t>
            </w:r>
          </w:p>
        </w:tc>
      </w:tr>
    </w:tbl>
    <w:p>
      <w:pPr>
        <w:spacing w:after="120" w:before="0"/>
      </w:pPr>
    </w:p>
    <w:p>
      <w:pPr>
        <w:pStyle w:val="Heading2"/>
        <w:keepNext/>
      </w:pPr>
      <w:r>
        <w:rPr>
          <w:rFonts w:ascii="Arial" w:cs="Arial" w:eastAsia="Arial" w:hAnsi="Arial"/>
        </w:rPr>
        <w:t xml:space="preserve">17.3 Step 2: The 15-minute outside audit (no login needed)</w:t>
      </w:r>
    </w:p>
    <w:p>
      <w:r>
        <w:rPr>
          <w:rFonts w:ascii="Arial" w:cs="Arial" w:eastAsia="Arial" w:hAnsi="Arial"/>
          <w:b/>
          <w:bCs/>
          <w:sz w:val="20"/>
          <w:szCs w:val="20"/>
        </w:rPr>
        <w:t xml:space="preserve">Boundaries:</w:t>
      </w:r>
      <w:r>
        <w:rPr>
          <w:rFonts w:ascii="Arial" w:cs="Arial" w:eastAsia="Arial" w:hAnsi="Arial"/>
          <w:sz w:val="20"/>
          <w:szCs w:val="20"/>
        </w:rPr>
        <w:t xml:space="preserve"> only use publicly available DNS records and emails received as a regular subscriber. No login attempts, no scanning tools, no spoofing tests, and no contact with the brand's customers.</w:t>
      </w:r>
    </w:p>
    <w:p>
      <w:r>
        <w:rPr>
          <w:rFonts w:ascii="Arial" w:cs="Arial" w:eastAsia="Arial" w:hAnsi="Arial"/>
          <w:sz w:val="20"/>
          <w:szCs w:val="20"/>
        </w:rPr>
        <w:t xml:space="preserve">Run these commands in a terminal (replace "brand.com" with the real domain):</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4"/>
          <w:szCs w:val="14"/>
        </w:rPr>
        <w:t xml:space="preserve">DOMAIN=brand.com</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4"/>
          <w:szCs w:val="14"/>
        </w:rPr>
        <w:t xml:space="preserve">dig +short TXT $DOMAIN | grep -i "v=spf1"             # 1. SPF: expect exactly ONE record</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4"/>
          <w:szCs w:val="14"/>
        </w:rPr>
        <w:t xml:space="preserve">dig +short TXT _dmarc.$DOMAIN                          # 2. DMARC: expect exactly ONE v=DMARC1 record</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4"/>
          <w:szCs w:val="14"/>
        </w:rPr>
        <w:t xml:space="preserve">dig +short MX $DOMAIN                                  # 3. What email provider they use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4"/>
          <w:szCs w:val="14"/>
        </w:rPr>
        <w:t xml:space="preserve">dig +short TXT send.$DOMAIN                            # 4. Sending subdomain (from Return-Path in their email)</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4"/>
          <w:szCs w:val="14"/>
        </w:rPr>
        <w:t xml:space="preserve">dig +short TXT &lt;selector&gt;._domainkey.&lt;d-domain&gt;        # 5. DKIM key (from their email's headers)</w:t>
      </w:r>
    </w:p>
    <w:p>
      <w:r>
        <w:rPr>
          <w:rFonts w:ascii="Arial" w:cs="Arial" w:eastAsia="Arial" w:hAnsi="Arial"/>
          <w:sz w:val="20"/>
          <w:szCs w:val="20"/>
        </w:rPr>
        <w:t xml:space="preserve">Count SPF lookups manually or with a free online SPF checker (the limit is 10). Then subscribe with a Gmail and an Outlook test inbox and check: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2"/>
        <w:gridCol w:w="3836"/>
        <w:gridCol w:w="4282"/>
      </w:tblGrid>
      <w:tr>
        <w:trPr>
          <w:cantSplit/>
          <w:tblHeader/>
        </w:trPr>
        <w:tc>
          <w:tcPr>
            <w:tcW w:type="dxa" w:w="196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to check</w:t>
            </w:r>
          </w:p>
        </w:tc>
        <w:tc>
          <w:tcPr>
            <w:tcW w:type="dxa" w:w="383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Where to look</w:t>
            </w:r>
          </w:p>
        </w:tc>
        <w:tc>
          <w:tcPr>
            <w:tcW w:type="dxa" w:w="428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a problem looks like</w:t>
            </w:r>
          </w:p>
        </w:tc>
      </w:tr>
      <w:tr>
        <w:trPr>
          <w:cantSplit/>
        </w:trPr>
        <w:tc>
          <w:tcPr>
            <w:tcW w:type="dxa" w:w="196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Sender label</w:t>
            </w:r>
          </w:p>
        </w:tc>
        <w:tc>
          <w:tcPr>
            <w:tcW w:type="dxa" w:w="38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"From" line</w:t>
            </w:r>
          </w:p>
        </w:tc>
        <w:tc>
          <w:tcPr>
            <w:tcW w:type="dxa" w:w="42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"via klaviyomail.com" or sender rewritten to shopifyemail.com</w:t>
            </w:r>
          </w:p>
        </w:tc>
      </w:tr>
      <w:tr>
        <w:trPr>
          <w:cantSplit/>
        </w:trPr>
        <w:tc>
          <w:tcPr>
            <w:tcW w:type="dxa" w:w="196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Security settings</w:t>
            </w:r>
          </w:p>
        </w:tc>
        <w:tc>
          <w:tcPr>
            <w:tcW w:type="dxa" w:w="38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 Show original message</w:t>
            </w:r>
          </w:p>
        </w:tc>
        <w:tc>
          <w:tcPr>
            <w:tcW w:type="dxa" w:w="42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SPF, DKIM, or DMARC showing "fail" instead of "pass"; From domain not matching</w:t>
            </w:r>
          </w:p>
        </w:tc>
      </w:tr>
      <w:tr>
        <w:trPr>
          <w:cantSplit/>
        </w:trPr>
        <w:tc>
          <w:tcPr>
            <w:tcW w:type="dxa" w:w="196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One-click unsubscribe</w:t>
            </w:r>
          </w:p>
        </w:tc>
        <w:tc>
          <w:tcPr>
            <w:tcW w:type="dxa" w:w="38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 header: List-Unsubscribe-Post</w:t>
            </w:r>
          </w:p>
        </w:tc>
        <w:tc>
          <w:tcPr>
            <w:tcW w:type="dxa" w:w="42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Missing on marketing emails</w:t>
            </w:r>
          </w:p>
        </w:tc>
      </w:tr>
      <w:tr>
        <w:trPr>
          <w:cantSplit/>
        </w:trPr>
        <w:tc>
          <w:tcPr>
            <w:tcW w:type="dxa" w:w="196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Welcome email delivery</w:t>
            </w:r>
          </w:p>
        </w:tc>
        <w:tc>
          <w:tcPr>
            <w:tcW w:type="dxa" w:w="38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When it arrives and which folder</w:t>
            </w:r>
          </w:p>
        </w:tc>
        <w:tc>
          <w:tcPr>
            <w:tcW w:type="dxa" w:w="42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More than 1 hour late, or landing in Outlook junk</w:t>
            </w:r>
          </w:p>
        </w:tc>
      </w:tr>
      <w:tr>
        <w:trPr>
          <w:cantSplit/>
        </w:trPr>
        <w:tc>
          <w:tcPr>
            <w:tcW w:type="dxa" w:w="196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Sequence depth</w:t>
            </w:r>
          </w:p>
        </w:tc>
        <w:tc>
          <w:tcPr>
            <w:tcW w:type="dxa" w:w="38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Emails received over 14 days</w:t>
            </w:r>
          </w:p>
        </w:tc>
        <w:tc>
          <w:tcPr>
            <w:tcW w:type="dxa" w:w="42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Single welcome email; daily blasts to a subscriber who never clicked</w:t>
            </w:r>
          </w:p>
        </w:tc>
      </w:tr>
      <w:tr>
        <w:trPr>
          <w:cantSplit/>
        </w:trPr>
        <w:tc>
          <w:tcPr>
            <w:tcW w:type="dxa" w:w="196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Form protection</w:t>
            </w:r>
          </w:p>
        </w:tc>
        <w:tc>
          <w:tcPr>
            <w:tcW w:type="dxa" w:w="383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Sign-up popup on the site</w:t>
            </w:r>
          </w:p>
        </w:tc>
        <w:tc>
          <w:tcPr>
            <w:tcW w:type="dxa" w:w="428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CAPTCHA; no double opt-in on risky sources</w:t>
            </w:r>
          </w:p>
        </w:tc>
      </w:tr>
      <w:tr>
        <w:trPr>
          <w:cantSplit/>
        </w:trPr>
        <w:tc>
          <w:tcPr>
            <w:tcW w:type="dxa" w:w="196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Browse and cart</w:t>
            </w:r>
          </w:p>
        </w:tc>
        <w:tc>
          <w:tcPr>
            <w:tcW w:type="dxa" w:w="383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Browse, then start checkout while logged in</w:t>
            </w:r>
          </w:p>
        </w:tc>
        <w:tc>
          <w:tcPr>
            <w:tcW w:type="dxa" w:w="428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follow-up within 48 hours</w:t>
            </w:r>
          </w:p>
        </w:tc>
      </w:tr>
    </w:tbl>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6"/>
        <w:gridCol w:w="2159"/>
        <w:gridCol w:w="902"/>
        <w:gridCol w:w="3703"/>
      </w:tblGrid>
      <w:tr>
        <w:trPr>
          <w:cantSplit/>
          <w:tblHeader/>
        </w:trPr>
        <w:tc>
          <w:tcPr>
            <w:tcW w:type="dxa" w:w="3316"/>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Finding</w:t>
            </w:r>
          </w:p>
        </w:tc>
        <w:tc>
          <w:tcPr>
            <w:tcW w:type="dxa" w:w="215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serious</w:t>
            </w:r>
          </w:p>
        </w:tc>
        <w:tc>
          <w:tcPr>
            <w:tcW w:type="dxa" w:w="902"/>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Which service</w:t>
            </w:r>
          </w:p>
        </w:tc>
        <w:tc>
          <w:tcPr>
            <w:tcW w:type="dxa" w:w="370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How to describe it simply</w:t>
            </w:r>
          </w:p>
        </w:tc>
      </w:tr>
      <w:tr>
        <w:trPr>
          <w:cantSplit/>
        </w:trPr>
        <w:tc>
          <w:tcPr>
            <w:tcW w:type="dxa" w:w="33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DMARC, or two records</w:t>
            </w:r>
          </w:p>
        </w:tc>
        <w:tc>
          <w:tcPr>
            <w:tcW w:type="dxa" w:w="21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w:t>
            </w:r>
          </w:p>
        </w:tc>
        <w:tc>
          <w:tcPr>
            <w:tcW w:type="dxa" w:w="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w:t>
            </w:r>
          </w:p>
        </w:tc>
        <w:tc>
          <w:tcPr>
            <w:tcW w:type="dxa" w:w="37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"Your domain has no DMARC record, which Gmail and Yahoo now require from bulk senders. It's a two-minute DNS fix."</w:t>
            </w:r>
          </w:p>
        </w:tc>
      </w:tr>
      <w:tr>
        <w:trPr>
          <w:cantSplit/>
        </w:trPr>
        <w:tc>
          <w:tcPr>
            <w:tcW w:type="dxa" w:w="33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Shared Klaviyo domain on 5,000+ subscribers</w:t>
            </w:r>
          </w:p>
        </w:tc>
        <w:tc>
          <w:tcPr>
            <w:tcW w:type="dxa" w:w="21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w:t>
            </w:r>
          </w:p>
        </w:tc>
        <w:tc>
          <w:tcPr>
            <w:tcW w:type="dxa" w:w="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w:t>
            </w:r>
          </w:p>
        </w:tc>
        <w:tc>
          <w:tcPr>
            <w:tcW w:type="dxa" w:w="370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"Your emails say 'via klaviyomail.com,' meaning your reputation is pooled with other senders."</w:t>
            </w:r>
          </w:p>
        </w:tc>
      </w:tr>
      <w:tr>
        <w:trPr>
          <w:cantSplit/>
        </w:trPr>
        <w:tc>
          <w:tcPr>
            <w:tcW w:type="dxa" w:w="33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sender rewrite</w:t>
            </w:r>
          </w:p>
        </w:tc>
        <w:tc>
          <w:tcPr>
            <w:tcW w:type="dxa" w:w="21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w:t>
            </w:r>
          </w:p>
        </w:tc>
        <w:tc>
          <w:tcPr>
            <w:tcW w:type="dxa" w:w="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w:t>
            </w:r>
          </w:p>
        </w:tc>
        <w:tc>
          <w:tcPr>
            <w:tcW w:type="dxa" w:w="37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 is replacing your sender address with shopifyemail.com because of a security gap."</w:t>
            </w:r>
          </w:p>
        </w:tc>
      </w:tr>
      <w:tr>
        <w:trPr>
          <w:cantSplit/>
        </w:trPr>
        <w:tc>
          <w:tcPr>
            <w:tcW w:type="dxa" w:w="33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Landing in Outlook junk</w:t>
            </w:r>
          </w:p>
        </w:tc>
        <w:tc>
          <w:tcPr>
            <w:tcW w:type="dxa" w:w="21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High (UK, Canada, Australia)</w:t>
            </w:r>
          </w:p>
        </w:tc>
        <w:tc>
          <w:tcPr>
            <w:tcW w:type="dxa" w:w="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w:t>
            </w:r>
          </w:p>
        </w:tc>
        <w:tc>
          <w:tcPr>
            <w:tcW w:type="dxa" w:w="370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"Your welcome email landed in Outlook junk, and about a third of UK inboxes are Microsoft."</w:t>
            </w:r>
          </w:p>
        </w:tc>
      </w:tr>
      <w:tr>
        <w:trPr>
          <w:cantSplit/>
        </w:trPr>
        <w:tc>
          <w:tcPr>
            <w:tcW w:type="dxa" w:w="33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No one-click unsubscribe / SPF over limit</w:t>
            </w:r>
          </w:p>
        </w:tc>
        <w:tc>
          <w:tcPr>
            <w:tcW w:type="dxa" w:w="21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w:t>
            </w:r>
          </w:p>
        </w:tc>
        <w:tc>
          <w:tcPr>
            <w:tcW w:type="dxa" w:w="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Ascent</w:t>
            </w:r>
          </w:p>
        </w:tc>
        <w:tc>
          <w:tcPr>
            <w:tcW w:type="dxa" w:w="37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"Gmail requires a one-click unsubscribe." / "Your SPF record has too many lookups."</w:t>
            </w:r>
          </w:p>
        </w:tc>
      </w:tr>
      <w:tr>
        <w:trPr>
          <w:cantSplit/>
        </w:trPr>
        <w:tc>
          <w:tcPr>
            <w:tcW w:type="dxa" w:w="3316"/>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Only one welcome email</w:t>
            </w:r>
          </w:p>
        </w:tc>
        <w:tc>
          <w:tcPr>
            <w:tcW w:type="dxa" w:w="215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w:t>
            </w:r>
          </w:p>
        </w:tc>
        <w:tc>
          <w:tcPr>
            <w:tcW w:type="dxa" w:w="902"/>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w:t>
            </w:r>
          </w:p>
        </w:tc>
        <w:tc>
          <w:tcPr>
            <w:tcW w:type="dxa" w:w="370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"Your welcome is one email, and there's no reorder reminder for a 30-day product."</w:t>
            </w:r>
          </w:p>
        </w:tc>
      </w:tr>
      <w:tr>
        <w:trPr>
          <w:cantSplit/>
        </w:trPr>
        <w:tc>
          <w:tcPr>
            <w:tcW w:type="dxa" w:w="3316"/>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Daily full-list blasts</w:t>
            </w:r>
          </w:p>
        </w:tc>
        <w:tc>
          <w:tcPr>
            <w:tcW w:type="dxa" w:w="215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Medium</w:t>
            </w:r>
          </w:p>
        </w:tc>
        <w:tc>
          <w:tcPr>
            <w:tcW w:type="dxa" w:w="902"/>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Lhotse</w:t>
            </w:r>
          </w:p>
        </w:tc>
        <w:tc>
          <w:tcPr>
            <w:tcW w:type="dxa" w:w="370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"Sending daily to people who never click is what pushes a list into spam."</w:t>
            </w:r>
          </w:p>
        </w:tc>
      </w:tr>
    </w:tbl>
    <w:p>
      <w:pPr>
        <w:spacing w:after="120" w:before="0"/>
      </w:pPr>
    </w:p>
    <w:p>
      <w:pPr>
        <w:pStyle w:val="Heading2"/>
        <w:keepNext/>
      </w:pPr>
      <w:r>
        <w:rPr>
          <w:rFonts w:ascii="Arial" w:cs="Arial" w:eastAsia="Arial" w:hAnsi="Arial"/>
        </w:rPr>
        <w:t xml:space="preserve">17.4 Step 3: Record a 90-second audit video</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93"/>
        <w:gridCol w:w="3158"/>
        <w:gridCol w:w="5829"/>
      </w:tblGrid>
      <w:tr>
        <w:trPr>
          <w:cantSplit/>
          <w:tblHeader/>
        </w:trPr>
        <w:tc>
          <w:tcPr>
            <w:tcW w:type="dxa" w:w="1093"/>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Time</w:t>
            </w:r>
          </w:p>
        </w:tc>
        <w:tc>
          <w:tcPr>
            <w:tcW w:type="dxa" w:w="3158"/>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What to do</w:t>
            </w:r>
          </w:p>
        </w:tc>
        <w:tc>
          <w:tcPr>
            <w:tcW w:type="dxa" w:w="5829"/>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Example script</w:t>
            </w:r>
          </w:p>
        </w:tc>
      </w:tr>
      <w:tr>
        <w:trPr>
          <w:cantSplit/>
        </w:trPr>
        <w:tc>
          <w:tcPr>
            <w:tcW w:type="dxa" w:w="109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0:00–0:10</w:t>
            </w:r>
          </w:p>
        </w:tc>
        <w:tc>
          <w:tcPr>
            <w:tcW w:type="dxa" w:w="31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Hook</w:t>
            </w:r>
          </w:p>
        </w:tc>
        <w:tc>
          <w:tcPr>
            <w:tcW w:type="dxa" w:w="5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"Hi [name], I'm [your name] from GrowMailers. I joined the [Brand] list last week, and your [specific email] is genuinely good."</w:t>
            </w:r>
          </w:p>
        </w:tc>
      </w:tr>
      <w:tr>
        <w:trPr>
          <w:cantSplit/>
        </w:trPr>
        <w:tc>
          <w:tcPr>
            <w:tcW w:type="dxa" w:w="109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0:10–0:35</w:t>
            </w:r>
          </w:p>
        </w:tc>
        <w:tc>
          <w:tcPr>
            <w:tcW w:type="dxa" w:w="31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Show the finding on screen</w:t>
            </w:r>
          </w:p>
        </w:tc>
        <w:tc>
          <w:tcPr>
            <w:tcW w:type="dxa" w:w="58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"One thing stood out in the headers. [Show it.] This line means [finding]. In plain terms: [impact]."</w:t>
            </w:r>
          </w:p>
        </w:tc>
      </w:tr>
      <w:tr>
        <w:trPr>
          <w:cantSplit/>
        </w:trPr>
        <w:tc>
          <w:tcPr>
            <w:tcW w:type="dxa" w:w="109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0:35–0:55</w:t>
            </w:r>
          </w:p>
        </w:tc>
        <w:tc>
          <w:tcPr>
            <w:tcW w:type="dxa" w:w="31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Why it matters right now</w:t>
            </w:r>
          </w:p>
        </w:tc>
        <w:tc>
          <w:tcPr>
            <w:tcW w:type="dxa" w:w="5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"With Black Friday on November 27 [or: Gmail's bulk-sender rules], this is the kind of thing that turns into bounces just as volume rises."</w:t>
            </w:r>
          </w:p>
        </w:tc>
      </w:tr>
      <w:tr>
        <w:trPr>
          <w:cantSplit/>
        </w:trPr>
        <w:tc>
          <w:tcPr>
            <w:tcW w:type="dxa" w:w="1093"/>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0:55–1:15</w:t>
            </w:r>
          </w:p>
        </w:tc>
        <w:tc>
          <w:tcPr>
            <w:tcW w:type="dxa" w:w="3158"/>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Give the free fix</w:t>
            </w:r>
          </w:p>
        </w:tc>
        <w:tc>
          <w:tcPr>
            <w:tcW w:type="dxa" w:w="5829"/>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"Here's the exact fix. [Show it.] Your developer can add it in minutes, and it's in the email below."</w:t>
            </w:r>
          </w:p>
        </w:tc>
      </w:tr>
      <w:tr>
        <w:trPr>
          <w:cantSplit/>
        </w:trPr>
        <w:tc>
          <w:tcPr>
            <w:tcW w:type="dxa" w:w="1093"/>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1:15–1:30</w:t>
            </w:r>
          </w:p>
        </w:tc>
        <w:tc>
          <w:tcPr>
            <w:tcW w:type="dxa" w:w="3158"/>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Soft close</w:t>
            </w:r>
          </w:p>
        </w:tc>
        <w:tc>
          <w:tcPr>
            <w:tcW w:type="dxa" w:w="5829"/>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"That's it, no pitch. If you want a second pair of eyes on the rest, just reply."</w:t>
            </w:r>
          </w:p>
        </w:tc>
      </w:tr>
    </w:tbl>
    <w:p>
      <w:pPr>
        <w:spacing w:after="120" w:before="0"/>
      </w:pPr>
    </w:p>
    <w:p>
      <w:r>
        <w:rPr>
          <w:rFonts w:ascii="Arial" w:cs="Arial" w:eastAsia="Arial" w:hAnsi="Arial"/>
          <w:sz w:val="20"/>
          <w:szCs w:val="20"/>
        </w:rPr>
        <w:t xml:space="preserve">Record the real inbox or DNS output, never a generic slide, and keep it under two minutes.</w:t>
      </w:r>
    </w:p>
    <w:p>
      <w:pPr>
        <w:pStyle w:val="Heading2"/>
        <w:keepNext/>
      </w:pPr>
      <w:r>
        <w:rPr>
          <w:rFonts w:ascii="Arial" w:cs="Arial" w:eastAsia="Arial" w:hAnsi="Arial"/>
        </w:rPr>
        <w:t xml:space="preserve">17.5 Step 4: Email templates</w:t>
      </w:r>
    </w:p>
    <w:p>
      <w:r>
        <w:rPr>
          <w:rFonts w:ascii="Arial" w:cs="Arial" w:eastAsia="Arial" w:hAnsi="Arial"/>
          <w:b/>
          <w:bCs/>
          <w:sz w:val="20"/>
          <w:szCs w:val="20"/>
        </w:rPr>
        <w:t xml:space="preserve">Template A: Ascent, to a founder ($1M–$5M brand)</w:t>
      </w:r>
    </w:p>
    <w:p>
      <w:pPr>
        <w:pBdr>
          <w:left w:val="single" w:color="2E7D6B" w:sz="24" w:space="8"/>
        </w:pBdr>
        <w:shd w:fill="EAF4F1" w:color="auto" w:val="clear"/>
        <w:spacing w:after="100" w:before="120" w:line="276"/>
        <w:ind w:left="180" w:right="180"/>
      </w:pPr>
      <w:r>
        <w:rPr>
          <w:rFonts w:ascii="Arial" w:cs="Arial" w:eastAsia="Arial" w:hAnsi="Arial"/>
          <w:b/>
          <w:bCs/>
          <w:sz w:val="20"/>
          <w:szCs w:val="20"/>
        </w:rPr>
        <w:t xml:space="preserve">Subject:</w:t>
      </w:r>
      <w:r>
        <w:rPr>
          <w:rFonts w:ascii="Arial" w:cs="Arial" w:eastAsia="Arial" w:hAnsi="Arial"/>
          <w:sz w:val="20"/>
          <w:szCs w:val="20"/>
        </w:rPr>
        <w:t xml:space="preserve"> [Brand]'s DMARC record</w:t>
      </w:r>
    </w:p>
    <w:p>
      <w:pPr>
        <w:pBdr>
          <w:left w:val="single" w:color="2E7D6B" w:sz="24" w:space="8"/>
        </w:pBdr>
        <w:shd w:fill="EAF4F1" w:color="auto" w:val="clear"/>
        <w:spacing w:after="100" w:before="0" w:line="276"/>
        <w:ind w:left="180" w:right="180"/>
      </w:pPr>
      <w:r>
        <w:rPr>
          <w:rFonts w:ascii="Arial" w:cs="Arial" w:eastAsia="Arial" w:hAnsi="Arial"/>
          <w:sz w:val="20"/>
          <w:szCs w:val="20"/>
        </w:rPr>
        <w:t xml:space="preserve">Hi [first name], I joined the [Brand] list to study your welcome emails (the [detail] one is great) and noticed something in the headers: [plain-English finding]. Since last year, Gmail, Yahoo, and Microsoft have been rejecting bulk email that fails this check, so it's worth fixing before Black Friday volume picks up. It's a small fix, and I recorded 90 seconds showing exactly what to change: [video link]. No strings attached. If you'd like me to look at the rest, just reply.</w:t>
      </w:r>
    </w:p>
    <w:p>
      <w:pPr>
        <w:pBdr>
          <w:left w:val="single" w:color="2E7D6B" w:sz="24" w:space="8"/>
        </w:pBdr>
        <w:shd w:fill="EAF4F1" w:color="auto" w:val="clear"/>
        <w:spacing w:after="100" w:before="0" w:line="276"/>
        <w:ind w:left="180" w:right="180"/>
      </w:pPr>
      <w:r>
        <w:rPr>
          <w:rFonts w:ascii="Arial" w:cs="Arial" w:eastAsia="Arial" w:hAnsi="Arial"/>
          <w:sz w:val="20"/>
          <w:szCs w:val="20"/>
        </w:rPr>
        <w:t xml:space="preserve">[Your name], GrowMailers</w:t>
      </w:r>
    </w:p>
    <w:p>
      <w:pPr>
        <w:pBdr>
          <w:left w:val="single" w:color="2E7D6B" w:sz="24" w:space="8"/>
        </w:pBdr>
        <w:shd w:fill="EAF4F1" w:color="auto" w:val="clear"/>
        <w:spacing w:after="200" w:before="0" w:line="276"/>
        <w:ind w:left="180" w:right="180"/>
      </w:pPr>
      <w:r>
        <w:rPr>
          <w:rFonts w:ascii="Arial" w:cs="Arial" w:eastAsia="Arial" w:hAnsi="Arial"/>
          <w:i/>
          <w:iCs/>
          <w:sz w:val="20"/>
          <w:szCs w:val="20"/>
        </w:rPr>
        <w:t xml:space="preserve">GrowMailers · [mailing address] · A one-off business message about our email services. I found your address on [source]. Reply "no thanks" and I won't contact you again.</w:t>
      </w:r>
    </w:p>
    <w:p>
      <w:r>
        <w:rPr>
          <w:rFonts w:ascii="Arial" w:cs="Arial" w:eastAsia="Arial" w:hAnsi="Arial"/>
          <w:b/>
          <w:bCs/>
          <w:sz w:val="20"/>
          <w:szCs w:val="20"/>
        </w:rPr>
        <w:t xml:space="preserve">Template B: Lhotse, to a Head of Marketing or Head of Growth</w:t>
      </w:r>
    </w:p>
    <w:p>
      <w:pPr>
        <w:pBdr>
          <w:left w:val="single" w:color="2E7D6B" w:sz="24" w:space="8"/>
        </w:pBdr>
        <w:shd w:fill="EAF4F1" w:color="auto" w:val="clear"/>
        <w:spacing w:after="100" w:before="120" w:line="276"/>
        <w:ind w:left="180" w:right="180"/>
      </w:pPr>
      <w:r>
        <w:rPr>
          <w:rFonts w:ascii="Arial" w:cs="Arial" w:eastAsia="Arial" w:hAnsi="Arial"/>
          <w:b/>
          <w:bCs/>
          <w:sz w:val="20"/>
          <w:szCs w:val="20"/>
        </w:rPr>
        <w:t xml:space="preserve">Subject:</w:t>
      </w:r>
      <w:r>
        <w:rPr>
          <w:rFonts w:ascii="Arial" w:cs="Arial" w:eastAsia="Arial" w:hAnsi="Arial"/>
          <w:sz w:val="20"/>
          <w:szCs w:val="20"/>
        </w:rPr>
        <w:t xml:space="preserve"> reorder reminder at [Brand]</w:t>
      </w:r>
    </w:p>
    <w:p>
      <w:pPr>
        <w:pBdr>
          <w:left w:val="single" w:color="2E7D6B" w:sz="24" w:space="8"/>
        </w:pBdr>
        <w:shd w:fill="EAF4F1" w:color="auto" w:val="clear"/>
        <w:spacing w:after="100" w:before="0" w:line="276"/>
        <w:ind w:left="180" w:right="180"/>
      </w:pPr>
      <w:r>
        <w:rPr>
          <w:rFonts w:ascii="Arial" w:cs="Arial" w:eastAsia="Arial" w:hAnsi="Arial"/>
          <w:sz w:val="20"/>
          <w:szCs w:val="20"/>
        </w:rPr>
        <w:t xml:space="preserve">Hi [first name], I've been on the [Brand] list for two weeks. Your campaigns are sharp, but I didn't see a reorder reminder for [product], which is roughly a [N]-day product. At your size, a working reorder and post-purchase system usually needs just 1–3% of monthly orders to be incremental to pay for a full retention team, and we prove it with a holdout control group rather than platform estimates. Worth 20 minutes in January, once peak is behind you?</w:t>
      </w:r>
    </w:p>
    <w:p>
      <w:pPr>
        <w:pBdr>
          <w:left w:val="single" w:color="2E7D6B" w:sz="24" w:space="8"/>
        </w:pBdr>
        <w:shd w:fill="EAF4F1" w:color="auto" w:val="clear"/>
        <w:spacing w:after="200" w:before="0" w:line="276"/>
        <w:ind w:left="180" w:right="180"/>
      </w:pPr>
      <w:r>
        <w:rPr>
          <w:rFonts w:ascii="Arial" w:cs="Arial" w:eastAsia="Arial" w:hAnsi="Arial"/>
          <w:sz w:val="20"/>
          <w:szCs w:val="20"/>
        </w:rPr>
        <w:t xml:space="preserve">[Your name], GrowMailers · </w:t>
      </w:r>
      <w:r>
        <w:rPr>
          <w:rFonts w:ascii="Arial" w:cs="Arial" w:eastAsia="Arial" w:hAnsi="Arial"/>
          <w:i/>
          <w:iCs/>
          <w:sz w:val="20"/>
          <w:szCs w:val="20"/>
        </w:rPr>
        <w:t xml:space="preserve">[compliant footer]</w:t>
      </w:r>
    </w:p>
    <w:p>
      <w:r>
        <w:rPr>
          <w:rFonts w:ascii="Arial" w:cs="Arial" w:eastAsia="Arial" w:hAnsi="Arial"/>
          <w:b/>
          <w:bCs/>
          <w:sz w:val="20"/>
          <w:szCs w:val="20"/>
        </w:rPr>
        <w:t xml:space="preserve">Template C: Ascent, to a CRM or Retention specialist at a large brand</w:t>
      </w:r>
    </w:p>
    <w:p>
      <w:pPr>
        <w:pBdr>
          <w:left w:val="single" w:color="2E7D6B" w:sz="24" w:space="8"/>
        </w:pBdr>
        <w:shd w:fill="EAF4F1" w:color="auto" w:val="clear"/>
        <w:spacing w:after="100" w:before="120" w:line="276"/>
        <w:ind w:left="180" w:right="180"/>
      </w:pPr>
      <w:r>
        <w:rPr>
          <w:rFonts w:ascii="Arial" w:cs="Arial" w:eastAsia="Arial" w:hAnsi="Arial"/>
          <w:b/>
          <w:bCs/>
          <w:sz w:val="20"/>
          <w:szCs w:val="20"/>
        </w:rPr>
        <w:t xml:space="preserve">Subject:</w:t>
      </w:r>
      <w:r>
        <w:rPr>
          <w:rFonts w:ascii="Arial" w:cs="Arial" w:eastAsia="Arial" w:hAnsi="Arial"/>
          <w:sz w:val="20"/>
          <w:szCs w:val="20"/>
        </w:rPr>
        <w:t xml:space="preserve"> DMARC enforcement at [Brand]</w:t>
      </w:r>
    </w:p>
    <w:p>
      <w:pPr>
        <w:pBdr>
          <w:left w:val="single" w:color="2E7D6B" w:sz="24" w:space="8"/>
        </w:pBdr>
        <w:shd w:fill="EAF4F1" w:color="auto" w:val="clear"/>
        <w:spacing w:after="100" w:before="0" w:line="276"/>
        <w:ind w:left="180" w:right="180"/>
      </w:pPr>
      <w:r>
        <w:rPr>
          <w:rFonts w:ascii="Arial" w:cs="Arial" w:eastAsia="Arial" w:hAnsi="Arial"/>
          <w:sz w:val="20"/>
          <w:szCs w:val="20"/>
        </w:rPr>
        <w:t xml:space="preserve">Hi [first name], I work with enterprise brands moving from monitoring-only DMARC to full enforcement without disrupting sending. Looking at [Brand]'s headers, there are [N] sending tools currently not passing aligned checks, the kind of thing that becomes an emergency the week of a big send. I've outlined the full inventory below and included a zero-downtime repair sequence. Happy to walk through it in 20 minutes if useful.</w:t>
      </w:r>
    </w:p>
    <w:p>
      <w:pPr>
        <w:pBdr>
          <w:left w:val="single" w:color="2E7D6B" w:sz="24" w:space="8"/>
        </w:pBdr>
        <w:shd w:fill="EAF4F1" w:color="auto" w:val="clear"/>
        <w:spacing w:after="200" w:before="0" w:line="276"/>
        <w:ind w:left="180" w:right="180"/>
      </w:pPr>
      <w:r>
        <w:rPr>
          <w:rFonts w:ascii="Arial" w:cs="Arial" w:eastAsia="Arial" w:hAnsi="Arial"/>
          <w:sz w:val="20"/>
          <w:szCs w:val="20"/>
        </w:rPr>
        <w:t xml:space="preserve">[Your name], GrowMailers · </w:t>
      </w:r>
      <w:r>
        <w:rPr>
          <w:rFonts w:ascii="Arial" w:cs="Arial" w:eastAsia="Arial" w:hAnsi="Arial"/>
          <w:i/>
          <w:iCs/>
          <w:sz w:val="20"/>
          <w:szCs w:val="20"/>
        </w:rPr>
        <w:t xml:space="preserve">[compliant footer]</w:t>
      </w:r>
    </w:p>
    <w:p>
      <w:pPr>
        <w:pStyle w:val="Heading2"/>
        <w:keepNext/>
      </w:pPr>
      <w:r>
        <w:rPr>
          <w:rFonts w:ascii="Arial" w:cs="Arial" w:eastAsia="Arial" w:hAnsi="Arial"/>
        </w:rPr>
        <w:t xml:space="preserve">17.6 Step 5: The discovery call, build a financial model</w:t>
      </w:r>
    </w:p>
    <w:p>
      <w:r>
        <w:rPr>
          <w:rFonts w:ascii="Arial" w:cs="Arial" w:eastAsia="Arial" w:hAnsi="Arial"/>
          <w:sz w:val="20"/>
          <w:szCs w:val="20"/>
        </w:rPr>
        <w:t xml:space="preserve">Discovery call questions:</w:t>
      </w:r>
    </w:p>
    <w:p>
      <w:pPr>
        <w:pStyle w:val="ListParagraph"/>
        <w:numPr>
          <w:ilvl w:val="0"/>
          <w:numId w:val="11"/>
        </w:numPr>
        <w:spacing w:after="60"/>
      </w:pPr>
      <w:r>
        <w:rPr>
          <w:rFonts w:ascii="Arial" w:cs="Arial" w:eastAsia="Arial" w:hAnsi="Arial"/>
          <w:sz w:val="20"/>
          <w:szCs w:val="20"/>
        </w:rPr>
        <w:t xml:space="preserve">"What's your email's share of website revenue, and what attribution window does Klaviyo use?"</w:t>
      </w:r>
    </w:p>
    <w:p>
      <w:pPr>
        <w:pStyle w:val="ListParagraph"/>
        <w:numPr>
          <w:ilvl w:val="0"/>
          <w:numId w:val="11"/>
        </w:numPr>
        <w:spacing w:after="60"/>
      </w:pPr>
      <w:r>
        <w:rPr>
          <w:rFonts w:ascii="Arial" w:cs="Arial" w:eastAsia="Arial" w:hAnsi="Arial"/>
          <w:sz w:val="20"/>
          <w:szCs w:val="20"/>
        </w:rPr>
        <w:t xml:space="preserve">"How many total orders a month, and what's your average order value?"</w:t>
      </w:r>
    </w:p>
    <w:p>
      <w:pPr>
        <w:pStyle w:val="ListParagraph"/>
        <w:numPr>
          <w:ilvl w:val="0"/>
          <w:numId w:val="11"/>
        </w:numPr>
        <w:spacing w:after="60"/>
      </w:pPr>
      <w:r>
        <w:rPr>
          <w:rFonts w:ascii="Arial" w:cs="Arial" w:eastAsia="Arial" w:hAnsi="Arial"/>
          <w:sz w:val="20"/>
          <w:szCs w:val="20"/>
        </w:rPr>
        <w:t xml:space="preserve">"What percentage of buyers come back within 12 months?"</w:t>
      </w:r>
    </w:p>
    <w:p>
      <w:pPr>
        <w:pStyle w:val="ListParagraph"/>
        <w:numPr>
          <w:ilvl w:val="0"/>
          <w:numId w:val="11"/>
        </w:numPr>
        <w:spacing w:after="60"/>
      </w:pPr>
      <w:r>
        <w:rPr>
          <w:rFonts w:ascii="Arial" w:cs="Arial" w:eastAsia="Arial" w:hAnsi="Arial"/>
          <w:sz w:val="20"/>
          <w:szCs w:val="20"/>
        </w:rPr>
        <w:t xml:space="preserve">"What's your approximate gross margin?"</w:t>
      </w:r>
    </w:p>
    <w:p>
      <w:pPr>
        <w:pStyle w:val="ListParagraph"/>
        <w:numPr>
          <w:ilvl w:val="0"/>
          <w:numId w:val="11"/>
        </w:numPr>
        <w:spacing w:after="60"/>
      </w:pPr>
      <w:r>
        <w:rPr>
          <w:rFonts w:ascii="Arial" w:cs="Arial" w:eastAsia="Arial" w:hAnsi="Arial"/>
          <w:sz w:val="20"/>
          <w:szCs w:val="20"/>
        </w:rPr>
        <w:t xml:space="preserve">"What's your biggest email concern right now, delivery, revenue, or both?"</w:t>
      </w:r>
    </w:p>
    <w:p>
      <w:pPr>
        <w:spacing w:after="60" w:before="0"/>
      </w:pPr>
    </w:p>
    <w:p>
      <w:r>
        <w:rPr>
          <w:rFonts w:ascii="Arial" w:cs="Arial" w:eastAsia="Arial" w:hAnsi="Arial"/>
          <w:sz w:val="20"/>
          <w:szCs w:val="20"/>
        </w:rPr>
        <w:t xml:space="preserve">Build their model during the call:</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7"/>
          <w:szCs w:val="17"/>
        </w:rPr>
        <w:t xml:space="preserve">  Lhotse breakeven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Monthly fee ($3,000–$5,500)</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 repeat order contribution (= order value × gross margin − shipping)</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 Number of extra orders per month Lhotse needs to generate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At USD 3,000/mo and a $69 supplement at 70% margin and $8 shipping:</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Repeat contribution = $69 × 0.70 − $8 = $40.30</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7"/>
          <w:szCs w:val="17"/>
        </w:rPr>
        <w:t xml:space="preserve">    Breakeven = $3,000 ÷ $40.30 = 74 extra orders/month</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7"/>
          <w:szCs w:val="17"/>
        </w:rPr>
        <w:t xml:space="preserve">    At 4,000 orders/month, that's 1.9% needing to be incremental</w:t>
      </w:r>
    </w:p>
    <w:p>
      <w:r>
        <w:rPr>
          <w:rFonts w:ascii="Arial" w:cs="Arial" w:eastAsia="Arial" w:hAnsi="Arial"/>
          <w:sz w:val="20"/>
          <w:szCs w:val="20"/>
        </w:rPr>
        <w:t xml:space="preserve">When their own model shows 1–3% needed, the price objection typically disappears.</w:t>
      </w:r>
    </w:p>
    <w:p>
      <w:pPr>
        <w:pStyle w:val="Heading2"/>
        <w:keepNext/>
      </w:pPr>
      <w:r>
        <w:rPr>
          <w:rFonts w:ascii="Arial" w:cs="Arial" w:eastAsia="Arial" w:hAnsi="Arial"/>
        </w:rPr>
        <w:t xml:space="preserve">17.7 Step 6: The Ascent proposal</w:t>
      </w:r>
    </w:p>
    <w:p>
      <w:r>
        <w:rPr>
          <w:rFonts w:ascii="Arial" w:cs="Arial" w:eastAsia="Arial" w:hAnsi="Arial"/>
          <w:sz w:val="20"/>
          <w:szCs w:val="20"/>
        </w:rPr>
        <w:t xml:space="preserve">The Ascent Statement of Work should include: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120" w:line="240"/>
        <w:ind w:left="100" w:right="100"/>
      </w:pPr>
      <w:r>
        <w:rPr>
          <w:rFonts w:ascii="Courier New" w:cs="Courier New" w:eastAsia="Courier New" w:hAnsi="Courier New"/>
          <w:color w:val="1E2733"/>
          <w:sz w:val="16"/>
          <w:szCs w:val="16"/>
        </w:rPr>
        <w:t xml:space="preserve">1. Audit findings (what we found in their headers and inbox)</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2. Repair plan (which settings we fix, in what order, how long it takes)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3. Safety guardrails (what we never touch; rollback plans for every DNS change)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4. Delivery schedule (the 14-day repair timeline from Section 12.8, plus warm-up schedule)</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5. Measurement (the Health Scorecard from Section 13.3)</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6. Shared Klaviyo pool notice (blocks on Klaviyo's shared pool are Klaviyo's to fix, not ours)</w:t>
      </w:r>
    </w:p>
    <w:p>
      <w:pPr>
        <w:keepNext/>
        <w:keepLines/>
        <w:pBdr>
          <w:top w:val="single" w:color="C9D1DB" w:sz="4" w:space="4"/>
          <w:left w:val="single" w:color="C9D1DB" w:sz="4" w:space="4"/>
          <w:bottom w:val="single" w:color="C9D1DB" w:sz="4" w:space="4"/>
          <w:right w:val="single" w:color="C9D1DB" w:sz="4" w:space="4"/>
        </w:pBdr>
        <w:shd w:fill="F4F5F7" w:color="auto" w:val="clear"/>
        <w:spacing w:after="0" w:before="0" w:line="240"/>
        <w:ind w:left="100" w:right="100"/>
      </w:pPr>
      <w:r>
        <w:rPr>
          <w:rFonts w:ascii="Courier New" w:cs="Courier New" w:eastAsia="Courier New" w:hAnsi="Courier New"/>
          <w:color w:val="1E2733"/>
          <w:sz w:val="16"/>
          <w:szCs w:val="16"/>
        </w:rPr>
        <w:t xml:space="preserve">7. Lhotse pathway (30-day review; credit against first month if they convert within 60 days)</w:t>
      </w:r>
    </w:p>
    <w:p>
      <w:pPr>
        <w:keepNext w:val="false"/>
        <w:keepLines/>
        <w:pBdr>
          <w:top w:val="single" w:color="C9D1DB" w:sz="4" w:space="4"/>
          <w:left w:val="single" w:color="C9D1DB" w:sz="4" w:space="4"/>
          <w:bottom w:val="single" w:color="C9D1DB" w:sz="4" w:space="4"/>
          <w:right w:val="single" w:color="C9D1DB" w:sz="4" w:space="4"/>
        </w:pBdr>
        <w:shd w:fill="F4F5F7" w:color="auto" w:val="clear"/>
        <w:spacing w:after="200" w:before="0" w:line="240"/>
        <w:ind w:left="100" w:right="100"/>
      </w:pPr>
      <w:r>
        <w:rPr>
          <w:rFonts w:ascii="Courier New" w:cs="Courier New" w:eastAsia="Courier New" w:hAnsi="Courier New"/>
          <w:color w:val="1E2733"/>
          <w:sz w:val="16"/>
          <w:szCs w:val="16"/>
        </w:rPr>
        <w:t xml:space="preserve">8. Price: $5,000 flat. No retainer lock-in.</w:t>
      </w:r>
    </w:p>
    <w:p>
      <w:pPr>
        <w:pStyle w:val="Heading2"/>
        <w:keepNext/>
      </w:pPr>
      <w:r>
        <w:rPr>
          <w:rFonts w:ascii="Arial" w:cs="Arial" w:eastAsia="Arial" w:hAnsi="Arial"/>
        </w:rPr>
        <w:t xml:space="preserve">17.8 Step 7: Lhotse onboarding</w:t>
      </w:r>
    </w:p>
    <w:p>
      <w:r>
        <w:rPr>
          <w:rFonts w:ascii="Arial" w:cs="Arial" w:eastAsia="Arial" w:hAnsi="Arial"/>
          <w:b/>
          <w:bCs/>
          <w:sz w:val="20"/>
          <w:szCs w:val="20"/>
        </w:rPr>
        <w:t xml:space="preserve">Week 1:</w:t>
      </w:r>
      <w:r>
        <w:rPr>
          <w:rFonts w:ascii="Arial" w:cs="Arial" w:eastAsia="Arial" w:hAnsi="Arial"/>
          <w:sz w:val="20"/>
          <w:szCs w:val="20"/>
        </w:rPr>
        <w:t xml:space="preserve"> Read-only Klaviyo access; review flows, campaigns, segments, and list; current metrics snapshot; discovery call to confirm goals; 90-day plan drafted.</w:t>
      </w:r>
    </w:p>
    <w:p>
      <w:r>
        <w:rPr>
          <w:rFonts w:ascii="Arial" w:cs="Arial" w:eastAsia="Arial" w:hAnsi="Arial"/>
          <w:b/>
          <w:bCs/>
          <w:sz w:val="20"/>
          <w:szCs w:val="20"/>
        </w:rPr>
        <w:t xml:space="preserve">Week 2:</w:t>
      </w:r>
      <w:r>
        <w:rPr>
          <w:rFonts w:ascii="Arial" w:cs="Arial" w:eastAsia="Arial" w:hAnsi="Arial"/>
          <w:sz w:val="20"/>
          <w:szCs w:val="20"/>
        </w:rPr>
        <w:t xml:space="preserve"> Segment rebuild (engaged, warm, cool, inactive using clicks and orders, excluding Apple auto-opens); list review and suppress confirmed bots and hard-bounce profiles.</w:t>
      </w:r>
    </w:p>
    <w:p>
      <w:r>
        <w:rPr>
          <w:rFonts w:ascii="Arial" w:cs="Arial" w:eastAsia="Arial" w:hAnsi="Arial"/>
          <w:b/>
          <w:bCs/>
          <w:sz w:val="20"/>
          <w:szCs w:val="20"/>
        </w:rPr>
        <w:t xml:space="preserve">Weeks 3–4:</w:t>
      </w:r>
      <w:r>
        <w:rPr>
          <w:rFonts w:ascii="Arial" w:cs="Arial" w:eastAsia="Arial" w:hAnsi="Arial"/>
          <w:sz w:val="20"/>
          <w:szCs w:val="20"/>
        </w:rPr>
        <w:t xml:space="preserve"> Rebuild the top priority sequence (usually abandoned checkout, welcome, or reorder, whichever is biggest gap); launch 10% holdout control group.</w:t>
      </w:r>
    </w:p>
    <w:p>
      <w:r>
        <w:rPr>
          <w:rFonts w:ascii="Arial" w:cs="Arial" w:eastAsia="Arial" w:hAnsi="Arial"/>
          <w:b/>
          <w:bCs/>
          <w:sz w:val="20"/>
          <w:szCs w:val="20"/>
        </w:rPr>
        <w:t xml:space="preserve">Weeks 5–8:</w:t>
      </w:r>
      <w:r>
        <w:rPr>
          <w:rFonts w:ascii="Arial" w:cs="Arial" w:eastAsia="Arial" w:hAnsi="Arial"/>
          <w:sz w:val="20"/>
          <w:szCs w:val="20"/>
        </w:rPr>
        <w:t xml:space="preserve"> Build remaining sequences; migrate campaigns to engaged-only targeting; launch sunset sequence for inactive subscribers.</w:t>
      </w:r>
    </w:p>
    <w:p>
      <w:r>
        <w:rPr>
          <w:rFonts w:ascii="Arial" w:cs="Arial" w:eastAsia="Arial" w:hAnsi="Arial"/>
          <w:b/>
          <w:bCs/>
          <w:sz w:val="20"/>
          <w:szCs w:val="20"/>
        </w:rPr>
        <w:t xml:space="preserve">Month 3 onward:</w:t>
      </w:r>
      <w:r>
        <w:rPr>
          <w:rFonts w:ascii="Arial" w:cs="Arial" w:eastAsia="Arial" w:hAnsi="Arial"/>
          <w:sz w:val="20"/>
          <w:szCs w:val="20"/>
        </w:rPr>
        <w:t xml:space="preserve"> Weekly reporting; incremental test results; ongoing hygiene; DMARC toward enforcement.</w:t>
      </w:r>
    </w:p>
    <w:p>
      <w:pPr>
        <w:pStyle w:val="Heading1"/>
        <w:keepNext/>
      </w:pPr>
      <w:r>
        <w:rPr>
          <w:rFonts w:ascii="Arial" w:cs="Arial" w:eastAsia="Arial" w:hAnsi="Arial"/>
        </w:rPr>
        <w:t xml:space="preserve">Appendix A. Word 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20"/>
        <w:gridCol w:w="5760"/>
      </w:tblGrid>
      <w:tr>
        <w:trPr>
          <w:cantSplit/>
          <w:tblHeader/>
        </w:trPr>
        <w:tc>
          <w:tcPr>
            <w:tcW w:type="dxa" w:w="432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Word or acronym</w:t>
            </w:r>
          </w:p>
        </w:tc>
        <w:tc>
          <w:tcPr>
            <w:tcW w:type="dxa" w:w="5760"/>
            <w:tcBorders>
              <w:top w:val="single" w:color="C9D1DB" w:sz="4"/>
              <w:left w:val="single" w:color="C9D1DB" w:sz="4"/>
              <w:bottom w:val="single" w:color="C9D1DB" w:sz="4"/>
              <w:right w:val="single" w:color="C9D1DB" w:sz="4"/>
            </w:tcBorders>
            <w:shd w:fill="1F3A5F" w:color="auto" w:val="clear"/>
            <w:tcMar>
              <w:top w:type="dxa" w:w="30"/>
              <w:left w:type="dxa" w:w="70"/>
              <w:bottom w:type="dxa" w:w="30"/>
              <w:right w:type="dxa" w:w="70"/>
            </w:tcMar>
          </w:tcPr>
          <w:p>
            <w:pPr>
              <w:spacing w:after="0" w:before="0" w:line="240"/>
            </w:pPr>
            <w:r>
              <w:rPr>
                <w:rFonts w:ascii="Arial" w:cs="Arial" w:eastAsia="Arial" w:hAnsi="Arial"/>
                <w:b/>
                <w:bCs/>
                <w:color w:val="FFFFFF"/>
                <w:sz w:val="16"/>
                <w:szCs w:val="16"/>
              </w:rPr>
              <w:t xml:space="preserve">Simple explanation</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AOV (Average Order Value)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average amount a customer spends per order</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Ascent</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GrowMailers' one-time email repair service, priced at $5,000</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Attribution window</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How far back Klaviyo looks when crediting a sale to an email (e.g., "if they bought within 5 days of opening an email, we count it")</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BIMI</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feature that shows a brand's logo next to their email in Gmail, has no effect on inbox delivery</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Bounce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 email that could not be delivered. A "hard bounce" means the address doesn't exist. A "soft bounce" means a temporary problem.</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CASL</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Canada's email marketing law, the strictest in our markets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CAN-SPAM</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federal email marketing law, runs on an opt-out basis</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CAC (Customer Acquisition Cost)</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How much money it costs to get one new customer</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CPA (Cost Per Purchase)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Ad spend divided by all purchases, including returning customers</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DKIM</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digital signature added to emails proving they really came from the brand's domain</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DMARC</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security record that ties SPF and DKIM together and tells providers what to do when emails fail checks</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DNS</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"phone book of the internet", a system that maps domain names to settings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DTC (Direct-to-Consumer)</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brand that sells directly to shoppers through its own website, not through a retailer</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DNVB</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brand that was born online and controls its products from design to delivery</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EOFY</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End of Financial Year, in Australia this is June 30</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ESP (Email Service Provider)</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platform that sends the emails, Klaviyo, Mailchimp, etc.</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Flow / Sequence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 automated series of emails triggered by something a customer does (e.g., adding to cart, buying for the first time)</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GTM (Go-to-Market)</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plan for finding, pitching, and closing clients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Hard gate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requirement that must be met before we will pursue a prospect</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Holdout test</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Holding back 10% of subscribers from receiving an email and comparing their purchase rate against the 90% who got it, to prove the email actually caused purchases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ICP (Ideal Customer Profile)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detailed description of the perfect type of client for a business</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Klaviyo</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email and SMS platform our target brands use</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Lhotse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GrowMailers' monthly email management retainer, priced at $3,000–$5,500/month</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List bombing</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When bots flood a sign-up form with fake or real email addresses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LTV (Lifetime Value)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total amount of money a customer spends over their entire relationship with the brand</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MER (Marketing Efficiency Ratio)</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Total revenue divided by total marketing spend, a measure of how efficiently marketing dollars turn into sales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MPP (Apple Mail Privacy Protection)</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Apple automatically "opens" emails when they arrive, inflating open rate stats</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PECR</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UK rules for electronic marketing</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Replenishment flow</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An automated email reminder sent when a customer is likely about to run out of a product</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Retainer</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monthly fee paid for ongoing services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SAM (Serviceable Addressable Market)</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portion of the total market that actually fits our criteria</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Seed test</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Sending a test email to a panel of fake accounts to see where it lands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Shopify Plus</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Shopify's enterprise tier, costing about $2,300–$2,500/month</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SMS</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Text messages, used alongside email in retention programs</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SOM (Serviceable Obtainable Market)</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realistic share of the market GrowMailers can actually win</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SPF</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DNS record listing which computers are allowed to send email for a domain</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Sunset sequence</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A final series of emails asking inactive subscribers if they still want to hear from the brand, and removing them if they don't respond</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TAM (Total Addressable Market)</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full size of the market if GrowMailers could capture 100% of it</w:t>
            </w:r>
          </w:p>
        </w:tc>
      </w:tr>
      <w:tr>
        <w:trPr>
          <w:cantSplit/>
        </w:trPr>
        <w:tc>
          <w:tcPr>
            <w:tcW w:type="dxa" w:w="432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TCPA</w:t>
            </w:r>
          </w:p>
        </w:tc>
        <w:tc>
          <w:tcPr>
            <w:tcW w:type="dxa" w:w="5760"/>
            <w:tcBorders>
              <w:top w:val="single" w:color="C9D1DB" w:sz="4"/>
              <w:left w:val="single" w:color="C9D1DB" w:sz="4"/>
              <w:bottom w:val="single" w:color="C9D1DB" w:sz="4"/>
              <w:right w:val="single" w:color="C9D1DB" w:sz="4"/>
            </w:tcBorders>
            <w:shd w:fill="FFFFFF"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US law governing calls and texts to mobile phones</w:t>
            </w:r>
          </w:p>
        </w:tc>
      </w:tr>
      <w:tr>
        <w:trPr>
          <w:cantSplit/>
        </w:trPr>
        <w:tc>
          <w:tcPr>
            <w:tcW w:type="dxa" w:w="432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b/>
                <w:bCs/>
                <w:sz w:val="16"/>
                <w:szCs w:val="16"/>
              </w:rPr>
              <w:t xml:space="preserve">Warm-up</w:t>
            </w:r>
          </w:p>
        </w:tc>
        <w:tc>
          <w:tcPr>
            <w:tcW w:type="dxa" w:w="5760"/>
            <w:tcBorders>
              <w:top w:val="single" w:color="C9D1DB" w:sz="4"/>
              <w:left w:val="single" w:color="C9D1DB" w:sz="4"/>
              <w:bottom w:val="single" w:color="C9D1DB" w:sz="4"/>
              <w:right w:val="single" w:color="C9D1DB" w:sz="4"/>
            </w:tcBorders>
            <w:shd w:fill="F6F8FB" w:color="auto" w:val="clear"/>
            <w:tcMar>
              <w:top w:type="dxa" w:w="30"/>
              <w:left w:type="dxa" w:w="70"/>
              <w:bottom w:type="dxa" w:w="30"/>
              <w:right w:type="dxa" w:w="70"/>
            </w:tcMar>
          </w:tcPr>
          <w:p>
            <w:pPr>
              <w:spacing w:after="0" w:before="0" w:line="240"/>
            </w:pPr>
            <w:r>
              <w:rPr>
                <w:rFonts w:ascii="Arial" w:cs="Arial" w:eastAsia="Arial" w:hAnsi="Arial"/>
                <w:sz w:val="16"/>
                <w:szCs w:val="16"/>
              </w:rPr>
              <w:t xml:space="preserve">The process of gradually increasing email volume when using a new sending domain, so email providers build trust with it</w:t>
            </w:r>
          </w:p>
        </w:tc>
      </w:tr>
    </w:tbl>
    <w:p>
      <w:pPr>
        <w:spacing w:after="120" w:before="0"/>
      </w:pPr>
    </w:p>
    <w:p>
      <w:pPr>
        <w:pStyle w:val="Heading1"/>
        <w:keepNext/>
      </w:pPr>
      <w:r>
        <w:rPr>
          <w:rFonts w:ascii="Arial" w:cs="Arial" w:eastAsia="Arial" w:hAnsi="Arial"/>
        </w:rPr>
        <w:t xml:space="preserve">Appendix B. Sources</w:t>
      </w:r>
    </w:p>
    <w:p>
      <w:r>
        <w:rPr>
          <w:rFonts w:ascii="Arial" w:cs="Arial" w:eastAsia="Arial" w:hAnsi="Arial"/>
          <w:sz w:val="20"/>
          <w:szCs w:val="20"/>
        </w:rPr>
        <w:t xml:space="preserve">All data is from public sources current to September 2026 unless noted.</w:t>
      </w:r>
    </w:p>
    <w:p>
      <w:pPr>
        <w:pStyle w:val="ListParagraph"/>
        <w:numPr>
          <w:ilvl w:val="0"/>
          <w:numId w:val="2"/>
        </w:numPr>
        <w:spacing w:after="60"/>
      </w:pPr>
      <w:r>
        <w:rPr>
          <w:rFonts w:ascii="Arial" w:cs="Arial" w:eastAsia="Arial" w:hAnsi="Arial"/>
          <w:b/>
          <w:bCs/>
          <w:sz w:val="20"/>
          <w:szCs w:val="20"/>
        </w:rPr>
        <w:t xml:space="preserve">US Census Bureau</w:t>
      </w:r>
      <w:r>
        <w:rPr>
          <w:rFonts w:ascii="Arial" w:cs="Arial" w:eastAsia="Arial" w:hAnsi="Arial"/>
          <w:sz w:val="20"/>
          <w:szCs w:val="20"/>
        </w:rPr>
        <w:t xml:space="preserve">, quarterly US e-commerce revenue</w:t>
      </w:r>
    </w:p>
    <w:p>
      <w:pPr>
        <w:pStyle w:val="ListParagraph"/>
        <w:numPr>
          <w:ilvl w:val="0"/>
          <w:numId w:val="2"/>
        </w:numPr>
        <w:spacing w:after="60"/>
      </w:pPr>
      <w:r>
        <w:rPr>
          <w:rFonts w:ascii="Arial" w:cs="Arial" w:eastAsia="Arial" w:hAnsi="Arial"/>
          <w:b/>
          <w:bCs/>
          <w:sz w:val="20"/>
          <w:szCs w:val="20"/>
        </w:rPr>
        <w:t xml:space="preserve">Store Leads</w:t>
      </w:r>
      <w:r>
        <w:rPr>
          <w:rFonts w:ascii="Arial" w:cs="Arial" w:eastAsia="Arial" w:hAnsi="Arial"/>
          <w:sz w:val="20"/>
          <w:szCs w:val="20"/>
        </w:rPr>
        <w:t xml:space="preserve">, Shopify store counts, app data, category mixes (September 18, 2026)</w:t>
      </w:r>
    </w:p>
    <w:p>
      <w:pPr>
        <w:pStyle w:val="ListParagraph"/>
        <w:numPr>
          <w:ilvl w:val="0"/>
          <w:numId w:val="2"/>
        </w:numPr>
        <w:spacing w:after="60"/>
      </w:pPr>
      <w:r>
        <w:rPr>
          <w:rFonts w:ascii="Arial" w:cs="Arial" w:eastAsia="Arial" w:hAnsi="Arial"/>
          <w:b/>
          <w:bCs/>
          <w:sz w:val="20"/>
          <w:szCs w:val="20"/>
        </w:rPr>
        <w:t xml:space="preserve">Klaviyo</w:t>
      </w:r>
      <w:r>
        <w:rPr>
          <w:rFonts w:ascii="Arial" w:cs="Arial" w:eastAsia="Arial" w:hAnsi="Arial"/>
          <w:sz w:val="20"/>
          <w:szCs w:val="20"/>
        </w:rPr>
        <w:t xml:space="preserve">, Q2 2026 financial results; 2026 email benchmarks; sending setup documentation</w:t>
      </w:r>
    </w:p>
    <w:p>
      <w:pPr>
        <w:pStyle w:val="ListParagraph"/>
        <w:numPr>
          <w:ilvl w:val="0"/>
          <w:numId w:val="2"/>
        </w:numPr>
        <w:spacing w:after="60"/>
      </w:pPr>
      <w:r>
        <w:rPr>
          <w:rFonts w:ascii="Arial" w:cs="Arial" w:eastAsia="Arial" w:hAnsi="Arial"/>
          <w:b/>
          <w:bCs/>
          <w:sz w:val="20"/>
          <w:szCs w:val="20"/>
        </w:rPr>
        <w:t xml:space="preserve">Omnisend</w:t>
      </w:r>
      <w:r>
        <w:rPr>
          <w:rFonts w:ascii="Arial" w:cs="Arial" w:eastAsia="Arial" w:hAnsi="Arial"/>
          <w:sz w:val="20"/>
          <w:szCs w:val="20"/>
        </w:rPr>
        <w:t xml:space="preserve">, 2025 email marketing benchmarks</w:t>
      </w:r>
    </w:p>
    <w:p>
      <w:pPr>
        <w:pStyle w:val="ListParagraph"/>
        <w:numPr>
          <w:ilvl w:val="0"/>
          <w:numId w:val="2"/>
        </w:numPr>
        <w:spacing w:after="60"/>
      </w:pPr>
      <w:r>
        <w:rPr>
          <w:rFonts w:ascii="Arial" w:cs="Arial" w:eastAsia="Arial" w:hAnsi="Arial"/>
          <w:b/>
          <w:bCs/>
          <w:sz w:val="20"/>
          <w:szCs w:val="20"/>
        </w:rPr>
        <w:t xml:space="preserve">Validity</w:t>
      </w:r>
      <w:r>
        <w:rPr>
          <w:rFonts w:ascii="Arial" w:cs="Arial" w:eastAsia="Arial" w:hAnsi="Arial"/>
          <w:sz w:val="20"/>
          <w:szCs w:val="20"/>
        </w:rPr>
        <w:t xml:space="preserve">, 2025 inbox placement benchmarks (2024 data)</w:t>
      </w:r>
    </w:p>
    <w:p>
      <w:pPr>
        <w:pStyle w:val="ListParagraph"/>
        <w:numPr>
          <w:ilvl w:val="0"/>
          <w:numId w:val="2"/>
        </w:numPr>
        <w:spacing w:after="60"/>
      </w:pPr>
      <w:r>
        <w:rPr>
          <w:rFonts w:ascii="Arial" w:cs="Arial" w:eastAsia="Arial" w:hAnsi="Arial"/>
          <w:b/>
          <w:bCs/>
          <w:sz w:val="20"/>
          <w:szCs w:val="20"/>
        </w:rPr>
        <w:t xml:space="preserve">Triple Whale</w:t>
      </w:r>
      <w:r>
        <w:rPr>
          <w:rFonts w:ascii="Arial" w:cs="Arial" w:eastAsia="Arial" w:hAnsi="Arial"/>
          <w:sz w:val="20"/>
          <w:szCs w:val="20"/>
        </w:rPr>
        <w:t xml:space="preserve">, DTC median order values and ad cost per purchase (US brands, 90 days to September 21, 2026)</w:t>
      </w:r>
    </w:p>
    <w:p>
      <w:pPr>
        <w:pStyle w:val="ListParagraph"/>
        <w:numPr>
          <w:ilvl w:val="0"/>
          <w:numId w:val="2"/>
        </w:numPr>
        <w:spacing w:after="60"/>
      </w:pPr>
      <w:r>
        <w:rPr>
          <w:rFonts w:ascii="Arial" w:cs="Arial" w:eastAsia="Arial" w:hAnsi="Arial"/>
          <w:b/>
          <w:bCs/>
          <w:sz w:val="20"/>
          <w:szCs w:val="20"/>
        </w:rPr>
        <w:t xml:space="preserve">ShipBob</w:t>
      </w:r>
      <w:r>
        <w:rPr>
          <w:rFonts w:ascii="Arial" w:cs="Arial" w:eastAsia="Arial" w:hAnsi="Arial"/>
          <w:sz w:val="20"/>
          <w:szCs w:val="20"/>
        </w:rPr>
        <w:t xml:space="preserve">, 2026 e-commerce survey</w:t>
      </w:r>
    </w:p>
    <w:p>
      <w:pPr>
        <w:pStyle w:val="ListParagraph"/>
        <w:numPr>
          <w:ilvl w:val="0"/>
          <w:numId w:val="2"/>
        </w:numPr>
        <w:spacing w:after="60"/>
      </w:pPr>
      <w:r>
        <w:rPr>
          <w:rFonts w:ascii="Arial" w:cs="Arial" w:eastAsia="Arial" w:hAnsi="Arial"/>
          <w:b/>
          <w:bCs/>
          <w:sz w:val="20"/>
          <w:szCs w:val="20"/>
        </w:rPr>
        <w:t xml:space="preserve">Meta</w:t>
      </w:r>
      <w:r>
        <w:rPr>
          <w:rFonts w:ascii="Arial" w:cs="Arial" w:eastAsia="Arial" w:hAnsi="Arial"/>
          <w:sz w:val="20"/>
          <w:szCs w:val="20"/>
        </w:rPr>
        <w:t xml:space="preserve">, Q2 2026 earnings (ad pricing and impression data)</w:t>
      </w:r>
    </w:p>
    <w:p>
      <w:pPr>
        <w:pStyle w:val="ListParagraph"/>
        <w:numPr>
          <w:ilvl w:val="0"/>
          <w:numId w:val="2"/>
        </w:numPr>
        <w:spacing w:after="60"/>
      </w:pPr>
      <w:r>
        <w:rPr>
          <w:rFonts w:ascii="Arial" w:cs="Arial" w:eastAsia="Arial" w:hAnsi="Arial"/>
          <w:b/>
          <w:bCs/>
          <w:sz w:val="20"/>
          <w:szCs w:val="20"/>
        </w:rPr>
        <w:t xml:space="preserve">Glassdoor</w:t>
      </w:r>
      <w:r>
        <w:rPr>
          <w:rFonts w:ascii="Arial" w:cs="Arial" w:eastAsia="Arial" w:hAnsi="Arial"/>
          <w:sz w:val="20"/>
          <w:szCs w:val="20"/>
        </w:rPr>
        <w:t xml:space="preserve">, US Email Marketing Manager salary data</w:t>
      </w:r>
    </w:p>
    <w:p>
      <w:pPr>
        <w:pStyle w:val="ListParagraph"/>
        <w:numPr>
          <w:ilvl w:val="0"/>
          <w:numId w:val="2"/>
        </w:numPr>
        <w:spacing w:after="60"/>
      </w:pPr>
      <w:r>
        <w:rPr>
          <w:rFonts w:ascii="Arial" w:cs="Arial" w:eastAsia="Arial" w:hAnsi="Arial"/>
          <w:b/>
          <w:bCs/>
          <w:sz w:val="20"/>
          <w:szCs w:val="20"/>
        </w:rPr>
        <w:t xml:space="preserve">FIGS, Hims &amp; Hers, Temple &amp; Webster</w:t>
      </w:r>
      <w:r>
        <w:rPr>
          <w:rFonts w:ascii="Arial" w:cs="Arial" w:eastAsia="Arial" w:hAnsi="Arial"/>
          <w:sz w:val="20"/>
          <w:szCs w:val="20"/>
        </w:rPr>
        <w:t xml:space="preserve">, Public company financial filings</w:t>
      </w:r>
    </w:p>
    <w:p>
      <w:pPr>
        <w:pStyle w:val="ListParagraph"/>
        <w:numPr>
          <w:ilvl w:val="0"/>
          <w:numId w:val="2"/>
        </w:numPr>
        <w:spacing w:after="60"/>
      </w:pPr>
      <w:r>
        <w:rPr>
          <w:rFonts w:ascii="Arial" w:cs="Arial" w:eastAsia="Arial" w:hAnsi="Arial"/>
          <w:b/>
          <w:bCs/>
          <w:sz w:val="20"/>
          <w:szCs w:val="20"/>
        </w:rPr>
        <w:t xml:space="preserve">eMarketer</w:t>
      </w:r>
      <w:r>
        <w:rPr>
          <w:rFonts w:ascii="Arial" w:cs="Arial" w:eastAsia="Arial" w:hAnsi="Arial"/>
          <w:sz w:val="20"/>
          <w:szCs w:val="20"/>
        </w:rPr>
        <w:t xml:space="preserve">, DTC share of US e-commerce</w:t>
      </w:r>
    </w:p>
    <w:p>
      <w:pPr>
        <w:pStyle w:val="ListParagraph"/>
        <w:numPr>
          <w:ilvl w:val="0"/>
          <w:numId w:val="2"/>
        </w:numPr>
        <w:spacing w:after="60"/>
      </w:pPr>
      <w:r>
        <w:rPr>
          <w:rFonts w:ascii="Arial" w:cs="Arial" w:eastAsia="Arial" w:hAnsi="Arial"/>
          <w:b/>
          <w:bCs/>
          <w:sz w:val="20"/>
          <w:szCs w:val="20"/>
        </w:rPr>
        <w:t xml:space="preserve">Litmus</w:t>
      </w:r>
      <w:r>
        <w:rPr>
          <w:rFonts w:ascii="Arial" w:cs="Arial" w:eastAsia="Arial" w:hAnsi="Arial"/>
          <w:sz w:val="20"/>
          <w:szCs w:val="20"/>
        </w:rPr>
        <w:t xml:space="preserve">, Apple MPP open rate data (July 2026)</w:t>
      </w:r>
    </w:p>
    <w:p>
      <w:pPr>
        <w:pStyle w:val="ListParagraph"/>
        <w:numPr>
          <w:ilvl w:val="0"/>
          <w:numId w:val="2"/>
        </w:numPr>
        <w:spacing w:after="60"/>
      </w:pPr>
      <w:r>
        <w:rPr>
          <w:rFonts w:ascii="Arial" w:cs="Arial" w:eastAsia="Arial" w:hAnsi="Arial"/>
          <w:b/>
          <w:bCs/>
          <w:sz w:val="20"/>
          <w:szCs w:val="20"/>
        </w:rPr>
        <w:t xml:space="preserve">Flypost, Level CFO</w:t>
      </w:r>
      <w:r>
        <w:rPr>
          <w:rFonts w:ascii="Arial" w:cs="Arial" w:eastAsia="Arial" w:hAnsi="Arial"/>
          <w:sz w:val="20"/>
          <w:szCs w:val="20"/>
        </w:rPr>
        <w:t xml:space="preserve">, Email and SMS share of DTC website revenue benchmarks</w:t>
      </w:r>
    </w:p>
    <w:p>
      <w:pPr>
        <w:pStyle w:val="ListParagraph"/>
        <w:numPr>
          <w:ilvl w:val="0"/>
          <w:numId w:val="2"/>
        </w:numPr>
        <w:spacing w:after="60"/>
      </w:pPr>
      <w:r>
        <w:rPr>
          <w:rFonts w:ascii="Arial" w:cs="Arial" w:eastAsia="Arial" w:hAnsi="Arial"/>
          <w:b/>
          <w:bCs/>
          <w:sz w:val="20"/>
          <w:szCs w:val="20"/>
        </w:rPr>
        <w:t xml:space="preserve">Adobe</w:t>
      </w:r>
      <w:r>
        <w:rPr>
          <w:rFonts w:ascii="Arial" w:cs="Arial" w:eastAsia="Arial" w:hAnsi="Arial"/>
          <w:sz w:val="20"/>
          <w:szCs w:val="20"/>
        </w:rPr>
        <w:t xml:space="preserve">, 2025 Cyber Week spending data</w:t>
      </w:r>
    </w:p>
    <w:p>
      <w:pPr>
        <w:pStyle w:val="ListParagraph"/>
        <w:numPr>
          <w:ilvl w:val="0"/>
          <w:numId w:val="2"/>
        </w:numPr>
        <w:spacing w:after="60"/>
      </w:pPr>
      <w:r>
        <w:rPr>
          <w:rFonts w:ascii="Arial" w:cs="Arial" w:eastAsia="Arial" w:hAnsi="Arial"/>
          <w:b/>
          <w:bCs/>
          <w:sz w:val="20"/>
          <w:szCs w:val="20"/>
        </w:rPr>
        <w:t xml:space="preserve">Shopify</w:t>
      </w:r>
      <w:r>
        <w:rPr>
          <w:rFonts w:ascii="Arial" w:cs="Arial" w:eastAsia="Arial" w:hAnsi="Arial"/>
          <w:sz w:val="20"/>
          <w:szCs w:val="20"/>
        </w:rPr>
        <w:t xml:space="preserve">, Q3 2026 financial results</w:t>
      </w:r>
    </w:p>
    <w:p>
      <w:pPr>
        <w:pStyle w:val="ListParagraph"/>
        <w:numPr>
          <w:ilvl w:val="0"/>
          <w:numId w:val="2"/>
        </w:numPr>
        <w:spacing w:after="60"/>
      </w:pPr>
      <w:r>
        <w:rPr>
          <w:rFonts w:ascii="Arial" w:cs="Arial" w:eastAsia="Arial" w:hAnsi="Arial"/>
          <w:b/>
          <w:bCs/>
          <w:sz w:val="20"/>
          <w:szCs w:val="20"/>
        </w:rPr>
        <w:t xml:space="preserve">dmarcian</w:t>
      </w:r>
      <w:r>
        <w:rPr>
          <w:rFonts w:ascii="Arial" w:cs="Arial" w:eastAsia="Arial" w:hAnsi="Arial"/>
          <w:sz w:val="20"/>
          <w:szCs w:val="20"/>
        </w:rPr>
        <w:t xml:space="preserve">, DMARC enforcement rates among top retail domains</w:t>
      </w:r>
    </w:p>
    <w:p>
      <w:pPr>
        <w:pStyle w:val="ListParagraph"/>
        <w:numPr>
          <w:ilvl w:val="0"/>
          <w:numId w:val="2"/>
        </w:numPr>
        <w:spacing w:after="60"/>
      </w:pPr>
      <w:r>
        <w:rPr>
          <w:rFonts w:ascii="Arial" w:cs="Arial" w:eastAsia="Arial" w:hAnsi="Arial"/>
          <w:b/>
          <w:bCs/>
          <w:sz w:val="20"/>
          <w:szCs w:val="20"/>
        </w:rPr>
        <w:t xml:space="preserve">Eightx</w:t>
      </w:r>
      <w:r>
        <w:rPr>
          <w:rFonts w:ascii="Arial" w:cs="Arial" w:eastAsia="Arial" w:hAnsi="Arial"/>
          <w:sz w:val="20"/>
          <w:szCs w:val="20"/>
        </w:rPr>
        <w:t xml:space="preserve">, Team size data for online-first brands</w:t>
      </w:r>
    </w:p>
    <w:p>
      <w:pPr>
        <w:pStyle w:val="ListParagraph"/>
        <w:numPr>
          <w:ilvl w:val="0"/>
          <w:numId w:val="2"/>
        </w:numPr>
        <w:spacing w:after="60"/>
      </w:pPr>
      <w:r>
        <w:rPr>
          <w:rFonts w:ascii="Arial" w:cs="Arial" w:eastAsia="Arial" w:hAnsi="Arial"/>
          <w:b/>
          <w:bCs/>
          <w:sz w:val="20"/>
          <w:szCs w:val="20"/>
        </w:rPr>
        <w:t xml:space="preserve">Patrick Ta Beauty / Klaviyo</w:t>
      </w:r>
      <w:r>
        <w:rPr>
          <w:rFonts w:ascii="Arial" w:cs="Arial" w:eastAsia="Arial" w:hAnsi="Arial"/>
          <w:sz w:val="20"/>
          <w:szCs w:val="20"/>
        </w:rPr>
        <w:t xml:space="preserve">, Black Friday 2024 case study</w:t>
      </w:r>
    </w:p>
    <w:p>
      <w:pPr>
        <w:pStyle w:val="ListParagraph"/>
        <w:numPr>
          <w:ilvl w:val="0"/>
          <w:numId w:val="2"/>
        </w:numPr>
        <w:spacing w:after="60"/>
      </w:pPr>
      <w:r>
        <w:rPr>
          <w:rFonts w:ascii="Arial" w:cs="Arial" w:eastAsia="Arial" w:hAnsi="Arial"/>
          <w:b/>
          <w:bCs/>
          <w:sz w:val="20"/>
          <w:szCs w:val="20"/>
        </w:rPr>
        <w:t xml:space="preserve">Validity Heatwave</w:t>
      </w:r>
      <w:r>
        <w:rPr>
          <w:rFonts w:ascii="Arial" w:cs="Arial" w:eastAsia="Arial" w:hAnsi="Arial"/>
          <w:sz w:val="20"/>
          <w:szCs w:val="20"/>
        </w:rPr>
        <w:t xml:space="preserve">, Announcement September 3, 2026</w:t>
      </w:r>
    </w:p>
    <w:p>
      <w:pPr>
        <w:spacing w:after="60" w:before="0"/>
      </w:pPr>
    </w:p>
    <w:p>
      <w:pPr>
        <w:spacing w:after="160" w:before="0"/>
      </w:pPr>
      <w:r>
        <w:rPr>
          <w:rFonts w:ascii="Arial" w:cs="Arial" w:eastAsia="Arial" w:hAnsi="Arial"/>
          <w:i/>
          <w:iCs/>
          <w:color w:val="5B6573"/>
          <w:sz w:val="16"/>
          <w:szCs w:val="16"/>
        </w:rPr>
        <w:t xml:space="preserve">Where we used estimates or planning assumptions, we said so in the relevant section.</w:t>
      </w:r>
    </w:p>
    <w:sectPr>
      <w:headerReference w:type="default" r:id="rId6"/>
      <w:headerReference w:type="first" r:id="rId7"/>
      <w:footerReference w:type="default" r:id="rId8"/>
      <w:footerReference w:type="first" r:id="rId9"/>
      <w:pgSz w:w="12240" w:h="15840" w:orient="portrait"/>
      <w:pgMar w:top="1080" w:right="1080" w:bottom="1080" w:left="1080" w:header="540" w:footer="54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1DB" w:sz="4" w:space="6"/>
      </w:pBdr>
      <w:tabs>
        <w:tab w:val="right" w:pos="10080"/>
      </w:tabs>
    </w:pPr>
    <w:r>
      <w:rPr>
        <w:rFonts w:ascii="Arial" w:cs="Arial" w:eastAsia="Arial" w:hAnsi="Arial"/>
        <w:color w:val="5B6573"/>
        <w:sz w:val="15"/>
        <w:szCs w:val="15"/>
      </w:rPr>
      <w:t xml:space="preserve">GrowMailers Master Blueprint  ·  v2.0  ·  Internal strategy document</w:t>
    </w:r>
    <w:r>
      <w:rPr>
        <w:rFonts w:ascii="Arial" w:cs="Arial" w:eastAsia="Arial" w:hAnsi="Arial"/>
        <w:color w:val="5B6573"/>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B6573"/>
        <w:sz w:val="15"/>
        <w:szCs w:val="15"/>
      </w:rPr>
      <w:t xml:space="preserve">ICP  ·  Market Sizing  ·  Deliverability  ·  Go-To-Market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E7D6B"/>
      </w:rPr>
    </w:lvl>
  </w:abstractNum>
  <w:abstractNum w:abstractNumId="3" w15:restartNumberingAfterBreak="0">
    <w:multiLevelType w:val="hybridMultilevel"/>
    <w:lvl w:ilvl="0" w:tentative="1">
      <w:start w:val="1"/>
      <w:numFmt w:val="decimal"/>
      <w:lvlText w:val="%1."/>
      <w:lvlJc w:val="left"/>
      <w:pPr>
        <w:ind w:left="480" w:hanging="400"/>
      </w:pPr>
      <w:rPr>
        <w:b/>
        <w:bCs/>
        <w:color w:val="1F3A5F"/>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733"/>
        <w:sz w:val="20"/>
        <w:szCs w:val="20"/>
      </w:rPr>
    </w:rPrDefault>
    <w:pPrDefault>
      <w:pPr>
        <w:spacing w:after="110" w:line="26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D6B" w:sz="12" w:space="6"/>
      </w:pBdr>
      <w:spacing w:after="200" w:before="480" w:line="300"/>
      <w:outlineLvl w:val="0"/>
    </w:pPr>
    <w:rPr>
      <w:rFonts w:ascii="Arial" w:cs="Arial" w:eastAsia="Arial" w:hAnsi="Arial"/>
      <w:b/>
      <w:bCs/>
      <w:color w:val="1F3A5F"/>
      <w:sz w:val="36"/>
      <w:szCs w:val="36"/>
    </w:rPr>
  </w:style>
  <w:style w:type="paragraph" w:styleId="Heading2">
    <w:name w:val="Heading 2"/>
    <w:basedOn w:val="Normal"/>
    <w:next w:val="Normal"/>
    <w:qFormat/>
    <w:pPr>
      <w:spacing w:after="120" w:before="320" w:line="280"/>
      <w:outlineLvl w:val="1"/>
    </w:pPr>
    <w:rPr>
      <w:rFonts w:ascii="Arial" w:cs="Arial" w:eastAsia="Arial" w:hAnsi="Arial"/>
      <w:b/>
      <w:bCs/>
      <w:color w:val="1F3A5F"/>
      <w:sz w:val="27"/>
      <w:szCs w:val="27"/>
    </w:rPr>
  </w:style>
  <w:style w:type="paragraph" w:styleId="Heading3">
    <w:name w:val="Heading 3"/>
    <w:basedOn w:val="Normal"/>
    <w:next w:val="Normal"/>
    <w:qFormat/>
    <w:pPr>
      <w:spacing w:after="80" w:before="220"/>
      <w:outlineLvl w:val="2"/>
    </w:pPr>
    <w:rPr>
      <w:rFonts w:ascii="Arial" w:cs="Arial" w:eastAsia="Arial" w:hAnsi="Arial"/>
      <w:b/>
      <w:bCs/>
      <w:color w:val="2E7D6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GrowMailers Master Blueprint</dc:title>
  <dc:creator>GrowMailers</dc:creator>
  <dc:description>Ideal Customer Profile, Market Sizing, Deliverability Framework and Go-To-Market Plan</dc:description>
  <cp:lastModifiedBy>Un-named</cp:lastModifiedBy>
  <cp:revision>1</cp:revision>
  <dcterms:created xsi:type="dcterms:W3CDTF">2026-09-28T07:32:27.845Z</dcterms:created>
  <dcterms:modified xsi:type="dcterms:W3CDTF">2026-09-28T07:32:27.848Z</dcterms:modified>
</cp:coreProperties>
</file>

<file path=docProps/custom.xml><?xml version="1.0" encoding="utf-8"?>
<Properties xmlns="http://schemas.openxmlformats.org/officeDocument/2006/custom-properties" xmlns:vt="http://schemas.openxmlformats.org/officeDocument/2006/docPropsVTypes"/>
</file>