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Leave Policy</w:t>
      </w:r>
    </w:p>
    <w:p>
      <w:r>
        <w:rPr>
          <w:color w:val="5D646D"/>
          <w:sz w:val="19"/>
        </w:rPr>
        <w:t>Nexora Labs · Leave Policy · Version 2.0 · Replaces version 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Document ID</w:t>
            </w:r>
          </w:p>
        </w:tc>
        <w:tc>
          <w:tcPr>
            <w:tcW w:type="dxa" w:w="2160"/>
          </w:tcPr>
          <w:p>
            <w:r>
              <w:rPr>
                <w:b w:val="0"/>
                <w:sz w:val="17"/>
              </w:rPr>
              <w:t>POL-LEAVE-005</w:t>
            </w:r>
          </w:p>
        </w:tc>
        <w:tc>
          <w:tcPr>
            <w:tcW w:type="dxa" w:w="2160"/>
          </w:tcPr>
          <w:p>
            <w:r>
              <w:rPr>
                <w:b/>
                <w:sz w:val="17"/>
              </w:rPr>
              <w:t>Version</w:t>
            </w:r>
          </w:p>
        </w:tc>
        <w:tc>
          <w:tcPr>
            <w:tcW w:type="dxa" w:w="2160"/>
          </w:tcPr>
          <w:p>
            <w:r>
              <w:rPr>
                <w:b w:val="0"/>
                <w:sz w:val="17"/>
              </w:rPr>
              <w:t>2.0</w:t>
            </w:r>
          </w:p>
        </w:tc>
      </w:tr>
      <w:tr>
        <w:tc>
          <w:tcPr>
            <w:tcW w:type="dxa" w:w="2160"/>
          </w:tcPr>
          <w:p>
            <w:r>
              <w:rPr>
                <w:b/>
                <w:sz w:val="17"/>
              </w:rPr>
              <w:t>Category</w:t>
            </w:r>
          </w:p>
        </w:tc>
        <w:tc>
          <w:tcPr>
            <w:tcW w:type="dxa" w:w="2160"/>
          </w:tcPr>
          <w:p>
            <w:r>
              <w:rPr>
                <w:b w:val="0"/>
                <w:sz w:val="17"/>
              </w:rPr>
              <w:t>Leave Policy</w:t>
            </w:r>
          </w:p>
        </w:tc>
        <w:tc>
          <w:tcPr>
            <w:tcW w:type="dxa" w:w="2160"/>
          </w:tcPr>
          <w:p>
            <w:r>
              <w:rPr>
                <w:b/>
                <w:sz w:val="17"/>
              </w:rPr>
              <w:t>Effective date</w:t>
            </w:r>
          </w:p>
        </w:tc>
        <w:tc>
          <w:tcPr>
            <w:tcW w:type="dxa" w:w="2160"/>
          </w:tcPr>
          <w:p>
            <w:r>
              <w:rPr>
                <w:b w:val="0"/>
                <w:sz w:val="17"/>
              </w:rPr>
              <w:t>2026-07-15</w:t>
            </w:r>
          </w:p>
        </w:tc>
      </w:tr>
      <w:tr>
        <w:tc>
          <w:tcPr>
            <w:tcW w:type="dxa" w:w="2160"/>
          </w:tcPr>
          <w:p>
            <w:r>
              <w:rPr>
                <w:b/>
                <w:sz w:val="17"/>
              </w:rPr>
              <w:t>Owner</w:t>
            </w:r>
          </w:p>
        </w:tc>
        <w:tc>
          <w:tcPr>
            <w:tcW w:type="dxa" w:w="2160"/>
          </w:tcPr>
          <w:p>
            <w:r>
              <w:rPr>
                <w:b w:val="0"/>
                <w:sz w:val="17"/>
              </w:rPr>
              <w:t>People Operations</w:t>
            </w:r>
          </w:p>
        </w:tc>
        <w:tc>
          <w:tcPr>
            <w:tcW w:type="dxa" w:w="2160"/>
          </w:tcPr>
          <w:p>
            <w:r>
              <w:rPr>
                <w:b/>
                <w:sz w:val="17"/>
              </w:rPr>
              <w:t>Review date</w:t>
            </w:r>
          </w:p>
        </w:tc>
        <w:tc>
          <w:tcPr>
            <w:tcW w:type="dxa" w:w="2160"/>
          </w:tcPr>
          <w:p>
            <w:r>
              <w:rPr>
                <w:b w:val="0"/>
                <w:sz w:val="17"/>
              </w:rPr>
              <w:t>2027-07-15</w:t>
            </w:r>
          </w:p>
        </w:tc>
      </w:tr>
      <w:tr>
        <w:tc>
          <w:tcPr>
            <w:tcW w:type="dxa" w:w="2160"/>
          </w:tcPr>
          <w:p>
            <w:r>
              <w:rPr>
                <w:b/>
                <w:sz w:val="17"/>
              </w:rPr>
              <w:t>Supersedes</w:t>
            </w:r>
          </w:p>
        </w:tc>
        <w:tc>
          <w:tcPr>
            <w:tcW w:type="dxa" w:w="2160"/>
          </w:tcPr>
          <w:p>
            <w:r>
              <w:rPr>
                <w:b w:val="0"/>
                <w:sz w:val="17"/>
              </w:rPr>
              <w:t>POL-LEAVE-005 v1.0</w:t>
            </w:r>
          </w:p>
        </w:tc>
        <w:tc>
          <w:tcPr>
            <w:tcW w:type="dxa" w:w="2160"/>
          </w:tcPr>
          <w:p>
            <w:r>
              <w:rPr>
                <w:b/>
                <w:sz w:val="17"/>
              </w:rPr>
              <w:t>Status</w:t>
            </w:r>
          </w:p>
        </w:tc>
        <w:tc>
          <w:tcPr>
            <w:tcW w:type="dxa" w:w="2160"/>
          </w:tcPr>
          <w:p>
            <w:r>
              <w:rPr>
                <w:b w:val="0"/>
                <w:sz w:val="17"/>
              </w:rPr>
              <w:t>Active</w:t>
            </w:r>
          </w:p>
        </w:tc>
      </w:tr>
    </w:tbl>
    <w:p>
      <w:pPr>
        <w:pStyle w:val="Heading1"/>
      </w:pPr>
      <w:r>
        <w:t>0. Summary of Changes in Version 2.0</w:t>
      </w:r>
    </w:p>
    <w:p>
      <w:r>
        <w:t>This version replaces version one. §2.2 now permits up to two days of annual leave during the first thirty days with line manager approval. §2.3 reduces the carry forward limit from ten days to five days. §3.2 extends the medical certificate threshold from two to three consecutive working days. §4 moves to the new Family Leave Policy and is removed. §6 on on-call weeks is new.</w:t>
      </w:r>
    </w:p>
    <w:p>
      <w:pPr>
        <w:pStyle w:val="Heading1"/>
      </w:pPr>
      <w:r>
        <w:t>1. Purpose and Scope</w:t>
      </w:r>
    </w:p>
    <w:p>
      <w:r>
        <w:t>1.1 This policy describes the types of leave available at Nexora Labs and how leave is requested and approved.</w:t>
      </w:r>
    </w:p>
    <w:p>
      <w:r>
        <w:t>1.2 This policy is read together with the HR Policy (POL-HR-003).</w:t>
      </w:r>
    </w:p>
    <w:p>
      <w:pPr>
        <w:pStyle w:val="Heading1"/>
      </w:pPr>
      <w:r>
        <w:t>2. Annual Leave</w:t>
      </w:r>
    </w:p>
    <w:p>
      <w:r>
        <w:t>2.1 All employees must request annual leave in the HR portal at least ten working days in advance.</w:t>
      </w:r>
    </w:p>
    <w:p>
      <w:r>
        <w:t>2.2 Employees may take up to two days of annual leave during their first thirty days with line manager approval.</w:t>
      </w:r>
    </w:p>
    <w:p>
      <w:r>
        <w:t>2.3 Employees may carry forward up to five days of unused annual leave into the next year.</w:t>
      </w:r>
    </w:p>
    <w:p>
      <w:r>
        <w:t>2.4 It is recommended that employees plan at least one week of leave in each half of the year.</w:t>
      </w:r>
    </w:p>
    <w:p>
      <w:pPr>
        <w:pStyle w:val="Heading1"/>
      </w:pPr>
      <w:r>
        <w:t>3. Sick Leave</w:t>
      </w:r>
    </w:p>
    <w:p>
      <w:r>
        <w:t>3.1 Employees must report sickness to their line manager before the start of the working day.</w:t>
      </w:r>
    </w:p>
    <w:p>
      <w:r>
        <w:t>3.2 Employees must submit a medical certificate for any sick leave longer than three consecutive working days.</w:t>
      </w:r>
    </w:p>
    <w:p>
      <w:r>
        <w:t>3.3 Technical Support Engineers on shift must also notify the support shift lead so that the ticket queue is reassigned.</w:t>
      </w:r>
    </w:p>
    <w:p>
      <w:pPr>
        <w:pStyle w:val="Heading1"/>
      </w:pPr>
      <w:r>
        <w:t>5. Release Weeks and Team Leave</w:t>
      </w:r>
    </w:p>
    <w:p>
      <w:r>
        <w:t>5.1 DevOps Engineers and QA Engineers must check the release calendar before booking leave during a planned release week.</w:t>
      </w:r>
    </w:p>
    <w:p>
      <w:r>
        <w:t>5.2 Project Managers must record approved team leave in the delivery plan within one working day of approval.</w:t>
      </w:r>
    </w:p>
    <w:p>
      <w:pPr>
        <w:pStyle w:val="Heading1"/>
      </w:pPr>
      <w:r>
        <w:t>6. Leave During On-Call Weeks</w:t>
      </w:r>
    </w:p>
    <w:p>
      <w:r>
        <w:t>6.1 DevOps Engineers must arrange an on-call swap before taking leave during an assigned on-call week.</w:t>
      </w:r>
    </w:p>
    <w:p>
      <w:r>
        <w:t>6.2 Every on-call swap must be recorded in the on-call rota before the leave starts.</w:t>
      </w:r>
    </w:p>
    <w:p>
      <w:pPr>
        <w:pStyle w:val="Heading1"/>
      </w:pPr>
      <w:r>
        <w:t>Document Control</w:t>
      </w:r>
    </w:p>
    <w:p>
      <w:r>
        <w:t>Owner, version, effective date and review date appear in the control table at the top of the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Policy</dc:title>
  <dc:subject/>
  <dc:creator>Nexora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