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SEO and Content Procedure</w:t>
      </w:r>
    </w:p>
    <w:p>
      <w:r>
        <w:rPr>
          <w:color w:val="5D646D"/>
          <w:sz w:val="19"/>
        </w:rPr>
        <w:t>Nexora Labs · Department SOP · Marketing · Version 2.0 · Replaces version 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t>Document ID</w:t>
            </w:r>
          </w:p>
        </w:tc>
        <w:tc>
          <w:tcPr>
            <w:tcW w:type="dxa" w:w="2160"/>
          </w:tcPr>
          <w:p>
            <w:r>
              <w:rPr>
                <w:b w:val="0"/>
                <w:sz w:val="17"/>
              </w:rPr>
              <w:t>SOP-MKT-013</w:t>
            </w:r>
          </w:p>
        </w:tc>
        <w:tc>
          <w:tcPr>
            <w:tcW w:type="dxa" w:w="2160"/>
          </w:tcPr>
          <w:p>
            <w:r>
              <w:rPr>
                <w:b/>
                <w:sz w:val="17"/>
              </w:rPr>
              <w:t>Version</w:t>
            </w:r>
          </w:p>
        </w:tc>
        <w:tc>
          <w:tcPr>
            <w:tcW w:type="dxa" w:w="2160"/>
          </w:tcPr>
          <w:p>
            <w:r>
              <w:rPr>
                <w:b w:val="0"/>
                <w:sz w:val="17"/>
              </w:rPr>
              <w:t>2.0</w:t>
            </w:r>
          </w:p>
        </w:tc>
      </w:tr>
      <w:tr>
        <w:tc>
          <w:tcPr>
            <w:tcW w:type="dxa" w:w="2160"/>
          </w:tcPr>
          <w:p>
            <w:r>
              <w:rPr>
                <w:b/>
                <w:sz w:val="17"/>
              </w:rPr>
              <w:t>Category</w:t>
            </w:r>
          </w:p>
        </w:tc>
        <w:tc>
          <w:tcPr>
            <w:tcW w:type="dxa" w:w="2160"/>
          </w:tcPr>
          <w:p>
            <w:r>
              <w:rPr>
                <w:b w:val="0"/>
                <w:sz w:val="17"/>
              </w:rPr>
              <w:t>Department SOP</w:t>
            </w:r>
          </w:p>
        </w:tc>
        <w:tc>
          <w:tcPr>
            <w:tcW w:type="dxa" w:w="2160"/>
          </w:tcPr>
          <w:p>
            <w:r>
              <w:rPr>
                <w:b/>
                <w:sz w:val="17"/>
              </w:rPr>
              <w:t>Effective date</w:t>
            </w:r>
          </w:p>
        </w:tc>
        <w:tc>
          <w:tcPr>
            <w:tcW w:type="dxa" w:w="2160"/>
          </w:tcPr>
          <w:p>
            <w:r>
              <w:rPr>
                <w:b w:val="0"/>
                <w:sz w:val="17"/>
              </w:rPr>
              <w:t>2026-08-05</w:t>
            </w:r>
          </w:p>
        </w:tc>
      </w:tr>
      <w:tr>
        <w:tc>
          <w:tcPr>
            <w:tcW w:type="dxa" w:w="2160"/>
          </w:tcPr>
          <w:p>
            <w:r>
              <w:rPr>
                <w:b/>
                <w:sz w:val="17"/>
              </w:rPr>
              <w:t>Owner</w:t>
            </w:r>
          </w:p>
        </w:tc>
        <w:tc>
          <w:tcPr>
            <w:tcW w:type="dxa" w:w="2160"/>
          </w:tcPr>
          <w:p>
            <w:r>
              <w:rPr>
                <w:b w:val="0"/>
                <w:sz w:val="17"/>
              </w:rPr>
              <w:t>Marketing</w:t>
            </w:r>
          </w:p>
        </w:tc>
        <w:tc>
          <w:tcPr>
            <w:tcW w:type="dxa" w:w="2160"/>
          </w:tcPr>
          <w:p>
            <w:r>
              <w:rPr>
                <w:b/>
                <w:sz w:val="17"/>
              </w:rPr>
              <w:t>Review date</w:t>
            </w:r>
          </w:p>
        </w:tc>
        <w:tc>
          <w:tcPr>
            <w:tcW w:type="dxa" w:w="2160"/>
          </w:tcPr>
          <w:p>
            <w:r>
              <w:rPr>
                <w:b w:val="0"/>
                <w:sz w:val="17"/>
              </w:rPr>
              <w:t>2027-08-05</w:t>
            </w:r>
          </w:p>
        </w:tc>
      </w:tr>
      <w:tr>
        <w:tc>
          <w:tcPr>
            <w:tcW w:type="dxa" w:w="2160"/>
          </w:tcPr>
          <w:p>
            <w:r>
              <w:rPr>
                <w:b/>
                <w:sz w:val="17"/>
              </w:rPr>
              <w:t>Supersedes</w:t>
            </w:r>
          </w:p>
        </w:tc>
        <w:tc>
          <w:tcPr>
            <w:tcW w:type="dxa" w:w="2160"/>
          </w:tcPr>
          <w:p>
            <w:r>
              <w:rPr>
                <w:b w:val="0"/>
                <w:sz w:val="17"/>
              </w:rPr>
              <w:t>SOP-MKT-013 v1.0</w:t>
            </w:r>
          </w:p>
        </w:tc>
        <w:tc>
          <w:tcPr>
            <w:tcW w:type="dxa" w:w="2160"/>
          </w:tcPr>
          <w:p>
            <w:r>
              <w:rPr>
                <w:b/>
                <w:sz w:val="17"/>
              </w:rPr>
              <w:t>Status</w:t>
            </w:r>
          </w:p>
        </w:tc>
        <w:tc>
          <w:tcPr>
            <w:tcW w:type="dxa" w:w="2160"/>
          </w:tcPr>
          <w:p>
            <w:r>
              <w:rPr>
                <w:b w:val="0"/>
                <w:sz w:val="17"/>
              </w:rPr>
              <w:t>Active</w:t>
            </w:r>
          </w:p>
        </w:tc>
      </w:tr>
    </w:tbl>
    <w:p>
      <w:pPr>
        <w:pStyle w:val="Heading1"/>
      </w:pPr>
      <w:r>
        <w:t>0. Summary of Changes in Version 2.0</w:t>
      </w:r>
    </w:p>
    <w:p>
      <w:r>
        <w:t>This version replaces version one. §2.1 shortens the Search Console access request deadline from five days to three days. §3.2 raises proofreading from at least one colleague to at least two colleagues. §4.2 withdraws the open permission for guest posts. §5 on search reporting moves to the analytics runbook and is removed. §6 on AI-assisted content is new.</w:t>
      </w:r>
    </w:p>
    <w:p>
      <w:pPr>
        <w:pStyle w:val="Heading1"/>
      </w:pPr>
      <w:r>
        <w:t>1. Purpose and Scope</w:t>
      </w:r>
    </w:p>
    <w:p>
      <w:r>
        <w:t>1.1 This procedure describes how the Marketing department manages search, analytics and published content.</w:t>
      </w:r>
    </w:p>
    <w:p>
      <w:r>
        <w:t>1.2 This procedure is read together with the Data Privacy Policy (POL-PRIVACY-004).</w:t>
      </w:r>
    </w:p>
    <w:p>
      <w:pPr>
        <w:pStyle w:val="Heading1"/>
      </w:pPr>
      <w:r>
        <w:t>2. Search Console and Analytics</w:t>
      </w:r>
    </w:p>
    <w:p>
      <w:r>
        <w:t>2.1 SEO Specialists must request Google Search Console access through the Marketing lead within three calendar days of their joining date.</w:t>
      </w:r>
    </w:p>
    <w:p>
      <w:r>
        <w:t>2.2 SEO Specialists must verify that analytics tags fire only after cookie consent is given.</w:t>
      </w:r>
    </w:p>
    <w:p>
      <w:r>
        <w:t>2.3 Analytics tags must be deployed through the tag manager and never hard-coded in page templates.</w:t>
      </w:r>
    </w:p>
    <w:p>
      <w:r>
        <w:t>2.4 SEO Specialists must not share Search Console access with agencies through personal accounts.</w:t>
      </w:r>
    </w:p>
    <w:p>
      <w:pPr>
        <w:pStyle w:val="Heading1"/>
      </w:pPr>
      <w:r>
        <w:t>3. Content Approval</w:t>
      </w:r>
    </w:p>
    <w:p>
      <w:r>
        <w:t>3.1 SEO Specialists must obtain content approval from the Marketing lead before publishing any page.</w:t>
      </w:r>
    </w:p>
    <w:p>
      <w:r>
        <w:t>3.2 Every published page must be proofread by at least two colleagues besides the author.</w:t>
      </w:r>
    </w:p>
    <w:p>
      <w:r>
        <w:t>3.3 SEO Specialists should run a keyword review for each client site every month.</w:t>
      </w:r>
    </w:p>
    <w:p>
      <w:pPr>
        <w:pStyle w:val="Heading1"/>
      </w:pPr>
      <w:r>
        <w:t>4. Link Building</w:t>
      </w:r>
    </w:p>
    <w:p>
      <w:r>
        <w:t>4.1 SEO Specialists must not buy backlinks or join link exchange schemes.</w:t>
      </w:r>
    </w:p>
    <w:p>
      <w:r>
        <w:t>4.2 Guest posts must not be accepted until the Marketing lead has vetted the author.</w:t>
      </w:r>
    </w:p>
    <w:p>
      <w:pPr>
        <w:pStyle w:val="Heading1"/>
      </w:pPr>
      <w:r>
        <w:t>6. AI-Assisted Content</w:t>
      </w:r>
    </w:p>
    <w:p>
      <w:r>
        <w:t>6.1 SEO Specialists must label AI-assisted drafts in the content calendar.</w:t>
      </w:r>
    </w:p>
    <w:p>
      <w:r>
        <w:t>6.2 AI-assisted text must be fact-checked by a human editor before publication.</w:t>
      </w:r>
    </w:p>
    <w:p>
      <w:pPr>
        <w:pStyle w:val="Heading1"/>
      </w:pPr>
      <w:r>
        <w:t>Document Control</w:t>
      </w:r>
    </w:p>
    <w:p>
      <w:r>
        <w:t>Owner, version, effective date and review date appear in the control table at the top of the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and Content Procedure</dc:title>
  <dc:subject/>
  <dc:creator>Nexora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