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Marulan Gas Fired Power Station</w:t>
      </w:r>
    </w:p>
    <w:p>
      <w:r>
        <w:t>Generated on: 2026-04-02 10:48:55</w:t>
      </w:r>
    </w:p>
    <w:p>
      <w:pPr>
        <w:pStyle w:val="Heading1"/>
      </w:pPr>
      <w:r>
        <w:t>Project Summary</w:t>
      </w:r>
    </w:p>
    <w:p>
      <w:r>
        <w:t>The Marulan Gas Fired Power Station project, sponsored by EnergyAustralia, proposes the construction and operation of two adjacent gas-fired power stations with a combined capacity of up to 1.43 GW in Brayton, NSW, Australia. The project includes upgrades to infrastructure such as gas pipelines, power connection to Transgrid’s Marulan substation, and construction facilities. Modifications aim to extend project approvals and support grid reliability as thermal generators are retired, aligning with evolving National Energy Market needs. The project will contribute vital dispatchable energy capacity and grid stability to facilitate the integration of renewable energy sources.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Brayton</w:t>
            </w:r>
          </w:p>
        </w:tc>
      </w:tr>
      <w:tr>
        <w:tc>
          <w:tcPr>
            <w:tcW w:type="dxa" w:w="4320"/>
          </w:tcPr>
          <w:p>
            <w:r>
              <w:t>Location</w:t>
            </w:r>
          </w:p>
        </w:tc>
        <w:tc>
          <w:tcPr>
            <w:tcW w:type="dxa" w:w="4320"/>
          </w:tcPr>
          <w:p>
            <w:r>
              <w:t>Canyonleigh Rd, Brayton, NSW, 2579</w:t>
            </w:r>
          </w:p>
        </w:tc>
      </w:tr>
      <w:tr>
        <w:tc>
          <w:tcPr>
            <w:tcW w:type="dxa" w:w="4320"/>
          </w:tcPr>
          <w:p>
            <w:r>
              <w:t>Sector</w:t>
            </w:r>
          </w:p>
        </w:tc>
        <w:tc>
          <w:tcPr>
            <w:tcW w:type="dxa" w:w="4320"/>
          </w:tcPr>
          <w:p>
            <w:r>
              <w:t>Energy</w:t>
            </w:r>
          </w:p>
        </w:tc>
      </w:tr>
      <w:tr>
        <w:tc>
          <w:tcPr>
            <w:tcW w:type="dxa" w:w="4320"/>
          </w:tcPr>
          <w:p>
            <w:r>
              <w:t>Sub-Sector</w:t>
            </w:r>
          </w:p>
        </w:tc>
        <w:tc>
          <w:tcPr>
            <w:tcW w:type="dxa" w:w="4320"/>
          </w:tcPr>
          <w:p>
            <w:r>
              <w:t>Gas Fired Power Generation</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EnergyAustralia</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1/04/2026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https://epbcpublicportal.environment.gov.au/all-referrals/project-referral-summary/?id=de759d5e-d818-f111-8342-7ced8dd16664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de759d5e-d818-f111-8342-7ced8dd16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