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Korean DART Disclosure Summary</w:t>
      </w:r>
    </w:p>
    <w:p>
      <w:r>
        <w:t>Generated on: 2026-03-31 16:43:34</w:t>
      </w:r>
    </w:p>
    <w:p>
      <w:pPr>
        <w:pStyle w:val="Heading1"/>
      </w:pPr>
      <w:r>
        <w:t>Source URL</w:t>
      </w:r>
    </w:p>
    <w:p>
      <w:r>
        <w:t>https://englishdart.fss.or.kr/dsbh001/main.do?rcpNo=20260310901403</w:t>
      </w:r>
    </w:p>
    <w:p>
      <w:pPr>
        <w:pStyle w:val="Heading1"/>
      </w:pPr>
      <w:r>
        <w:t>Summary</w:t>
      </w:r>
    </w:p>
    <w:p>
      <w:r>
        <w:t>Osang Healthcare announced a decision on a cash dividend, as disclosed under the jurisdiction of the Korea Exchange’s KOSDAQ Market Headquarters. The disclosure was published on March 10, 2026.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Project / Asset Name</w:t>
            </w:r>
          </w:p>
        </w:tc>
        <w:tc>
          <w:tcPr>
            <w:tcW w:type="dxa" w:w="4320"/>
          </w:tcPr>
          <w:p>
            <w:r>
              <w:t>Osang Healthcare</w:t>
            </w:r>
          </w:p>
        </w:tc>
      </w:tr>
      <w:tr>
        <w:tc>
          <w:tcPr>
            <w:tcW w:type="dxa" w:w="4320"/>
          </w:tcPr>
          <w:p>
            <w:r>
              <w:t>Country / City</w:t>
            </w:r>
          </w:p>
        </w:tc>
        <w:tc>
          <w:tcPr>
            <w:tcW w:type="dxa" w:w="4320"/>
          </w:tcPr>
          <w:p>
            <w:r>
              <w:t>South Korea</w:t>
            </w:r>
          </w:p>
        </w:tc>
      </w:tr>
      <w:tr>
        <w:tc>
          <w:tcPr>
            <w:tcW w:type="dxa" w:w="4320"/>
          </w:tcPr>
          <w:p>
            <w:r>
              <w:t>Sector / Sub-sector</w:t>
            </w:r>
          </w:p>
        </w:tc>
        <w:tc>
          <w:tcPr>
            <w:tcW w:type="dxa" w:w="4320"/>
          </w:tcPr>
          <w:p>
            <w:r>
              <w:t>Healthcare</w:t>
            </w:r>
          </w:p>
        </w:tc>
      </w:tr>
      <w:tr>
        <w:tc>
          <w:tcPr>
            <w:tcW w:type="dxa" w:w="4320"/>
          </w:tcPr>
          <w:p>
            <w:r>
              <w:t>Investment / Deal Value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  <w:tr>
        <w:tc>
          <w:tcPr>
            <w:tcW w:type="dxa" w:w="4320"/>
          </w:tcPr>
          <w:p>
            <w:r>
              <w:t>Sponsors / Investors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  <w:tr>
        <w:tc>
          <w:tcPr>
            <w:tcW w:type="dxa" w:w="4320"/>
          </w:tcPr>
          <w:p>
            <w:r>
              <w:t>Lenders / Banks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  <w:tr>
        <w:tc>
          <w:tcPr>
            <w:tcW w:type="dxa" w:w="4320"/>
          </w:tcPr>
          <w:p>
            <w:r>
              <w:t>Project Status / Stage</w:t>
            </w:r>
          </w:p>
        </w:tc>
        <w:tc>
          <w:tcPr>
            <w:tcW w:type="dxa" w:w="4320"/>
          </w:tcPr>
          <w:p>
            <w:r>
              <w:t>Decision on Cash Dividend</w:t>
            </w:r>
          </w:p>
        </w:tc>
      </w:tr>
      <w:tr>
        <w:tc>
          <w:tcPr>
            <w:tcW w:type="dxa" w:w="4320"/>
          </w:tcPr>
          <w:p>
            <w:r>
              <w:t>Source / Publication Date</w:t>
            </w:r>
          </w:p>
        </w:tc>
        <w:tc>
          <w:tcPr>
            <w:tcW w:type="dxa" w:w="4320"/>
          </w:tcPr>
          <w:p>
            <w:r>
              <w:t>2026.03.10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