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4. Project Planning Phase</w:t>
      </w:r>
    </w:p>
    <w:p>
      <w:pPr>
        <w:jc w:val="center"/>
        <w:rPr>
          <w:b/>
          <w:bCs/>
        </w:rPr>
      </w:pPr>
      <w:r>
        <w:rPr>
          <w:b/>
          <w:bCs/>
        </w:rPr>
        <w:t>Team ID : SWTID-2026-9940</w:t>
      </w:r>
      <w:bookmarkStart w:id="0" w:name="_GoBack"/>
      <w:bookmarkEnd w:id="0"/>
    </w:p>
    <w:p/>
    <w:p>
      <w:pPr>
        <w:pStyle w:val="1"/>
      </w:pPr>
      <w:r>
        <w:t>Abstract</w:t>
      </w:r>
    </w:p>
    <w:p>
      <w:r>
        <w:t>This plan organizes the work into deliverables, dependencies, milestones, risks, and verification activities for implementing the ticket classification prototype.</w:t>
      </w:r>
    </w:p>
    <w:p>
      <w:pPr>
        <w:pStyle w:val="1"/>
      </w:pPr>
      <w:r>
        <w:t>1. Project Approach</w:t>
      </w:r>
    </w:p>
    <w:p>
      <w:r>
        <w:t>Use a phased lifecycle: ideation, requirement analysis, design, planning, development/configuration, testing and validation, and final documentation/demo. The source PDF labels some phase numbers inconsistently; this folder structure follows the seven folders shown in the user's screenshot.</w:t>
      </w:r>
    </w:p>
    <w:p>
      <w:pPr>
        <w:pStyle w:val="2"/>
      </w:pPr>
      <w:r>
        <w:t>2. Work Breakdown Structure</w:t>
      </w:r>
    </w:p>
    <w:p>
      <w:r>
        <w:t>Task 1: confirm use case and issue categories. Task 2: define field schema and acceptance criteria. Task 3: create Update Set and custom table. Task 4: configure fields and dependent choices. Task 5: build and activate Flow Designer branches. Task 6: configure caller email. Task 7: test each branch, data integrity, and access. Task 8: export Update Set XML and prepare report/demo.</w:t>
      </w:r>
    </w:p>
    <w:p>
      <w:pPr>
        <w:pStyle w:val="2"/>
      </w:pPr>
      <w:r>
        <w:t>3. Deliverables</w:t>
      </w:r>
    </w:p>
    <w:p>
      <w:r>
        <w:t>Requirements specification; data dictionary; architecture and workflow description; configured ServiceNow table; active flow; test-case and result log; deployment Update Set XML; user/developer documentation; and demonstration recording.</w:t>
      </w:r>
    </w:p>
    <w:p>
      <w:pPr>
        <w:pStyle w:val="2"/>
      </w:pPr>
      <w:r>
        <w:t>4. Dependencies</w:t>
      </w:r>
    </w:p>
    <w:p>
      <w:r>
        <w:t>ServiceNow instance access, permission to create tables and flows, caller user records with email addresses, configured outbound email, and a suitable test environment are prerequisites.</w:t>
      </w:r>
    </w:p>
    <w:p>
      <w:pPr>
        <w:pStyle w:val="2"/>
      </w:pPr>
      <w:r>
        <w:t>5. Risk Register</w:t>
      </w:r>
    </w:p>
    <w:p>
      <w:r>
        <w:t>Keyword mismatch → maintain synonym list and test variants. Multiple keywords → define branch priority. Missing email → validate caller email and log failures. Incorrect choice mapping → verify dependent choices. Unauthorized access → review roles/ACLs. Update Set omissions → inspect captured changes and test import in a target instance.</w:t>
      </w:r>
    </w:p>
    <w:p>
      <w:pPr>
        <w:pStyle w:val="2"/>
      </w:pPr>
      <w:r>
        <w:t>6. Quality Plan</w:t>
      </w:r>
    </w:p>
    <w:p>
      <w:r>
        <w:t>Use peer review of mappings, test cases for positive and negative inputs, saved-record verification, email log inspection, role-based access checks, and a final demonstration checklist.</w:t>
      </w:r>
    </w:p>
    <w:p>
      <w:pPr>
        <w:pStyle w:val="2"/>
      </w:pPr>
      <w:r>
        <w:t>7. Proposed Milestones</w:t>
      </w:r>
    </w:p>
    <w:p>
      <w:r>
        <w:t>M1 requirements approved; M2 table and fields complete; M3 dependent choices complete; M4 flow and email configured; M5 test evidence complete; M6 Update Set exported; M7 documentation and demo finalized.</w:t>
      </w:r>
    </w:p>
    <w:p>
      <w:pPr>
        <w:pStyle w:val="2"/>
      </w:pPr>
      <w:r>
        <w:t>8. Change Management</w:t>
      </w:r>
    </w:p>
    <w:p>
      <w:r>
        <w:t>Record configuration changes in the named Update Set. Before deployment, confirm all required artifacts are captured, set the Update Set to Complete, export XML, and validate the imported configuration in the target instance.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Honor_Office</Application>
  <Pages>2</Pages>
  <Words>370</Words>
  <Characters>2348</Characters>
  <Lines>44</Lines>
  <Paragraphs>23</Paragraphs>
  <CharactersWithSpaces>2695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2026-10-04T08:34:31Z</dcterms:modified>
</cp:coreProperties>
</file>