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t xml:space="preserve">{{ cell_model }}  —  </w:t>
      </w:r>
      <w:r>
        <w:t xml:space="preserve">{{ </w:t>
      </w:r>
      <w:r>
        <w:rPr>
          <w:b/>
        </w:rPr>
        <w:t>manufacturer_from_datasheet</w:t>
      </w:r>
      <w:r>
        <w:rPr>
          <w:i w:val="0"/>
        </w:rPr>
        <w:t xml:space="preserve">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doc_number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market</w:t>
            </w:r>
            <w:r>
              <w:rPr>
                <w:i w:val="0"/>
              </w:rPr>
              <w:t xml:space="preserve"> }}</w:t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 xml:space="preserve">This protocol defines the qualification testing of the </w:t>
      </w:r>
      <w:r>
        <w:t xml:space="preserve">{{ </w:t>
      </w:r>
      <w:r>
        <w:rPr>
          <w:b w:val="0"/>
        </w:rPr>
        <w:t>cell_model</w:t>
      </w:r>
      <w:r>
        <w:rPr>
          <w:i w:val="0"/>
        </w:rPr>
        <w:t xml:space="preserve"> }}</w:t>
      </w:r>
      <w:r>
        <w:t xml:space="preserve"> cell manufactured by </w:t>
      </w:r>
      <w:r>
        <w:t xml:space="preserve">{{ </w:t>
      </w:r>
      <w:r>
        <w:rPr>
          <w:b/>
        </w:rPr>
        <w:t>manufacturer_from_datasheet</w:t>
      </w:r>
      <w:r>
        <w:rPr>
          <w:i w:val="0"/>
        </w:rPr>
        <w:t xml:space="preserve"> }}</w:t>
      </w:r>
      <w:r>
        <w:t xml:space="preserve">, under </w:t>
      </w:r>
      <w:r>
        <w:t xml:space="preserve">{{ </w:t>
      </w:r>
      <w:r>
        <w:rPr>
          <w:b w:val="0"/>
        </w:rPr>
        <w:t>framework</w:t>
      </w:r>
      <w:r>
        <w:rPr>
          <w:i w:val="0"/>
        </w:rPr>
        <w:t xml:space="preserve"> }}</w:t>
      </w:r>
      <w:r>
        <w:t xml:space="preserve">. The cell is qualified across the following duty profiles: </w:t>
      </w:r>
      <w:r>
        <w:t xml:space="preserve">{{ </w:t>
      </w:r>
      <w:r>
        <w:rPr>
          <w:b w:val="0"/>
        </w:rPr>
        <w:t>duty_profiles</w:t>
      </w:r>
      <w:r>
        <w:rPr>
          <w:i w:val="0"/>
        </w:rPr>
        <w:t xml:space="preserve"> }}</w:t>
      </w:r>
      <w:r>
        <w:t>.</w:t>
      </w:r>
    </w:p>
    <w:p>
      <w:r>
        <w:rPr>
          <w:b/>
          <w:color w:val="1F3A5F"/>
          <w:sz w:val="26"/>
        </w:rPr>
        <w:t>2. Scope</w:t>
      </w:r>
    </w:p>
    <w:p>
      <w:r>
        <w:t xml:space="preserve">Applies to the </w:t>
      </w:r>
      <w:r>
        <w:t xml:space="preserve">{{ </w:t>
      </w:r>
      <w:r>
        <w:rPr>
          <w:b w:val="0"/>
        </w:rPr>
        <w:t>format_from_datasheet</w:t>
      </w:r>
      <w:r>
        <w:rPr>
          <w:i w:val="0"/>
        </w:rPr>
        <w:t xml:space="preserve"> }}</w:t>
      </w:r>
      <w:r>
        <w:t xml:space="preserve"> cell of chemistry </w:t>
      </w:r>
      <w:r>
        <w:t xml:space="preserve">{{ </w:t>
      </w:r>
      <w:r>
        <w:rPr>
          <w:b w:val="0"/>
        </w:rPr>
        <w:t>chemistry</w:t>
      </w:r>
      <w:r>
        <w:rPr>
          <w:i w:val="0"/>
        </w:rPr>
        <w:t xml:space="preserve"> }}</w:t>
      </w:r>
      <w:r>
        <w:t xml:space="preserve">. Testing is performed by </w:t>
      </w:r>
      <w:r>
        <w:t xml:space="preserve">{{ </w:t>
      </w:r>
      <w:r>
        <w:rPr>
          <w:b w:val="0"/>
        </w:rPr>
        <w:t>lab</w:t>
      </w:r>
      <w:r>
        <w:rPr>
          <w:i w:val="0"/>
        </w:rPr>
        <w:t xml:space="preserve"> }}</w:t>
      </w:r>
      <w:r>
        <w:t>.</w:t>
      </w:r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 xml:space="preserve">Test Method Procedure: </w:t>
      </w:r>
      <w:r>
        <w:t xml:space="preserve">{{ </w:t>
      </w:r>
      <w:r>
        <w:rPr>
          <w:b w:val="0"/>
        </w:rPr>
        <w:t>tmp_doc_title</w:t>
      </w:r>
      <w:r>
        <w:rPr>
          <w:i w:val="0"/>
        </w:rPr>
        <w:t xml:space="preserve"> }}</w:t>
      </w:r>
    </w:p>
    <w:p>
      <w:pPr>
        <w:pStyle w:val="ListBullet"/>
      </w:pPr>
      <w:r>
        <w:t xml:space="preserve">Acceptance Criteria &amp; Limits: </w:t>
      </w:r>
      <w:r>
        <w:t xml:space="preserve">{{ </w:t>
      </w:r>
      <w:r>
        <w:rPr>
          <w:b w:val="0"/>
        </w:rPr>
        <w:t>acl_doc_title</w:t>
      </w:r>
      <w:r>
        <w:rPr>
          <w:i w:val="0"/>
        </w:rPr>
        <w:t xml:space="preserve"> }}</w:t>
      </w:r>
    </w:p>
    <w:p>
      <w:pPr>
        <w:pStyle w:val="ListBullet"/>
      </w:pPr>
      <w:r>
        <w:t xml:space="preserve">Vendor datasheet: </w:t>
      </w:r>
      <w:r>
        <w:t xml:space="preserve">{{ </w:t>
      </w:r>
      <w:r>
        <w:rPr>
          <w:b w:val="0"/>
        </w:rPr>
        <w:t>datasheet_title</w:t>
      </w:r>
      <w:r>
        <w:rPr>
          <w:i w:val="0"/>
        </w:rPr>
        <w:t xml:space="preserve"> }}</w:t>
      </w:r>
    </w:p>
    <w:p>
      <w:r>
        <w:rPr>
          <w:b/>
          <w:color w:val="1F3A5F"/>
          <w:sz w:val="26"/>
        </w:rPr>
        <w:t>4. Test Article Description</w:t>
      </w:r>
    </w:p>
    <w:p>
      <w:r>
        <w:t>The following values are taken from the vendor datasheet.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manufacturer_from_datasheet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format_from_datasheet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nominal_voltage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v_max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v_min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rated_capacity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storage_from_datasheet</w:t>
            </w:r>
            <w:r>
              <w:rPr>
                <w:i w:val="0"/>
              </w:rPr>
              <w:t xml:space="preserve"> }}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r>
              <w:t xml:space="preserve">{{ </w:t>
            </w:r>
            <w:r>
              <w:rPr>
                <w:b w:val="0"/>
              </w:rPr>
              <w:t>supplied_as_from_datasheet</w:t>
            </w:r>
            <w:r>
              <w:rPr>
                <w:i w:val="0"/>
              </w:rPr>
              <w:t xml:space="preserve"> }}</w:t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 xml:space="preserve">Each cell is conditioned by CC-CV charge to </w:t>
      </w:r>
      <w:r>
        <w:t xml:space="preserve">{{ </w:t>
      </w:r>
      <w:r>
        <w:rPr>
          <w:b w:val="0"/>
        </w:rPr>
        <w:t>v_max</w:t>
      </w:r>
      <w:r>
        <w:rPr>
          <w:i w:val="0"/>
        </w:rPr>
        <w:t xml:space="preserve"> }}</w:t>
      </w:r>
      <w:r>
        <w:t xml:space="preserve"> and discharge to </w:t>
      </w:r>
      <w:r>
        <w:t xml:space="preserve">{{ </w:t>
      </w:r>
      <w:r>
        <w:rPr>
          <w:b w:val="0"/>
        </w:rPr>
        <w:t>v_min</w:t>
      </w:r>
      <w:r>
        <w:rPr>
          <w:i w:val="0"/>
        </w:rPr>
        <w:t xml:space="preserve"> }}</w:t>
      </w:r>
      <w:r>
        <w:t xml:space="preserve">. Cells whose graded capacity falls outside the band </w:t>
      </w:r>
      <w:r>
        <w:t xml:space="preserve">{{ </w:t>
      </w:r>
      <w:r>
        <w:rPr>
          <w:b w:val="0"/>
        </w:rPr>
        <w:t>grading_low</w:t>
      </w:r>
      <w:r>
        <w:rPr>
          <w:i w:val="0"/>
        </w:rPr>
        <w:t xml:space="preserve"> }}</w:t>
      </w:r>
      <w:r>
        <w:t xml:space="preserve"> to </w:t>
      </w:r>
      <w:r>
        <w:t xml:space="preserve">{{ </w:t>
      </w:r>
      <w:r>
        <w:rPr>
          <w:b w:val="0"/>
        </w:rPr>
        <w:t>grading_high</w:t>
      </w:r>
      <w:r>
        <w:rPr>
          <w:i w:val="0"/>
        </w:rPr>
        <w:t xml:space="preserve"> }}</w:t>
      </w:r>
      <w:r>
        <w:t xml:space="preserve"> are rejected before testing.</w:t>
      </w:r>
    </w:p>
    <w:p>
      <w:r>
        <w:rPr>
          <w:b/>
          <w:color w:val="1F3A5F"/>
          <w:sz w:val="26"/>
        </w:rPr>
        <w:t>6. Duty Profile Test Matrix</w:t>
      </w:r>
    </w:p>
    <w:p>
      <w:r>
        <w:t>Table 1 — expands to one row per duty profile and conditioning rate.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1656"/>
          </w:tcPr>
          <w:p>
            <w:r>
              <w:t xml:space="preserve">Automotive Traction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1656"/>
          </w:tcPr>
          <w:p>
            <w:r>
              <w:t xml:space="preserve">Automotive Traction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1656"/>
          </w:tcPr>
          <w:p>
            <w:r>
              <w:t xml:space="preserve">Grid Storage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0.5C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1656"/>
          </w:tcPr>
          <w:p>
            <w:r>
              <w:t xml:space="preserve">Consumer Electronics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0.7C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1656"/>
          </w:tcPr>
          <w:p>
            <w:r>
              <w:t xml:space="preserve">Consumer Electronics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1.0C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4.20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2.80 V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  <w:tc>
          <w:tcPr>
            <w:tcW w:type="dxa" w:w="1656"/>
          </w:tcPr>
          <w:p>
            <w:r>
              <w:t xml:space="preserve">500</w:t>
            </w:r>
            <w:r>
              <w:rPr>
                <w:b w:val="0"/>
              </w:rPr>
              <w:t/>
            </w:r>
            <w:r>
              <w:rPr>
                <w:i w:val="0"/>
              </w:rPr>
              <w:t xml:space="preserve"/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t>The block below is repeated for each duty profile. The placeholder row is replaced by one row per test taken from the ACL for that duty profile.</w:t>
      </w:r>
    </w:p>
    <w:p>
      <w:r>
        <w:rPr>
          <w:b/>
          <w:sz w:val="24"/>
        </w:rPr>
        <w:t>7.1 Qualification Tests — Automotive Traction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{{ framework }}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r>
        <w:t>All listed parameters meet the acceptance limits for this duty profile.</w:t>
      </w:r>
    </w:p>
    <w:p>
      <w:r>
        <w:rPr>
          <w:b/>
        </w:rPr>
        <w:t>Conclusion:</w:t>
      </w:r>
    </w:p>
    <w:p>
      <w:r>
        <w:t>The cell is qualified for this duty profile, subject to review.</w:t>
      </w:r>
    </w:p>
    <w:p/>
    <w:p>
      <w:r>
        <w:rPr>
          <w:b/>
          <w:sz w:val="24"/>
        </w:rPr>
        <w:t>7.2 Qualification Tests — Grid Storage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{{ framework }}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(lot-acceptance)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r>
        <w:t>All listed parameters meet the acceptance limits for this duty profile.</w:t>
      </w:r>
    </w:p>
    <w:p>
      <w:r>
        <w:rPr>
          <w:b/>
        </w:rPr>
        <w:t>Conclusion:</w:t>
      </w:r>
    </w:p>
    <w:p>
      <w:r>
        <w:t>The cell is qualified for this duty profile, subject to review.</w:t>
      </w:r>
    </w:p>
    <w:p/>
    <w:p>
      <w:r>
        <w:rPr>
          <w:b/>
          <w:sz w:val="24"/>
        </w:rPr>
        <w:t>7.3 Qualification Tests — Consumer Electronics</w:t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  <w:r>
        <w:rPr>
          <w:b/>
          <w:sz w:val="24"/>
        </w:rPr>
        <w:t xml:space="preserve"/>
      </w:r>
      <w:r>
        <w:t xml:space="preserve"/>
      </w:r>
      <w:r>
        <w:rPr>
          <w:b/>
        </w:rPr>
        <w:t/>
      </w:r>
      <w:r>
        <w:rPr>
          <w:i w:val="0"/>
        </w:rP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{{ framework }} Clause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98.0 % of rated capacity at 0.5C, 25 °C (field-return cells: ≥ 96.0 %)  *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§6.2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≤ 18 mΩ at 50 % SOC, 25 °C  #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80 % capacity retention after 500 cycles 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§6.4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≥ 100 MΩ at 500 V DC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§6.5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External Short-Circuit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Case temperature ≤ 75 °C; no fire, no rupture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§6.9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8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Thermal Stability (Hot-Box)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§6.11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9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  <w:r>
              <w:t>§6.12</w:t>
            </w:r>
          </w:p>
        </w:tc>
      </w:tr>
    </w:tbl>
    <w:p>
      <w:r>
        <w:rPr>
          <w:b/>
        </w:rPr>
        <w:t>Acceptance Criteria:</w:t>
      </w:r>
    </w:p>
    <w:p>
      <w:r>
        <w:t>All listed parameters meet the acceptance limits for this duty profile.</w:t>
      </w:r>
    </w:p>
    <w:p>
      <w:r>
        <w:rPr>
          <w:b/>
        </w:rPr>
        <w:t>Conclusion:</w:t>
      </w:r>
    </w:p>
    <w:p>
      <w:r>
        <w:t>The cell is qualified for this duty profile, subject to review.</w:t>
      </w:r>
    </w:p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  <w:br/>
        <w:br/>
        <w:t># DCIR is measured by a 10 s DC pulse at 1.0C and corrected to 50% SOC.</w:t>
        <w:br/>
        <w:br/>
        <w:t>@ Mechanical-abuse limits apply to cylindrical and prismatic formats; pouch cells are governed by Annex P.</w:t>
        <w:br/>
        <w:br/>
        <w:t>$ The test voltage window is defined by the cell vendor datasheet electrical ratings, not by this table.</w:t>
      </w:r>
    </w:p>
    <w:p>
      <w:r>
        <w:rPr>
          <w:b/>
          <w:color w:val="1F3A5F"/>
          <w:sz w:val="26"/>
        </w:rPr>
        <w:t>Revision Record</w:t>
      </w:r>
    </w:p>
    <w:p>
      <w:r>
        <w:t>This table is completed manually and MUST remain blank at issue.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{{ doc_number }}    |    IESF-4400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