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09 — Gerenciamento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Engineering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Projeto e Relatório de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rHeight w:val="186.431640625" w:hRule="atLeast"/>
          <w:tblHeader w:val="1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44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PARTE A — PLANO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O que está incluído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projeto engloba a documentação completa de engenharia para o Sistema de Gestão de Consultório Médico, com planejamento operacional baseado nas 18 Áreas do Conhecimento (KAs) do SWEBOK v4.0. O sistema será projetado para atender consultórios de pequeno e médio porte, contendo: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Controle de login com níveis de acesso rígidos para três perfis: Administrador, Médico e Recepcionista.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 completo, histórico de consultas e opção de inativação de fichas.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Agenda: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Agendamento de consultas com trava visual para impedir que dois pacientes marquem no mesmo horário com o mesmo médico.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Prontuário Eletrônico (PEP): 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Registro de evolução clínica, histórico de alergias e remédios de uso contínuo.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Receitas 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Emissão digital de prescrições de medicamentos e pedidos de exames laboratoriais ou de imagem.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Relatórios: </w:t>
      </w:r>
      <w:r w:rsidDel="00000000" w:rsidR="00000000" w:rsidRPr="00000000">
        <w:rPr>
          <w:rFonts w:ascii="Arial" w:cs="Arial" w:eastAsia="Arial" w:hAnsi="Arial"/>
          <w:rtl w:val="0"/>
        </w:rPr>
        <w:t xml:space="preserve">Gráficos simples com o total de consultas realizadas e faltas por período.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O que está fora do escopo (exclusões)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Estão excluídos do escopo deste projeto: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Atendimento por chamada de vídeo (telemedicina) nativa.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pagamento direto ou integração com máquinas de cartão de crédito.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Aplicativos nativos para Android ou iOS (o sistema será exclusivamente Web Responsivo).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Premissas e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01: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Serão usadas ferramentas que permitem gerenciamento de projetos em equipe, como Google Docs, Notion e Github, podendo sofrer alterações conforme o andamento do projeto e discussões nas reuniões de alinhamento.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02: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Serão utilizados meios de comunicação assíncronos (WhatsApp, Discord) para garantir a estabilidade do projeto e comunicação frequente, em grupos específicos para tratativa.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Premissa 03: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um dos 6 integrantes da equipe </w:t>
      </w:r>
      <w:r w:rsidDel="00000000" w:rsidR="00000000" w:rsidRPr="00000000">
        <w:rPr>
          <w:rFonts w:ascii="Arial" w:cs="Arial" w:eastAsia="Arial" w:hAnsi="Arial"/>
          <w:rtl w:val="0"/>
        </w:rPr>
        <w:t xml:space="preserve">dedicará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as 16 semanas, com cargas distribuídas de acordo com a semana e alinhamento síncrono e assíncrono.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projeto deve estar integralmente concluído, testado e documentado dentro do prazo de 16 semanas.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02: </w:t>
      </w:r>
      <w:r w:rsidDel="00000000" w:rsidR="00000000" w:rsidRPr="00000000">
        <w:rPr>
          <w:rFonts w:ascii="Arial" w:cs="Arial" w:eastAsia="Arial" w:hAnsi="Arial"/>
          <w:rtl w:val="0"/>
        </w:rPr>
        <w:t xml:space="preserve">O armazenamento e o processamento de todo e qualquer dado clínico devem obrigatoriamente seguir a Lei nº 13.709/2018 (LGPD) e a resolução CFM nº 2.299/2021, garantindo conformidade legal no tratamento de dados clínicos.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03:</w:t>
      </w:r>
      <w:r w:rsidDel="00000000" w:rsidR="00000000" w:rsidRPr="00000000">
        <w:rPr>
          <w:rFonts w:ascii="Arial" w:cs="Arial" w:eastAsia="Arial" w:hAnsi="Arial"/>
          <w:rtl w:val="0"/>
        </w:rPr>
        <w:t xml:space="preserve"> A documentação deve seguir ao máximo o padrão SWEBOK v4.0.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04: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Possível disponibilidade limitada dos membros devido a outras atividades acadêmicas e períodos prolongados de ausência.</w:t>
      </w:r>
    </w:p>
    <w:p w:rsidR="00000000" w:rsidDel="00000000" w:rsidP="00000000" w:rsidRDefault="00000000" w:rsidRPr="00000000" w14:paraId="00000041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Estrutura Analítica do Projeto (EAP / WBS)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Diagrama da EAP (inserir)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</w:rPr>
        <w:drawing>
          <wp:inline distB="114300" distT="114300" distL="114300" distR="114300">
            <wp:extent cx="5940115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Dicionário da 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Ind w:w="-60.0" w:type="dxa"/>
        <w:tblLayout w:type="fixed"/>
        <w:tblLook w:val="0600"/>
      </w:tblPr>
      <w:tblGrid>
        <w:gridCol w:w="780"/>
        <w:gridCol w:w="2310"/>
        <w:gridCol w:w="3360"/>
        <w:gridCol w:w="2460"/>
        <w:tblGridChange w:id="0">
          <w:tblGrid>
            <w:gridCol w:w="780"/>
            <w:gridCol w:w="2310"/>
            <w:gridCol w:w="3360"/>
            <w:gridCol w:w="24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Pacote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243f6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Projeto (KA 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dos objetivos, escopo, premissas, restrições e cronograma de trabalho. Estabelece a linha de base de gerenciamento para todas as 18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Plano de Projeto (PDF/DOCX)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Processo de Engenharia (KA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Formalização do ciclo de vida iterativo-incremental, definição dos critérios de "pronto" e mapeamento do fluxo de produção documental (BPMN).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Processos e Retrospectivas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Prática Profissional (KA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das implicações éticas e legais do projeto, incluindo mapeamento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stakeholders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verificação de conformidade com LGPD e CFM.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Declaração de Ética e Análise Legal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ERS (KA 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Especificação completa dos Requisitos Funcionais e Não Funcionais seguindo o padrão IEEE 830, garantindo rastreabilidade com o plano de testes.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ERS (IEEE 830)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Backlog e Modelos (KA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Criação do Product Backlog com histórias de usuário (Gherkin), diagramas de atividade UML e formalização matemática do domínio.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Backlog e Diagramas Comportamentais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SAD (KA 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 estrutura macro do sistema, visões do C4 Model e registros de decisões arquiteturais (ADRs) que suportam os requisitos de segurança 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Arquitetura (SAD)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SDD (KA 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Projeto detalhado de módulos, diagramas de classe, DER e padrões de projeto aplicados, integrando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Design de Software (SDD)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Guia de Codificação (KA 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dos padrões de codificação, nomenclatura, organização de pacotes e diretrizes de construção segura para evitar vulnerabilidades de software.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Guia de Padrões de Codificação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SQA Plan (KA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Estruturação das atividades de garantia de qualidade, métricas baseadas no paradigma GQM e planos de inspeção e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Garantia de Qualidade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Segurança e LGPD (KA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ameaças via STRIDE, mapeamento de vulnerabilidades (OWASP Top 10) e controles específicos para proteção de dados sensíveis.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Segurança e Conformidade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Testes (KA 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 estratégia de testes em todos os níveis, especificação de casos de teste positivos/negativos e matriz de cobertura de requisitos.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Test Plan e Casos de Teste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Pipeline CI/CD (KA 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Estratégia de implantação, definição de ambientes e automação de integração e entrega contínua (CI/CD).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Implantação e Operação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Manutenção (KA 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da sustentação pós-entrega, incluindo gestão de mudanças e política de tratamento de dívida técnica.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Manutenção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Gerenciamento de Configuração (KA 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Definição das políticas de controle de versão,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branches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baselines e procedimentos para gerência de itens de configuração do projeto.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Gerenciamento de Configuração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Economia da Eng. de Software (KA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 do projeto, estimativas de esforço (story points), análise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Make or Buy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estudo de custo-benefício.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Análise Econômica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Fundamentos (KAs 16/17/18)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Especificação formal (lógica e grafos), fundamentos computacionais e plano de medição consolidado.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Documento de Fundamentos e Métricas</w:t>
            </w:r>
          </w:p>
        </w:tc>
      </w:tr>
    </w:tbl>
    <w:p w:rsidR="00000000" w:rsidDel="00000000" w:rsidP="00000000" w:rsidRDefault="00000000" w:rsidRPr="00000000" w14:paraId="0000008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Diagrama de Gantt ou Tabela de Atividades por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995"/>
        <w:gridCol w:w="1950"/>
        <w:gridCol w:w="2505"/>
        <w:gridCol w:w="1410"/>
        <w:tblGridChange w:id="0">
          <w:tblGrid>
            <w:gridCol w:w="960"/>
            <w:gridCol w:w="1995"/>
            <w:gridCol w:w="1950"/>
            <w:gridCol w:w="2505"/>
            <w:gridCol w:w="14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e Estruturação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09, KA 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Projeto, DoD, BPMN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Ética e 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Declaração de Ética e Análise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Elicitação de Requisitos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ERS Inicial (IEEE 830)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Modelagem de Requisitos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01, KA 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Casos de Uso, Matriz de Rastreabilidade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Refinamento do Backlog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Product Backlog e Especificação Formal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Arquitetura de Software (Macro)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SAD (Visão de Contexto e Contêiner)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Design de Software (Micro)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SDD (Classes, DER, Sequência)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Design de Segurança e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de Ameaças (STRIDE/OWASP)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Construção e Normas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Guia de Padrões de Codificação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Gerência de Configuração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Gerenciamento de Configuração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Garantia de Qualidade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Garantia de Qualidade (SQA)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Testes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Master Test Plan e Casos de Teste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Operações e Manutenção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06, KA 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Plano de Implantação e Manutenção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de Viabilidade e ROI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Fundamentos e Melhorias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16, 17, 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Fundamentos e Relatório de Melhoria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Fechamento e Encerramento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KA 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Relatório Final de Encerramento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Marcos (Milestones)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marcos foram definidos com base na conclusão das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baselines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documentais fundamentais, permitindo que a equipe valide a consistência do sistema antes de avançar para etapas de maior complexidade técnica.</w:t>
      </w:r>
    </w:p>
    <w:p w:rsidR="00000000" w:rsidDel="00000000" w:rsidP="00000000" w:rsidRDefault="00000000" w:rsidRPr="00000000" w14:paraId="000000EB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055"/>
        <w:gridCol w:w="1875"/>
        <w:gridCol w:w="4065"/>
        <w:tblGridChange w:id="0">
          <w:tblGrid>
            <w:gridCol w:w="840"/>
            <w:gridCol w:w="2055"/>
            <w:gridCol w:w="1875"/>
            <w:gridCol w:w="40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Marco (Milestone)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Semana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do Marco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Aprovação do Plano de Projeto (KA 09), Processos (KA 10) e conformidade legal (KA 14).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Homologação da ERS (KA 01), Backlog (KA 11) e Matriz de Rastreabilidade inicial.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Aprovação do SAD (KA 02), SDD (KA 03) e do Plano de SQA (KA 12).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Baseline de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Homologação do Plano de Testes (KA 05) e Análise de Segurança (KA 13).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Entrega Final (Release)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Entrega do Relatório de Fechamento (KA 09), Análise Econômica (KA 15) e documentação final consolidada.</w:t>
            </w:r>
          </w:p>
        </w:tc>
      </w:tr>
    </w:tbl>
    <w:p w:rsidR="00000000" w:rsidDel="00000000" w:rsidP="00000000" w:rsidRDefault="00000000" w:rsidRPr="00000000" w14:paraId="000001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Estimativa de Esforço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de esforço para o desenvolvimento do Sistema de Gestão de Consultório Médico foi realizada utilizando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Técnica de Estimativa por Analogia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complementada por uma análise de decomposição baseada nos pacotes de trabalho da Estrutura Analítica do Projeto (EAP). Esta abordagem foi escolhida por sua eficácia em projetos de documentação técnica, onde o esforço está diretamente correlacionado à complexidade normativa e à interdependência lógica dos artefatos.</w:t>
      </w:r>
    </w:p>
    <w:p w:rsidR="00000000" w:rsidDel="00000000" w:rsidP="00000000" w:rsidRDefault="00000000" w:rsidRPr="00000000" w14:paraId="00000108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Técnica de Estimativa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baseou-se em dados históricos de projetos acadêmicos similares, ajustados pela especificidade do domínio clínico. O esforço total foi decomposto pelos níveis da EAP, atribuindo-se uma carga horária estimada para cada pacote de trabalho. A premissa central é que a documentação de áreas de alta criticidade (ex: Segurança, Requisitos e Arquitetura) demanda um esforço de revisão significativamente maior do que áreas de suporte ou fundamentos, devido à necessidade de rastreabilidade bidirecional e conformidade legal.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5.0" w:type="dxa"/>
        <w:jc w:val="left"/>
        <w:tblLayout w:type="fixed"/>
        <w:tblLook w:val="0600"/>
      </w:tblPr>
      <w:tblGrid>
        <w:gridCol w:w="2835"/>
        <w:gridCol w:w="2175"/>
        <w:gridCol w:w="3855"/>
        <w:tblGridChange w:id="0">
          <w:tblGrid>
            <w:gridCol w:w="2835"/>
            <w:gridCol w:w="2175"/>
            <w:gridCol w:w="385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Módulo / 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Esforço Estimado (Horas-Homem)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Justificativa do 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Governança e Processos (KAs 09, 10,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Alta complexidade na análise legal (LGPD) e formalização de processos (BPMN).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Engenharia de Requisitos (KA 01,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Levantamento de 20 RFs, 10 RNFs e modelagem comportamental detalhada.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Arquitetura e Design (KA 02, 03, 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Desenho estrutural, ADRs e definição de padrões de codificação segura.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Qualidade e Segurança (KA 05, 12,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Mapeamento de ameaças (STRIDE) e elaboração de planos de teste exaustivos.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Operações e Manutenção (KA 06, 07, 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Planejamento de implantação, esteira CI/CD e configuração de repositório.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Economia e Fundamentos (KA 15, 16, 17,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50h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Análise econômica, especificações matemáticas e relatórios de melhoria.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390h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de esforço nominal para a produção da documentação completa das 18 Áreas de Conhecimento é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390 horas-homem</w:t>
      </w:r>
      <w:r w:rsidDel="00000000" w:rsidR="00000000" w:rsidRPr="00000000">
        <w:rPr>
          <w:rFonts w:ascii="Arial" w:cs="Arial" w:eastAsia="Arial" w:hAnsi="Arial"/>
          <w:rtl w:val="0"/>
        </w:rPr>
        <w:t xml:space="preserve">. Adicionalmente, aplicou-se um fator de contingência de 20% (78 horas) sobre este montante, totalizando uma estimativa de esforço planejado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468 horas-homem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incremento de 20% é uma prática padrão em engenharia de software para mitigar riscos de incerteza inerentes ao desenvolvimento iterativo-incremental.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Layout w:type="fixed"/>
        <w:tblLook w:val="0600"/>
      </w:tblPr>
      <w:tblGrid>
        <w:gridCol w:w="1665"/>
        <w:gridCol w:w="1560"/>
        <w:gridCol w:w="1305"/>
        <w:gridCol w:w="1605"/>
        <w:gridCol w:w="1620"/>
        <w:gridCol w:w="1305"/>
        <w:tblGridChange w:id="0">
          <w:tblGrid>
            <w:gridCol w:w="1665"/>
            <w:gridCol w:w="1560"/>
            <w:gridCol w:w="1305"/>
            <w:gridCol w:w="1605"/>
            <w:gridCol w:w="1620"/>
            <w:gridCol w:w="13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Horas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Δ (desvio)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Jasmine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GP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09, KA 10, KA 14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+3h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 Viganó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04, KA 06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-2h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Lucas Heydt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Seg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13, KA 08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Elian Baldasso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Arquiteto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02, KA 03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Vitoria Vendausen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QA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12, KA 05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Davi Minati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Eng. Requisitos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 13, KA 15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52h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390h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+10h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Matriz RACI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Layout w:type="fixed"/>
        <w:tblLook w:val="0600"/>
      </w:tblPr>
      <w:tblGrid>
        <w:gridCol w:w="3090"/>
        <w:gridCol w:w="1575"/>
        <w:gridCol w:w="1920"/>
        <w:gridCol w:w="1260"/>
        <w:gridCol w:w="1005"/>
        <w:tblGridChange w:id="0">
          <w:tblGrid>
            <w:gridCol w:w="3090"/>
            <w:gridCol w:w="1575"/>
            <w:gridCol w:w="1920"/>
            <w:gridCol w:w="1260"/>
            <w:gridCol w:w="10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Entregável do Projeto / Módulo Sistêmico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Arquiteto / 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Eng. Requisitos / Seg.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Dev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Eng.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Ata de Iniciação e Plano de Comunicação (KA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Plano de Gerência de Configuração - SCM (KA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Especificação de Requisitos de Software - ERS (KA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 Core: Prontuário Eletrônico do Paciente (PEP)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 de Segurança: RBAC &amp; Criptografia (KA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Estratégia de Testes e Casos de Teste (KA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Análise de Viabilidade Econômica (KA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Plano de Gestão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6.1 Identificação e Análise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gerenciamento de riscos foi modelado sob a perspectiva do SWEBOK v4.0, identificando ameaças ao processo e ao produto através de matrizes de Probabilidade e Impacto (P×I). Foram mapeados 8 riscos primordiais que cobrem aspectos operacionais, regulatórios, técnicos e humanos do projeto, cujos índices numéricos de severidade encontram-se detalhados na tabela correspondente ao final deste documento.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6.2 Plano de Resposta aos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R01 (Evasão/Ausência de Integrante):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Ação mitigatória baseada no pareamento constante de tarefas e compartilhamento obrigatório de informações em ritos de Daily. Em caso de ausência prolongada (Contingência), ativa-se a redistribuição automática de escopo priorizada pela técnica MoSCoW, congelando histórias de usuário de menor prioridade (ex: relatórios avançados) para garantir a entrega das metas críticas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Core assistencial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R02 (Vazamento acidental de dados de teste):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Ação mitigatória absoluta. É expressamente proibida a utilização de quaisquer dados reais de pacientes em ambientes de desenvolvimento ou homologação. Aplica-se a geração estrita de massas de dados totalmente sintéticas por scripts parametrizados antes de qualquer push para o repositório.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R04 (Complexidade técnica na criptografia do 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Mitiga-se o risco através da execução de picos tecnológicos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Architectural Spikes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Semana 4 para validação de bibliotecas criptográficas estáveis antes da fase formal de construção.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 R05 (Insucesso em atingir a meta de testes de 85%):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Configuração de travas automáticas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Quality Gates</w:t>
      </w:r>
      <w:r w:rsidDel="00000000" w:rsidR="00000000" w:rsidRPr="00000000">
        <w:rPr>
          <w:rFonts w:ascii="Arial" w:cs="Arial" w:eastAsia="Arial" w:hAnsi="Arial"/>
          <w:rtl w:val="0"/>
        </w:rPr>
        <w:t xml:space="preserve">) no pipeline do GitHub Actions; o sistema rejeitará de forma automática qualquer tentativa de mesclagem de código que reduza o índice consolidado de cobertura técnica.</w:t>
      </w:r>
    </w:p>
    <w:p w:rsidR="00000000" w:rsidDel="00000000" w:rsidP="00000000" w:rsidRDefault="00000000" w:rsidRPr="00000000" w14:paraId="0000018F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90.0" w:type="dxa"/>
        <w:jc w:val="left"/>
        <w:tblInd w:w="-115.0" w:type="dxa"/>
        <w:tblLayout w:type="fixed"/>
        <w:tblLook w:val="0400"/>
      </w:tblPr>
      <w:tblGrid>
        <w:gridCol w:w="855"/>
        <w:gridCol w:w="2475"/>
        <w:gridCol w:w="600"/>
        <w:gridCol w:w="570"/>
        <w:gridCol w:w="1380"/>
        <w:gridCol w:w="2160"/>
        <w:gridCol w:w="1650"/>
        <w:tblGridChange w:id="0">
          <w:tblGrid>
            <w:gridCol w:w="855"/>
            <w:gridCol w:w="2475"/>
            <w:gridCol w:w="600"/>
            <w:gridCol w:w="570"/>
            <w:gridCol w:w="1380"/>
            <w:gridCol w:w="2160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Nível (P×I)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Resposta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1.2553710937502" w:hRule="atLeast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Ausência ou evasão prolongada de membro.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Escopo modularizado (MoSCoW); contingência cruzada.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Vazamento acidental de dados sensíveis de pacientes.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Uso estrito de dados sintéticos; bloqueio de commit (.env).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Instabilidade ou queda de ferramentas de nuvem/colaboração.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Backup local dos artefatos; redundância em Notion/Docs.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Complexidade técnica na implementação do PEP (Prontuário).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Execução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Architectural Spikes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antecipados.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Insucesso em atingir meta de cobertura de testes (85%).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Quality Gates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automatizados no CI/CD; refatoração.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Falha de comunicação entre os subsistemas (API).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Testes de integração baseados em contratos (Pact).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Incompatibilidade da interface (Inconformidade WCAG).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Testes de acessibilidade na fase de design UI.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Davi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Erro de cálculo em estimativas financeiras (Nuvem).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Revisão periódica de custos; uso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Free Tiers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5" w:val="single"/>
              <w:left w:color="c8daea" w:space="0" w:sz="5" w:val="single"/>
              <w:bottom w:color="c8daea" w:space="0" w:sz="5" w:val="single"/>
              <w:right w:color="c8daea" w:space="0" w:sz="5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PARTE B — RELATÓRIO DE ENCERRAMENTO (preencher na Semana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7. Desempenho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7.1 Métricas: Planejado vs.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D7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D8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7.2 Desvios e Causas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DC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DD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8. 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E1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E2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9. Avaliação Final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E6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E7">
      <w:pPr>
        <w:spacing w:after="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SWEBOK v4.0: Guide to the Software Engineering Body of Knowledge</w:t>
      </w:r>
      <w:r w:rsidDel="00000000" w:rsidR="00000000" w:rsidRPr="00000000">
        <w:rPr>
          <w:rFonts w:ascii="Arial" w:cs="Arial" w:eastAsia="Arial" w:hAnsi="Arial"/>
          <w:rtl w:val="0"/>
        </w:rPr>
        <w:t xml:space="preserve">. IEEE, 2024.</w:t>
      </w:r>
    </w:p>
    <w:p w:rsidR="00000000" w:rsidDel="00000000" w:rsidP="00000000" w:rsidRDefault="00000000" w:rsidRPr="00000000" w14:paraId="000001E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2018. 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DF, 2018.</w:t>
      </w:r>
    </w:p>
    <w:p w:rsidR="00000000" w:rsidDel="00000000" w:rsidP="00000000" w:rsidRDefault="00000000" w:rsidRPr="00000000" w14:paraId="000001E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2.299/2021: Regulamentação da Telemedicina e Prontuários Digitais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DF, 2021.</w:t>
      </w:r>
    </w:p>
    <w:p w:rsidR="00000000" w:rsidDel="00000000" w:rsidP="00000000" w:rsidRDefault="00000000" w:rsidRPr="00000000" w14:paraId="000001E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INTERNATIONAL ORGANIZATION FOR STANDARDIZATION.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25010:2023: Systems and software engineering — 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2023.</w:t>
      </w:r>
    </w:p>
    <w:p w:rsidR="00000000" w:rsidDel="00000000" w:rsidP="00000000" w:rsidRDefault="00000000" w:rsidRPr="00000000" w14:paraId="000001E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World Wide Web Consortium, 2018.</w:t>
      </w:r>
    </w:p>
    <w:p w:rsidR="00000000" w:rsidDel="00000000" w:rsidP="00000000" w:rsidRDefault="00000000" w:rsidRPr="00000000" w14:paraId="000001EF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