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10 — Processo de Engenharia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Engineering Process)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Definição do Processo e Retrospectivas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rHeight w:val="186.431640625" w:hRule="atLeast"/>
          <w:tblHeader w:val="1"/>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420.0" w:type="dxa"/>
        <w:jc w:val="left"/>
        <w:tblInd w:w="-115.0" w:type="dxa"/>
        <w:tblLayout w:type="fixed"/>
        <w:tblLook w:val="0400"/>
      </w:tblPr>
      <w:tblGrid>
        <w:gridCol w:w="1890"/>
        <w:gridCol w:w="1890"/>
        <w:gridCol w:w="1875"/>
        <w:gridCol w:w="1890"/>
        <w:gridCol w:w="1875"/>
        <w:tblGridChange w:id="0">
          <w:tblGrid>
            <w:gridCol w:w="1890"/>
            <w:gridCol w:w="1890"/>
            <w:gridCol w:w="1875"/>
            <w:gridCol w:w="1890"/>
            <w:gridCol w:w="1875"/>
          </w:tblGrid>
        </w:tblGridChange>
      </w:tblGrid>
      <w:tr>
        <w:trPr>
          <w:cantSplit w:val="0"/>
          <w:trHeight w:val="434.4775390625" w:hRule="atLeast"/>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08/03/2026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Elaboração inicial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5">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7">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02/04/2026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8">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9">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1</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A">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C">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30/04/2026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D">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E">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2</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F">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r>
      <w:tr>
        <w:trPr>
          <w:cantSplit w:val="0"/>
          <w:trHeight w:val="434.47753906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28/05/2026</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2">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Vitoria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3">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ciclo 3</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Ciclo de Vida Adotado</w:t>
      </w:r>
      <w:r w:rsidDel="00000000" w:rsidR="00000000" w:rsidRPr="00000000">
        <w:rPr>
          <w:rtl w:val="0"/>
        </w:rPr>
      </w:r>
    </w:p>
    <w:p w:rsidR="00000000" w:rsidDel="00000000" w:rsidP="00000000" w:rsidRDefault="00000000" w:rsidRPr="00000000" w14:paraId="00000038">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Modelo Escolhido e Justificativa</w:t>
      </w:r>
      <w:r w:rsidDel="00000000" w:rsidR="00000000" w:rsidRPr="00000000">
        <w:rPr>
          <w:rtl w:val="0"/>
        </w:rPr>
      </w:r>
    </w:p>
    <w:p w:rsidR="00000000" w:rsidDel="00000000" w:rsidP="00000000" w:rsidRDefault="00000000" w:rsidRPr="00000000" w14:paraId="00000039">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O modelo de ciclo de vida selecionado para o Sistema de Gestão de Consultório Médico é o </w:t>
      </w:r>
      <w:r w:rsidDel="00000000" w:rsidR="00000000" w:rsidRPr="00000000">
        <w:rPr>
          <w:rFonts w:ascii="Arial" w:cs="Arial" w:eastAsia="Arial" w:hAnsi="Arial"/>
          <w:b w:val="1"/>
          <w:bCs w:val="1"/>
          <w:rtl w:val="0"/>
        </w:rPr>
        <w:t xml:space="preserve">Modelo Iterativo-Incremental</w:t>
      </w:r>
      <w:r w:rsidDel="00000000" w:rsidR="00000000" w:rsidRPr="00000000">
        <w:rPr>
          <w:rFonts w:ascii="Arial" w:cs="Arial" w:eastAsia="Arial" w:hAnsi="Arial"/>
          <w:rtl w:val="0"/>
        </w:rPr>
        <w:t xml:space="preserve">, que está de acordo com as diretrizes formais da área de conhecimento do processo de engenharia de software do SWEBOK v4.0. Esse modelo </w:t>
      </w:r>
      <w:r w:rsidDel="00000000" w:rsidR="00000000" w:rsidRPr="00000000">
        <w:rPr>
          <w:rFonts w:ascii="Arial" w:cs="Arial" w:eastAsia="Arial" w:hAnsi="Arial"/>
          <w:rtl w:val="0"/>
        </w:rPr>
        <w:t xml:space="preserve">particiona o</w:t>
      </w:r>
      <w:r w:rsidDel="00000000" w:rsidR="00000000" w:rsidRPr="00000000">
        <w:rPr>
          <w:rFonts w:ascii="Arial" w:cs="Arial" w:eastAsia="Arial" w:hAnsi="Arial"/>
          <w:rtl w:val="0"/>
        </w:rPr>
        <w:t xml:space="preserve"> projeto em blocos funcionais gerenciáveis, chamados de incrementos, que são desenvolvidos por meio de ciclos de validação que se repetem para o aprimoramento do projeto, sendo estes as iterações. </w:t>
      </w:r>
    </w:p>
    <w:p w:rsidR="00000000" w:rsidDel="00000000" w:rsidP="00000000" w:rsidRDefault="00000000" w:rsidRPr="00000000" w14:paraId="0000003A">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A escolha do modelo Iterativo-Incremental se justifica pelo contexto do domínio regulatório e de saúde, bem como pelas características da documentação em equipe. </w:t>
      </w:r>
    </w:p>
    <w:p w:rsidR="00000000" w:rsidDel="00000000" w:rsidP="00000000" w:rsidRDefault="00000000" w:rsidRPr="00000000" w14:paraId="0000003B">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Quando falamos no contexto do domínio regulatório e de saúde, devemos considerar a precedência lógica e a dependência de dados, pois uma prescrição médica ou solicitação de exames dependem de um atendimento em andamento no Prontuário Eletrônico do Paciente, que por sua vez exige um agendamento prévio que só é possível se houver um paciente e um médico registrados, definindo um processo incremental. Além disso, o sistema manipula diversos dados sensíveis, contidos no Artigo 5º, Inciso II da Lei Geral de Proteção de Dados (LGPD) e regulados pela Resolução do Conselho Federal de Medicina (CFM) nº 2.299/2021, sendo necessário um refinamento iterativo para não permitir nenhuma brecha de segurança.</w:t>
      </w:r>
    </w:p>
    <w:p w:rsidR="00000000" w:rsidDel="00000000" w:rsidP="00000000" w:rsidRDefault="00000000" w:rsidRPr="00000000" w14:paraId="0000003C">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Já nas características da documentação em equipe, quando focamos em incrementos, permitimos que os integrantes da equipe trabalhem de maneira assíncrona em frentes distintas, de forma que os limites e as interfaces entre os artefatos sejam validados ao término de cada interação, ajudando a eliminar o risco de contradições. Ainda, as iterações garantem que os rascunhos iniciais possam ser reajustados conforme a evolução do projeto.</w:t>
      </w:r>
    </w:p>
    <w:p w:rsidR="00000000" w:rsidDel="00000000" w:rsidP="00000000" w:rsidRDefault="00000000" w:rsidRPr="00000000" w14:paraId="0000003D">
      <w:pPr>
        <w:spacing w:after="40" w:before="200" w:line="276" w:lineRule="auto"/>
        <w:ind w:firstLine="720"/>
        <w:jc w:val="both"/>
        <w:rPr>
          <w:rFonts w:ascii="Arial" w:cs="Arial" w:eastAsia="Arial" w:hAnsi="Arial"/>
        </w:rPr>
      </w:pPr>
      <w:r w:rsidDel="00000000" w:rsidR="00000000" w:rsidRPr="00000000">
        <w:rPr>
          <w:rFonts w:ascii="Arial" w:cs="Arial" w:eastAsia="Arial" w:hAnsi="Arial"/>
          <w:rtl w:val="0"/>
        </w:rPr>
        <w:t xml:space="preserve">Caso fosse adotado um outro modelo, o contexto da documentação em grupo seria afetado, pois um modelo linear impediria a revisão necessária e um modelo ágil não </w:t>
      </w:r>
      <w:r w:rsidDel="00000000" w:rsidR="00000000" w:rsidRPr="00000000">
        <w:rPr>
          <w:rFonts w:ascii="Arial" w:cs="Arial" w:eastAsia="Arial" w:hAnsi="Arial"/>
          <w:rtl w:val="0"/>
        </w:rPr>
        <w:t xml:space="preserve">focaria</w:t>
      </w:r>
      <w:r w:rsidDel="00000000" w:rsidR="00000000" w:rsidRPr="00000000">
        <w:rPr>
          <w:rFonts w:ascii="Arial" w:cs="Arial" w:eastAsia="Arial" w:hAnsi="Arial"/>
          <w:rtl w:val="0"/>
        </w:rPr>
        <w:t xml:space="preserve"> tanto na documentação exigida, podendo gerar gargalos de rastreabilidade.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1.2 Descrição das Fases/Iterações</w:t>
      </w:r>
      <w:r w:rsidDel="00000000" w:rsidR="00000000" w:rsidRPr="00000000">
        <w:rPr>
          <w:rtl w:val="0"/>
        </w:rPr>
      </w:r>
    </w:p>
    <w:p w:rsidR="00000000" w:rsidDel="00000000" w:rsidP="00000000" w:rsidRDefault="00000000" w:rsidRPr="00000000" w14:paraId="00000041">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As iterações são baseadas no modelo Iterativo-Incremental escolhido e no cronograma de 16 semanas da disciplina para o trabalho. Para isso, o ciclo de desenvolvimento do projeto foi dividido em quatro macrociclos funcionais de quatro semanas cada.</w:t>
      </w:r>
    </w:p>
    <w:p w:rsidR="00000000" w:rsidDel="00000000" w:rsidP="00000000" w:rsidRDefault="00000000" w:rsidRPr="00000000" w14:paraId="00000042">
      <w:pPr>
        <w:pBdr>
          <w:left w:color="1a3c5e" w:space="4" w:sz="16" w:val="single"/>
        </w:pBdr>
        <w:spacing w:after="80" w:before="200" w:lineRule="auto"/>
        <w:ind w:left="227" w:firstLine="0"/>
        <w:rPr>
          <w:rFonts w:ascii="Arial" w:cs="Arial" w:eastAsia="Arial" w:hAnsi="Arial"/>
          <w:b w:val="1"/>
          <w:bCs w:val="1"/>
          <w:i w:val="1"/>
          <w:iCs w:val="1"/>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1.2.1 Ciclo 1: Fundações de Governança e Alinhamento Legal (1-4)</w:t>
      </w:r>
      <w:r w:rsidDel="00000000" w:rsidR="00000000" w:rsidRPr="00000000">
        <w:rPr>
          <w:rtl w:val="0"/>
        </w:rPr>
      </w:r>
    </w:p>
    <w:p w:rsidR="00000000" w:rsidDel="00000000" w:rsidP="00000000" w:rsidRDefault="00000000" w:rsidRPr="00000000" w14:paraId="0000004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objetivo deste ciclo é isolar as restrições de contorno do sistema e estabelecer as regras organizacionais do grupo antes do início do desenho técnico do software.</w:t>
      </w:r>
    </w:p>
    <w:p w:rsidR="00000000" w:rsidDel="00000000" w:rsidP="00000000" w:rsidRDefault="00000000" w:rsidRPr="00000000" w14:paraId="00000044">
      <w:pPr>
        <w:numPr>
          <w:ilvl w:val="0"/>
          <w:numId w:val="1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Elicitação de restrições normativas em saúde digital; mapeamento de riscos acadêmicos e operacionais; estruturação da Estrutura Analítica do Projeto (EAP) e modelagem do processo de trabalho do grupo.</w:t>
      </w:r>
    </w:p>
    <w:p w:rsidR="00000000" w:rsidDel="00000000" w:rsidP="00000000" w:rsidRDefault="00000000" w:rsidRPr="00000000" w14:paraId="00000045">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Guia do projeto semestral; Artigo 5º da Lei Geral de Proteção de Dados (LGPD); Resolução do Conselho Federal de Medicina (CFM) nº 2.299/2021.</w:t>
      </w:r>
    </w:p>
    <w:p w:rsidR="00000000" w:rsidDel="00000000" w:rsidP="00000000" w:rsidRDefault="00000000" w:rsidRPr="00000000" w14:paraId="00000046">
      <w:pPr>
        <w:numPr>
          <w:ilvl w:val="0"/>
          <w:numId w:val="1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Projeto e EAP (KA 09); Documento de Definição de Processo (KA 10); Declaração de Prática Profissional e Análise Legal (KA 14).</w:t>
      </w:r>
    </w:p>
    <w:p w:rsidR="00000000" w:rsidDel="00000000" w:rsidP="00000000" w:rsidRDefault="00000000" w:rsidRPr="00000000" w14:paraId="00000047">
      <w:pPr>
        <w:pBdr>
          <w:left w:color="1a3c5e" w:space="4" w:sz="16" w:val="single"/>
        </w:pBdr>
        <w:spacing w:after="80" w:before="200" w:lineRule="auto"/>
        <w:ind w:left="227" w:firstLine="0"/>
        <w:rPr>
          <w:rFonts w:ascii="Arial" w:cs="Arial" w:eastAsia="Arial" w:hAnsi="Arial"/>
          <w:shd w:fill="d9d9d9" w:val="clear"/>
        </w:rPr>
      </w:pPr>
      <w:r w:rsidDel="00000000" w:rsidR="00000000" w:rsidRPr="00000000">
        <w:rPr>
          <w:rFonts w:ascii="Arial" w:cs="Arial" w:eastAsia="Arial" w:hAnsi="Arial"/>
          <w:b w:val="1"/>
          <w:bCs w:val="1"/>
          <w:i w:val="1"/>
          <w:iCs w:val="1"/>
          <w:color w:val="1a3c5e"/>
          <w:shd w:fill="d9d9d9" w:val="clear"/>
          <w:rtl w:val="0"/>
        </w:rPr>
        <w:t xml:space="preserve">1.2.2 Ciclo 2: Engenharia de Requisitos e Modelagem do Domínio (5–8)</w:t>
      </w:r>
      <w:r w:rsidDel="00000000" w:rsidR="00000000" w:rsidRPr="00000000">
        <w:rPr>
          <w:rtl w:val="0"/>
        </w:rPr>
      </w:r>
    </w:p>
    <w:p w:rsidR="00000000" w:rsidDel="00000000" w:rsidP="00000000" w:rsidRDefault="00000000" w:rsidRPr="00000000" w14:paraId="00000048">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Este ciclo foca na definição e no detalhamento do escopo funcional e não funcional do consultório médico, traduzindo as restrições legais do ciclo anterior em regras de comportamento do sistema.</w:t>
      </w:r>
    </w:p>
    <w:p w:rsidR="00000000" w:rsidDel="00000000" w:rsidP="00000000" w:rsidRDefault="00000000" w:rsidRPr="00000000" w14:paraId="00000049">
      <w:pPr>
        <w:numPr>
          <w:ilvl w:val="0"/>
          <w:numId w:val="6"/>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Escrita da Especificação de Requisitos de Software (ERS) sob a norma IEEE 830; elaboração do Product Backlog com histórias de usuário; mapeamento de fluxos operacionais e modelagem do prontuário do paciente.</w:t>
      </w:r>
    </w:p>
    <w:p w:rsidR="00000000" w:rsidDel="00000000" w:rsidP="00000000" w:rsidRDefault="00000000" w:rsidRPr="00000000" w14:paraId="0000004A">
      <w:pPr>
        <w:numPr>
          <w:ilvl w:val="0"/>
          <w:numId w:val="6"/>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Baselines de governança e restrições de privacidade homologadas no Ciclo 1.</w:t>
      </w:r>
    </w:p>
    <w:p w:rsidR="00000000" w:rsidDel="00000000" w:rsidP="00000000" w:rsidRDefault="00000000" w:rsidRPr="00000000" w14:paraId="0000004B">
      <w:pPr>
        <w:numPr>
          <w:ilvl w:val="0"/>
          <w:numId w:val="6"/>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ERS contendo Requisitos Funcionais e Requisitos Não Funcionais (KA 01); Product Backlog estruturado e Especificação Formal por Autômatos (KA 11).</w:t>
      </w:r>
    </w:p>
    <w:p w:rsidR="00000000" w:rsidDel="00000000" w:rsidP="00000000" w:rsidRDefault="00000000" w:rsidRPr="00000000" w14:paraId="0000004C">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1.2.3 Ciclo 3: Arquitetura de Software e Engenharia de Design (9–12)</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rtl w:val="0"/>
        </w:rPr>
        <w:t xml:space="preserve">iclo traduz o escopo especificado no Ciclo 2 em decisões estruturais e topológicas de software, definindo como o sistema será fisicamente construído para suportar as regras de negócio.</w:t>
      </w:r>
    </w:p>
    <w:p w:rsidR="00000000" w:rsidDel="00000000" w:rsidP="00000000" w:rsidRDefault="00000000" w:rsidRPr="00000000" w14:paraId="0000004E">
      <w:pPr>
        <w:numPr>
          <w:ilvl w:val="0"/>
          <w:numId w:val="1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Modelagem da estrutura do sistema utilizando visões do C4 Model; redação dos registros de decisões arquitetônicas (ADRs) e definição das táticas de segurança para proteção do prontuário médico.</w:t>
      </w:r>
    </w:p>
    <w:p w:rsidR="00000000" w:rsidDel="00000000" w:rsidP="00000000" w:rsidRDefault="00000000" w:rsidRPr="00000000" w14:paraId="0000004F">
      <w:pPr>
        <w:numPr>
          <w:ilvl w:val="0"/>
          <w:numId w:val="1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Requisitos de software e modelos comportamentais congelados na baseline do Ciclo 2.</w:t>
      </w:r>
    </w:p>
    <w:p w:rsidR="00000000" w:rsidDel="00000000" w:rsidP="00000000" w:rsidRDefault="00000000" w:rsidRPr="00000000" w14:paraId="00000050">
      <w:pPr>
        <w:numPr>
          <w:ilvl w:val="0"/>
          <w:numId w:val="1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Documento de Arquitetura 1.2.4 Ciclo 4: Validação de Qualidade, Operações e Viabilidade (13–16)a de Software - SAD (KA 02); insumos para guias de codificação e padrões de design.</w:t>
      </w:r>
    </w:p>
    <w:p w:rsidR="00000000" w:rsidDel="00000000" w:rsidP="00000000" w:rsidRDefault="00000000" w:rsidRPr="00000000" w14:paraId="00000051">
      <w:pPr>
        <w:pBdr>
          <w:left w:color="1a3c5e" w:space="4" w:sz="16" w:val="single"/>
        </w:pBdr>
        <w:spacing w:after="80" w:before="200" w:lineRule="auto"/>
        <w:ind w:left="227" w:firstLine="0"/>
        <w:rPr>
          <w:rFonts w:ascii="Arial" w:cs="Arial" w:eastAsia="Arial" w:hAnsi="Arial"/>
          <w:color w:val="000000"/>
          <w:shd w:fill="d9d9d9" w:val="clear"/>
        </w:rPr>
      </w:pPr>
      <w:r w:rsidDel="00000000" w:rsidR="00000000" w:rsidRPr="00000000">
        <w:rPr>
          <w:rFonts w:ascii="Arial" w:cs="Arial" w:eastAsia="Arial" w:hAnsi="Arial"/>
          <w:b w:val="1"/>
          <w:bCs w:val="1"/>
          <w:i w:val="1"/>
          <w:iCs w:val="1"/>
          <w:color w:val="1a3c5e"/>
          <w:shd w:fill="d9d9d9" w:val="clear"/>
          <w:rtl w:val="0"/>
        </w:rPr>
        <w:t xml:space="preserve">1.2.4 Ciclo 4: Validação de Qualidade, Operações e Viabilidade (13–16)</w:t>
      </w:r>
      <w:r w:rsidDel="00000000" w:rsidR="00000000" w:rsidRPr="00000000">
        <w:rPr>
          <w:rtl w:val="0"/>
        </w:rPr>
      </w:r>
    </w:p>
    <w:p w:rsidR="00000000" w:rsidDel="00000000" w:rsidP="00000000" w:rsidRDefault="00000000" w:rsidRPr="00000000" w14:paraId="00000052">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Ciclo que avalia </w:t>
      </w:r>
      <w:r w:rsidDel="00000000" w:rsidR="00000000" w:rsidRPr="00000000">
        <w:rPr>
          <w:rFonts w:ascii="Arial" w:cs="Arial" w:eastAsia="Arial" w:hAnsi="Arial"/>
          <w:rtl w:val="0"/>
        </w:rPr>
        <w:t xml:space="preserve">se o software planejado atende aos critérios de aceitação e demonstrando a sua sustentabilidade financeira em um cenário real de produção.</w:t>
      </w:r>
    </w:p>
    <w:p w:rsidR="00000000" w:rsidDel="00000000" w:rsidP="00000000" w:rsidRDefault="00000000" w:rsidRPr="00000000" w14:paraId="00000053">
      <w:pPr>
        <w:numPr>
          <w:ilvl w:val="0"/>
          <w:numId w:val="14"/>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Atividades:</w:t>
      </w:r>
      <w:r w:rsidDel="00000000" w:rsidR="00000000" w:rsidRPr="00000000">
        <w:rPr>
          <w:rFonts w:ascii="Arial" w:cs="Arial" w:eastAsia="Arial" w:hAnsi="Arial"/>
          <w:rtl w:val="0"/>
        </w:rPr>
        <w:t xml:space="preserve"> Definição de métricas de software baseadas na ISO/IEC 25010; escrita do plano de testes exaustivo com cenários positivos e negativos; planejamento do pipeline de implantação; análise de custos e balanço financeiro final do projeto.</w:t>
      </w:r>
    </w:p>
    <w:p w:rsidR="00000000" w:rsidDel="00000000" w:rsidP="00000000" w:rsidRDefault="00000000" w:rsidRPr="00000000" w14:paraId="00000054">
      <w:pPr>
        <w:numPr>
          <w:ilvl w:val="0"/>
          <w:numId w:val="1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Entradas:</w:t>
      </w:r>
      <w:r w:rsidDel="00000000" w:rsidR="00000000" w:rsidRPr="00000000">
        <w:rPr>
          <w:rFonts w:ascii="Arial" w:cs="Arial" w:eastAsia="Arial" w:hAnsi="Arial"/>
          <w:rtl w:val="0"/>
        </w:rPr>
        <w:t xml:space="preserve"> Documento de arquitetura e modelos de dados definidos no Ciclo 3.</w:t>
      </w:r>
    </w:p>
    <w:p w:rsidR="00000000" w:rsidDel="00000000" w:rsidP="00000000" w:rsidRDefault="00000000" w:rsidRPr="00000000" w14:paraId="00000055">
      <w:pPr>
        <w:numPr>
          <w:ilvl w:val="0"/>
          <w:numId w:val="1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Saídas:</w:t>
      </w:r>
      <w:r w:rsidDel="00000000" w:rsidR="00000000" w:rsidRPr="00000000">
        <w:rPr>
          <w:rFonts w:ascii="Arial" w:cs="Arial" w:eastAsia="Arial" w:hAnsi="Arial"/>
          <w:rtl w:val="0"/>
        </w:rPr>
        <w:t xml:space="preserve"> Plano de Garantia de Qualidade - SQA (KA 12); Master Test Plan e Casos de Teste (KA 05); Relatório de Análise Econômica (KA 15); Relatório de Encerramento do Projeto (KA 09).</w:t>
      </w:r>
    </w:p>
    <w:p w:rsidR="00000000" w:rsidDel="00000000" w:rsidP="00000000" w:rsidRDefault="00000000" w:rsidRPr="00000000" w14:paraId="00000056">
      <w:pPr>
        <w:spacing w:after="4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Definition of Done (Critério de Pronto para Artefatos)</w:t>
      </w:r>
      <w:r w:rsidDel="00000000" w:rsidR="00000000" w:rsidRPr="00000000">
        <w:rPr>
          <w:rtl w:val="0"/>
        </w:rPr>
      </w:r>
    </w:p>
    <w:p w:rsidR="00000000" w:rsidDel="00000000" w:rsidP="00000000" w:rsidRDefault="00000000" w:rsidRPr="00000000" w14:paraId="00000059">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i w:val="1"/>
          <w:iCs w:val="1"/>
          <w:rtl w:val="0"/>
        </w:rPr>
        <w:t xml:space="preserve">Definition of Done</w:t>
      </w:r>
      <w:r w:rsidDel="00000000" w:rsidR="00000000" w:rsidRPr="00000000">
        <w:rPr>
          <w:rFonts w:ascii="Arial" w:cs="Arial" w:eastAsia="Arial" w:hAnsi="Arial"/>
          <w:rtl w:val="0"/>
        </w:rPr>
        <w:t xml:space="preserve"> estabelecido para a documentação do Sistema de Gestão de Consultório Médico define os critérios técnicos e formais que um artefato deve cumprir para ser considerado concluído para compor o projeto final. A formulação deste critério fundamenta-se nas diretrizes de garantia de qualidade de processo do SWEBOK v4.0 e assegura a integridade conceitual entre as diferentes Áreas de Conhecimento.</w:t>
      </w:r>
    </w:p>
    <w:p w:rsidR="00000000" w:rsidDel="00000000" w:rsidP="00000000" w:rsidRDefault="00000000" w:rsidRPr="00000000" w14:paraId="0000005A">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que um artefato seja declarado como concluído, ele deve satisfazer os seguintes critérios:</w:t>
      </w:r>
    </w:p>
    <w:p w:rsidR="00000000" w:rsidDel="00000000" w:rsidP="00000000" w:rsidRDefault="00000000" w:rsidRPr="00000000" w14:paraId="0000005B">
      <w:pPr>
        <w:numPr>
          <w:ilvl w:val="0"/>
          <w:numId w:val="3"/>
        </w:numPr>
        <w:spacing w:after="200" w:befor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 artefato deve demonstrar conformidade com a matriz de rastreabilidade global do sistema, logo todo elemento de escopo deve possuir um vínculo bidirecional com os demais níveis de abstração do projeto. </w:t>
      </w:r>
    </w:p>
    <w:p w:rsidR="00000000" w:rsidDel="00000000" w:rsidP="00000000" w:rsidRDefault="00000000" w:rsidRPr="00000000" w14:paraId="0000005C">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Todos os diagramas, esquemas e representações visuais inseridos no documento devem seguir os padrões formais de suas respectivas linguagens de modelagem.</w:t>
      </w:r>
    </w:p>
    <w:p w:rsidR="00000000" w:rsidDel="00000000" w:rsidP="00000000" w:rsidRDefault="00000000" w:rsidRPr="00000000" w14:paraId="0000005D">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Nenhum artefato pode ser considerado concluído de forma isolada pelo seu autor, o documento deve ser submetido a uma auditoria conduzida por no mínimo mais 1 integrante da equipe que não participou diretamente da produção, segundo as diretrizes da norma IEEE 1028 para revisões de software.</w:t>
      </w:r>
    </w:p>
    <w:p w:rsidR="00000000" w:rsidDel="00000000" w:rsidP="00000000" w:rsidRDefault="00000000" w:rsidRPr="00000000" w14:paraId="0000005E">
      <w:pPr>
        <w:numPr>
          <w:ilvl w:val="0"/>
          <w:numId w:val="3"/>
        </w:numPr>
        <w:spacing w:after="200" w:before="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 funcionalidades descritas devem estar explicitamente vinculadas à base legal correspondente da LGPD e às exigências de imutabilidade de registro histórico ditadas pela Resolução CFM nº 2.299/2021.</w:t>
      </w:r>
    </w:p>
    <w:p w:rsidR="00000000" w:rsidDel="00000000" w:rsidP="00000000" w:rsidRDefault="00000000" w:rsidRPr="00000000" w14:paraId="0000005F">
      <w:pPr>
        <w:numPr>
          <w:ilvl w:val="0"/>
          <w:numId w:val="3"/>
        </w:numPr>
        <w:spacing w:after="20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O artefato deve ser devidamente inserido na versão final do documento.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Diagrama BPMN do Processo</w:t>
      </w:r>
      <w:r w:rsidDel="00000000" w:rsidR="00000000" w:rsidRPr="00000000">
        <w:rPr>
          <w:rtl w:val="0"/>
        </w:rPr>
      </w:r>
    </w:p>
    <w:p w:rsidR="00000000" w:rsidDel="00000000" w:rsidP="00000000" w:rsidRDefault="00000000" w:rsidRPr="00000000" w14:paraId="0000006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Diagrama de Produção de um Artefato de Documentação</w:t>
      </w:r>
      <w:r w:rsidDel="00000000" w:rsidR="00000000" w:rsidRPr="00000000">
        <w:rPr>
          <w:rtl w:val="0"/>
        </w:rPr>
      </w:r>
    </w:p>
    <w:p w:rsidR="00000000" w:rsidDel="00000000" w:rsidP="00000000" w:rsidRDefault="00000000" w:rsidRPr="00000000" w14:paraId="0000006B">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6C">
      <w:pPr>
        <w:spacing w:after="40" w:lineRule="auto"/>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0"/>
          <w:szCs w:val="20"/>
        </w:rPr>
        <w:drawing>
          <wp:inline distB="114300" distT="114300" distL="114300" distR="114300">
            <wp:extent cx="6171300" cy="28482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1300" cy="284829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Checkpoints de Verificação de Consistência entre Documentos</w:t>
      </w:r>
      <w:r w:rsidDel="00000000" w:rsidR="00000000" w:rsidRPr="00000000">
        <w:rPr>
          <w:rtl w:val="0"/>
        </w:rPr>
      </w:r>
    </w:p>
    <w:p w:rsidR="00000000" w:rsidDel="00000000" w:rsidP="00000000" w:rsidRDefault="00000000" w:rsidRPr="00000000" w14:paraId="0000006F">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Os </w:t>
      </w:r>
      <w:r w:rsidDel="00000000" w:rsidR="00000000" w:rsidRPr="00000000">
        <w:rPr>
          <w:rFonts w:ascii="Arial" w:cs="Arial" w:eastAsia="Arial" w:hAnsi="Arial"/>
          <w:i w:val="1"/>
          <w:iCs w:val="1"/>
          <w:rtl w:val="0"/>
        </w:rPr>
        <w:t xml:space="preserve">checkpoints</w:t>
      </w:r>
      <w:r w:rsidDel="00000000" w:rsidR="00000000" w:rsidRPr="00000000">
        <w:rPr>
          <w:rFonts w:ascii="Arial" w:cs="Arial" w:eastAsia="Arial" w:hAnsi="Arial"/>
          <w:rtl w:val="0"/>
        </w:rPr>
        <w:t xml:space="preserve"> de verificação de consistência entre documentos funcionam como uma revisão síncrona nos quais os artefatos gerados por integrantes da equipe são confrontados para garantir que as informações permaneçam idênticas em todas as frentes de documentação. </w:t>
      </w:r>
    </w:p>
    <w:p w:rsidR="00000000" w:rsidDel="00000000" w:rsidP="00000000" w:rsidRDefault="00000000" w:rsidRPr="00000000" w14:paraId="00000070">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A formalização desses pontos de verificação afasta a equipe de revisões isoladas e estabelece uma maior lógica baseada nas 18 Áreas de Conhecimento do SWEBOK v4.0. Foram estabelecidos três pontos de controle:</w:t>
      </w:r>
    </w:p>
    <w:p w:rsidR="00000000" w:rsidDel="00000000" w:rsidP="00000000" w:rsidRDefault="00000000" w:rsidRPr="00000000" w14:paraId="00000071">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2.2.1 Alinhamento Legal, Requisitos e Casos de Uso</w:t>
      </w:r>
    </w:p>
    <w:p w:rsidR="00000000" w:rsidDel="00000000" w:rsidP="00000000" w:rsidRDefault="00000000" w:rsidRPr="00000000" w14:paraId="00000072">
      <w:pPr>
        <w:numPr>
          <w:ilvl w:val="0"/>
          <w:numId w:val="13"/>
        </w:numPr>
        <w:spacing w:after="40" w:before="20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Garantir que todas as regras éticas e jurídicas mapeadas na Prática Profissional (KA 14) sejam transformadas em requisitos e casos de uso na ERS (KA 01).</w:t>
      </w:r>
    </w:p>
    <w:p w:rsidR="00000000" w:rsidDel="00000000" w:rsidP="00000000" w:rsidRDefault="00000000" w:rsidRPr="00000000" w14:paraId="00000073">
      <w:pPr>
        <w:numPr>
          <w:ilvl w:val="0"/>
          <w:numId w:val="13"/>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Comparação direta entre a planilha de leis e a tabela de requisitos do sistema. </w:t>
      </w:r>
    </w:p>
    <w:p w:rsidR="00000000" w:rsidDel="00000000" w:rsidP="00000000" w:rsidRDefault="00000000" w:rsidRPr="00000000" w14:paraId="00000074">
      <w:pPr>
        <w:numPr>
          <w:ilvl w:val="1"/>
          <w:numId w:val="13"/>
        </w:numPr>
        <w:spacing w:after="4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Por exemplo, a obrigação de portabilidade de dados do paciente (Artigo 18 da LGPD) deve estar descrita como um requisito funcional específico e vinculada a um Caso de Uso no modelo UML. </w:t>
      </w:r>
    </w:p>
    <w:p w:rsidR="00000000" w:rsidDel="00000000" w:rsidP="00000000" w:rsidRDefault="00000000" w:rsidRPr="00000000" w14:paraId="00000075">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2.2.2 Modelagem Comportamental e Topologia Arquitetural</w:t>
      </w:r>
    </w:p>
    <w:p w:rsidR="00000000" w:rsidDel="00000000" w:rsidP="00000000" w:rsidRDefault="00000000" w:rsidRPr="00000000" w14:paraId="00000076">
      <w:pPr>
        <w:numPr>
          <w:ilvl w:val="0"/>
          <w:numId w:val="13"/>
        </w:numPr>
        <w:spacing w:after="40" w:before="20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Assegurar a consistência entre o comportamento esperado do sistema e a estrutura real dos seus componentes de software.</w:t>
      </w:r>
    </w:p>
    <w:p w:rsidR="00000000" w:rsidDel="00000000" w:rsidP="00000000" w:rsidRDefault="00000000" w:rsidRPr="00000000" w14:paraId="00000077">
      <w:pPr>
        <w:numPr>
          <w:ilvl w:val="0"/>
          <w:numId w:val="13"/>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w:t>
      </w:r>
      <w:r w:rsidDel="00000000" w:rsidR="00000000" w:rsidRPr="00000000">
        <w:rPr>
          <w:rFonts w:ascii="Arial" w:cs="Arial" w:eastAsia="Arial" w:hAnsi="Arial"/>
          <w:rtl w:val="0"/>
        </w:rPr>
        <w:t xml:space="preserve"> Auditoria cruzada entre o Autômato Finito Determinístico (AFD) do Prontuário Médico (KA 11) e as visões de Contêiner e Componente do C4 Model (KA 02). </w:t>
      </w:r>
    </w:p>
    <w:p w:rsidR="00000000" w:rsidDel="00000000" w:rsidP="00000000" w:rsidRDefault="00000000" w:rsidRPr="00000000" w14:paraId="00000078">
      <w:pPr>
        <w:numPr>
          <w:ilvl w:val="1"/>
          <w:numId w:val="13"/>
        </w:numPr>
        <w:spacing w:after="40" w:lineRule="auto"/>
        <w:ind w:left="1440" w:hanging="360"/>
        <w:jc w:val="both"/>
        <w:rPr>
          <w:rFonts w:ascii="Arial" w:cs="Arial" w:eastAsia="Arial" w:hAnsi="Arial"/>
        </w:rPr>
      </w:pPr>
      <w:r w:rsidDel="00000000" w:rsidR="00000000" w:rsidRPr="00000000">
        <w:rPr>
          <w:rFonts w:ascii="Arial" w:cs="Arial" w:eastAsia="Arial" w:hAnsi="Arial"/>
          <w:rtl w:val="0"/>
        </w:rPr>
        <w:t xml:space="preserve">Este ponto de controle </w:t>
      </w:r>
      <w:r w:rsidDel="00000000" w:rsidR="00000000" w:rsidRPr="00000000">
        <w:rPr>
          <w:rFonts w:ascii="Arial" w:cs="Arial" w:eastAsia="Arial" w:hAnsi="Arial"/>
          <w:rtl w:val="0"/>
        </w:rPr>
        <w:t xml:space="preserve">valida</w:t>
      </w:r>
      <w:r w:rsidDel="00000000" w:rsidR="00000000" w:rsidRPr="00000000">
        <w:rPr>
          <w:rFonts w:ascii="Arial" w:cs="Arial" w:eastAsia="Arial" w:hAnsi="Arial"/>
          <w:rtl w:val="0"/>
        </w:rPr>
        <w:t xml:space="preserve"> se os estados lógicos do prontuário possuem módulos físicos dedicados, tabelas específicas e chaves criptográficas correspondentes no Documento de Arquitetura de Software (SAD), evitando falhas no isolamento de dados sensíveis.</w:t>
      </w:r>
      <w:r w:rsidDel="00000000" w:rsidR="00000000" w:rsidRPr="00000000">
        <w:rPr>
          <w:rtl w:val="0"/>
        </w:rPr>
      </w:r>
    </w:p>
    <w:p w:rsidR="00000000" w:rsidDel="00000000" w:rsidP="00000000" w:rsidRDefault="00000000" w:rsidRPr="00000000" w14:paraId="00000079">
      <w:pPr>
        <w:pBdr>
          <w:left w:color="1a3c5e" w:space="4" w:sz="16" w:val="single"/>
        </w:pBdr>
        <w:spacing w:after="80" w:before="200" w:lineRule="auto"/>
        <w:ind w:left="227" w:firstLine="0"/>
        <w:jc w:val="both"/>
        <w:rPr>
          <w:rFonts w:ascii="Arial" w:cs="Arial" w:eastAsia="Arial" w:hAnsi="Arial"/>
          <w:b w:val="1"/>
          <w:bCs w:val="1"/>
          <w:i w:val="1"/>
          <w:iCs w:val="1"/>
          <w:color w:val="1a3c5e"/>
          <w:shd w:fill="d9d9d9" w:val="clear"/>
        </w:rPr>
      </w:pPr>
      <w:r w:rsidDel="00000000" w:rsidR="00000000" w:rsidRPr="00000000">
        <w:rPr>
          <w:rFonts w:ascii="Arial" w:cs="Arial" w:eastAsia="Arial" w:hAnsi="Arial"/>
          <w:b w:val="1"/>
          <w:bCs w:val="1"/>
          <w:i w:val="1"/>
          <w:iCs w:val="1"/>
          <w:color w:val="1a3c5e"/>
          <w:shd w:fill="d9d9d9" w:val="clear"/>
          <w:rtl w:val="0"/>
        </w:rPr>
        <w:t xml:space="preserve">2.2.3 Baseline de Escopo e Estratégia de Validação</w:t>
      </w:r>
    </w:p>
    <w:p w:rsidR="00000000" w:rsidDel="00000000" w:rsidP="00000000" w:rsidRDefault="00000000" w:rsidRPr="00000000" w14:paraId="0000007A">
      <w:pPr>
        <w:numPr>
          <w:ilvl w:val="0"/>
          <w:numId w:val="13"/>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Objetivo: </w:t>
      </w:r>
      <w:r w:rsidDel="00000000" w:rsidR="00000000" w:rsidRPr="00000000">
        <w:rPr>
          <w:rFonts w:ascii="Arial" w:cs="Arial" w:eastAsia="Arial" w:hAnsi="Arial"/>
          <w:rtl w:val="0"/>
        </w:rPr>
        <w:t xml:space="preserve">Garantir a cobertura total de testes para todos os requisitos funcionais e não funcionais catalogados antes de encerrar o ciclo.</w:t>
      </w:r>
    </w:p>
    <w:p w:rsidR="00000000" w:rsidDel="00000000" w:rsidP="00000000" w:rsidRDefault="00000000" w:rsidRPr="00000000" w14:paraId="0000007B">
      <w:pPr>
        <w:numPr>
          <w:ilvl w:val="0"/>
          <w:numId w:val="13"/>
        </w:numPr>
        <w:spacing w:after="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Mecanismo de Verificação: </w:t>
      </w:r>
      <w:r w:rsidDel="00000000" w:rsidR="00000000" w:rsidRPr="00000000">
        <w:rPr>
          <w:rFonts w:ascii="Arial" w:cs="Arial" w:eastAsia="Arial" w:hAnsi="Arial"/>
          <w:rtl w:val="0"/>
        </w:rPr>
        <w:t xml:space="preserve">Inspeção ativa da Matriz de Cobertura de Testes. O responsável por Garantia de Qualidade (KA 12) verifica se cada um dos Requisitos Funcionais e Não Funcionais possui, no mínimo, um cenário de teste positivo (comportamento padrão) e um cenário de teste negativo (tentativas de acesso sem permissão ou dados inválidos) detalhados no Plano de Testes (KA 05). </w:t>
      </w:r>
    </w:p>
    <w:p w:rsidR="00000000" w:rsidDel="00000000" w:rsidP="00000000" w:rsidRDefault="00000000" w:rsidRPr="00000000" w14:paraId="0000007C">
      <w:pPr>
        <w:spacing w:after="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3. Comparativo de Modelos de Ciclo de Vida</w:t>
      </w:r>
      <w:r w:rsidDel="00000000" w:rsidR="00000000" w:rsidRPr="00000000">
        <w:rPr>
          <w:rtl w:val="0"/>
        </w:rPr>
      </w:r>
    </w:p>
    <w:p w:rsidR="00000000" w:rsidDel="00000000" w:rsidP="00000000" w:rsidRDefault="00000000" w:rsidRPr="00000000" w14:paraId="0000007E">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Cascata é inadequado por sua rigidez pois não permite revisões documentais necessárias para alinhar fluxos clínicos complexos sem gerar custos de refugo proibitivos, já que segue um fluxo linear e tem sua estrutura definida já no primeiro momento. </w:t>
      </w:r>
    </w:p>
    <w:p w:rsidR="00000000" w:rsidDel="00000000" w:rsidP="00000000" w:rsidRDefault="00000000" w:rsidRPr="00000000" w14:paraId="0000007F">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Scrum tem sua vantagem em entregas rápidas de código, mas carece de foco na documentação abrangente solicitada pelo SWEBOK v4.0, o que resultaria em perda de rastreabilidade técnica essencial para a disciplina. Como o foco do projeto é a documentação e a produção do sistema, então não é o ideal.</w:t>
      </w:r>
    </w:p>
    <w:p w:rsidR="00000000" w:rsidDel="00000000" w:rsidP="00000000" w:rsidRDefault="00000000" w:rsidRPr="00000000" w14:paraId="00000080">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DevOps, focado em automação de infraestrutura, é valioso para a fase de operações, mas não apoia a maturação conceitual e parte analítica da especificação inicial. </w:t>
      </w:r>
    </w:p>
    <w:p w:rsidR="00000000" w:rsidDel="00000000" w:rsidP="00000000" w:rsidRDefault="00000000" w:rsidRPr="00000000" w14:paraId="00000081">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modelo Iterativo-Incremental foi considerado a melhor abordagem para esse projeto, já que concilia o rigor documental IEEE com a necessidade de realimentação contínua. Ele particiona o escopo em incrementos lógicos, permitindo que as restrições regulatórias da LGPD e as travas éticas do CFM sejam estabelecidas como o núcleo estável do sistema logo nas primeiras iterações, viabilizando o trabalho assíncrono da equipe, onde cada artefato é validado e integrado via gerência de configuração. </w:t>
      </w:r>
    </w:p>
    <w:p w:rsidR="00000000" w:rsidDel="00000000" w:rsidP="00000000" w:rsidRDefault="00000000" w:rsidRPr="00000000" w14:paraId="00000082">
      <w:pPr>
        <w:pBdr>
          <w:left w:color="1a3c5e" w:space="4" w:sz="16" w:val="single"/>
        </w:pBdr>
        <w:spacing w:after="80" w:before="200" w:lineRule="auto"/>
        <w:ind w:left="227" w:firstLine="0"/>
        <w:rPr/>
      </w:pPr>
      <w:r w:rsidDel="00000000" w:rsidR="00000000" w:rsidRPr="00000000">
        <w:rPr>
          <w:rtl w:val="0"/>
        </w:rPr>
      </w:r>
    </w:p>
    <w:tbl>
      <w:tblPr>
        <w:tblStyle w:val="Table3"/>
        <w:tblW w:w="9355.0" w:type="dxa"/>
        <w:jc w:val="left"/>
        <w:tblInd w:w="-115.0" w:type="dxa"/>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Critério</w:t>
            </w:r>
            <w:r w:rsidDel="00000000" w:rsidR="00000000" w:rsidRPr="00000000">
              <w:rPr>
                <w:rtl w:val="0"/>
              </w:rPr>
            </w:r>
          </w:p>
        </w:tc>
        <w:tc>
          <w:tcPr>
            <w:shd w:fill="1a3c5e" w:val="cle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Cascata</w:t>
            </w:r>
            <w:r w:rsidDel="00000000" w:rsidR="00000000" w:rsidRPr="00000000">
              <w:rPr>
                <w:rtl w:val="0"/>
              </w:rPr>
            </w:r>
          </w:p>
        </w:tc>
        <w:tc>
          <w:tcPr>
            <w:shd w:fill="1a3c5e" w:val="cle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Iterativo-Incremental</w:t>
            </w:r>
            <w:r w:rsidDel="00000000" w:rsidR="00000000" w:rsidRPr="00000000">
              <w:rPr>
                <w:rtl w:val="0"/>
              </w:rPr>
            </w:r>
          </w:p>
        </w:tc>
        <w:tc>
          <w:tcPr>
            <w:shd w:fill="1a3c5e" w:val="cle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Ágil (Scrum)</w:t>
            </w:r>
            <w:r w:rsidDel="00000000" w:rsidR="00000000" w:rsidRPr="00000000">
              <w:rPr>
                <w:rtl w:val="0"/>
              </w:rPr>
            </w:r>
          </w:p>
        </w:tc>
        <w:tc>
          <w:tcPr>
            <w:shd w:fill="1a3c5e" w:val="cle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DevOps</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8">
            <w:pPr>
              <w:rPr>
                <w:b w:val="1"/>
                <w:bCs w:val="1"/>
              </w:rPr>
            </w:pPr>
            <w:r w:rsidDel="00000000" w:rsidR="00000000" w:rsidRPr="00000000">
              <w:rPr>
                <w:rFonts w:ascii="Arial" w:cs="Arial" w:eastAsia="Arial" w:hAnsi="Arial"/>
                <w:b w:val="1"/>
                <w:bCs w:val="1"/>
                <w:sz w:val="20"/>
                <w:szCs w:val="20"/>
                <w:rtl w:val="0"/>
              </w:rPr>
              <w:t xml:space="preserve">Adequação ao domínio médico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Garante documentação exaustiva no início, mas atrasa a validação dos fluxos clínicos. Se uma falha de usabilidade médica ou uma vulnerabilidade no tratamento de dados for descoberta no final do projeto, o custo de alteração da base de dados e do design é inviável.</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Permite estabilizar os componentes críticos de governança legal e o esquema do banco de dados nos ciclos iniciais. Os módulos funcionais complexos (como a lógica estruturada do prontuário eletrônico e receitas) são refinados progressivamente com mitigação contínua de riscos.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Embora seja eficiente para telas e interfaces dinâmicas, sua flexibilidade extrema pode negligenciar travas regulatórias complexas (como registros e trancas lógicas do CFM) em prol de metas visuais de curto prazo.</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Inadequado na fase analítica.</w:t>
            </w:r>
            <w:r w:rsidDel="00000000" w:rsidR="00000000" w:rsidRPr="00000000">
              <w:rPr>
                <w:rFonts w:ascii="Arial" w:cs="Arial" w:eastAsia="Arial" w:hAnsi="Arial"/>
                <w:sz w:val="20"/>
                <w:szCs w:val="20"/>
                <w:rtl w:val="0"/>
              </w:rPr>
              <w:t xml:space="preserve"> Foca primariamente em estabilidade de infraestrutura operada por software e monitoramento automatizado. Não provê suporte nativo para a validação das regras de negócio complexas do ecossistema de saúde.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D">
            <w:pPr>
              <w:rPr>
                <w:b w:val="1"/>
                <w:bCs w:val="1"/>
              </w:rPr>
            </w:pPr>
            <w:r w:rsidDel="00000000" w:rsidR="00000000" w:rsidRPr="00000000">
              <w:rPr>
                <w:rFonts w:ascii="Arial" w:cs="Arial" w:eastAsia="Arial" w:hAnsi="Arial"/>
                <w:b w:val="1"/>
                <w:bCs w:val="1"/>
                <w:sz w:val="20"/>
                <w:szCs w:val="20"/>
                <w:rtl w:val="0"/>
              </w:rPr>
              <w:t xml:space="preserve">Facilidade de mudança de requisitos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Inexistente.</w:t>
            </w:r>
            <w:r w:rsidDel="00000000" w:rsidR="00000000" w:rsidRPr="00000000">
              <w:rPr>
                <w:rFonts w:ascii="Arial" w:cs="Arial" w:eastAsia="Arial" w:hAnsi="Arial"/>
                <w:sz w:val="20"/>
                <w:szCs w:val="20"/>
                <w:rtl w:val="0"/>
              </w:rPr>
              <w:t xml:space="preserve"> Baseia-se no congelamento definitivo do escopo nas fases iniciais. Qualquer alteração em portarias emitidas pela ANPD ou atualizações éticas do CFM durante o projeto invalidaria o trabalho das etapas anteriores, gerando alto volume de refugo documental.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Mudanças de escopo e correções analíticas baseadas no amadurecimento do sistema são integradas de forma controlada como melhorias no backlog do ciclo seguinte, afetando somente o incremento local e preservando a integridade do restante do material.</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Altíssima.</w:t>
            </w:r>
            <w:r w:rsidDel="00000000" w:rsidR="00000000" w:rsidRPr="00000000">
              <w:rPr>
                <w:rFonts w:ascii="Arial" w:cs="Arial" w:eastAsia="Arial" w:hAnsi="Arial"/>
                <w:sz w:val="20"/>
                <w:szCs w:val="20"/>
                <w:rtl w:val="0"/>
              </w:rPr>
              <w:t xml:space="preserve"> Permite a repriorização integral do backlog ao fim de cada Sprint. Contudo, essa alta volatilidade tende a gerar instabilidade na documentação conceitual, gerando descompasso crônico entre os diagramas UML e o comportamento do software.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Média.</w:t>
            </w:r>
            <w:r w:rsidDel="00000000" w:rsidR="00000000" w:rsidRPr="00000000">
              <w:rPr>
                <w:rFonts w:ascii="Arial" w:cs="Arial" w:eastAsia="Arial" w:hAnsi="Arial"/>
                <w:sz w:val="20"/>
                <w:szCs w:val="20"/>
                <w:rtl w:val="0"/>
              </w:rPr>
              <w:t xml:space="preserve"> Depende do uso de infraestrutura tratada como código (IaC) e automações complexas. Alterações estruturais profundas exigem refatoração imediata em scripts de provisionamento e testes automáticos de regressão.</w:t>
            </w:r>
          </w:p>
        </w:tc>
      </w:tr>
      <w:tr>
        <w:trPr>
          <w:cantSplit w:val="0"/>
          <w:trHeight w:val="668.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2">
            <w:pPr>
              <w:rPr>
                <w:b w:val="1"/>
                <w:bCs w:val="1"/>
              </w:rPr>
            </w:pPr>
            <w:r w:rsidDel="00000000" w:rsidR="00000000" w:rsidRPr="00000000">
              <w:rPr>
                <w:rFonts w:ascii="Arial" w:cs="Arial" w:eastAsia="Arial" w:hAnsi="Arial"/>
                <w:b w:val="1"/>
                <w:bCs w:val="1"/>
                <w:sz w:val="20"/>
                <w:szCs w:val="20"/>
                <w:rtl w:val="0"/>
              </w:rPr>
              <w:t xml:space="preserve">Visibilidade do progresso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Abstrata.</w:t>
            </w:r>
            <w:r w:rsidDel="00000000" w:rsidR="00000000" w:rsidRPr="00000000">
              <w:rPr>
                <w:rFonts w:ascii="Arial" w:cs="Arial" w:eastAsia="Arial" w:hAnsi="Arial"/>
                <w:sz w:val="20"/>
                <w:szCs w:val="20"/>
                <w:rtl w:val="0"/>
              </w:rPr>
              <w:t xml:space="preserve"> O avanço do projeto é medido de forma teórica pelo cumprimento de fases burocráticas. A visualização de resultados práticos e a validação cruzada só acontecem na entrega final (abordagem </w:t>
            </w:r>
            <w:r w:rsidDel="00000000" w:rsidR="00000000" w:rsidRPr="00000000">
              <w:rPr>
                <w:rFonts w:ascii="Arial" w:cs="Arial" w:eastAsia="Arial" w:hAnsi="Arial"/>
                <w:i w:val="1"/>
                <w:iCs w:val="1"/>
                <w:sz w:val="20"/>
                <w:szCs w:val="20"/>
                <w:rtl w:val="0"/>
              </w:rPr>
              <w:t xml:space="preserve">Big Bang</w:t>
            </w:r>
            <w:r w:rsidDel="00000000" w:rsidR="00000000" w:rsidRPr="00000000">
              <w:rPr>
                <w:rFonts w:ascii="Arial" w:cs="Arial" w:eastAsia="Arial" w:hAnsi="Arial"/>
                <w:sz w:val="20"/>
                <w:szCs w:val="20"/>
                <w:rtl w:val="0"/>
              </w:rPr>
              <w:t xml:space="preserve">), mascarando desvios conceituais durante o semestre.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Alta.</w:t>
            </w:r>
            <w:r w:rsidDel="00000000" w:rsidR="00000000" w:rsidRPr="00000000">
              <w:rPr>
                <w:rFonts w:ascii="Arial" w:cs="Arial" w:eastAsia="Arial" w:hAnsi="Arial"/>
                <w:sz w:val="20"/>
                <w:szCs w:val="20"/>
                <w:rtl w:val="0"/>
              </w:rPr>
              <w:t xml:space="preserve"> O progresso é mensurado a cada quatro semanas pela entrega de blocos verticais de documentação e engenharia finalizados, revisados e auditados, permitindo o acompanhamento claro da evolução conceitual pela banca acadêmica.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Elevada para código.</w:t>
            </w:r>
            <w:r w:rsidDel="00000000" w:rsidR="00000000" w:rsidRPr="00000000">
              <w:rPr>
                <w:rFonts w:ascii="Arial" w:cs="Arial" w:eastAsia="Arial" w:hAnsi="Arial"/>
                <w:sz w:val="20"/>
                <w:szCs w:val="20"/>
                <w:rtl w:val="0"/>
              </w:rPr>
              <w:t xml:space="preserve"> Foca no progresso visível de funcionalidades funcionais através de reuniões diárias e gráficos de queima de tarefas (</w:t>
            </w:r>
            <w:r w:rsidDel="00000000" w:rsidR="00000000" w:rsidRPr="00000000">
              <w:rPr>
                <w:rFonts w:ascii="Arial" w:cs="Arial" w:eastAsia="Arial" w:hAnsi="Arial"/>
                <w:i w:val="1"/>
                <w:iCs w:val="1"/>
                <w:sz w:val="20"/>
                <w:szCs w:val="20"/>
                <w:rtl w:val="0"/>
              </w:rPr>
              <w:t xml:space="preserve">burndown</w:t>
            </w:r>
            <w:r w:rsidDel="00000000" w:rsidR="00000000" w:rsidRPr="00000000">
              <w:rPr>
                <w:rFonts w:ascii="Arial" w:cs="Arial" w:eastAsia="Arial" w:hAnsi="Arial"/>
                <w:sz w:val="20"/>
                <w:szCs w:val="20"/>
                <w:rtl w:val="0"/>
              </w:rPr>
              <w:t xml:space="preserve">). Entretanto, reduz a visibilidade sobre a completude analítica e formal das especificações.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Automatizada.</w:t>
            </w:r>
            <w:r w:rsidDel="00000000" w:rsidR="00000000" w:rsidRPr="00000000">
              <w:rPr>
                <w:rFonts w:ascii="Arial" w:cs="Arial" w:eastAsia="Arial" w:hAnsi="Arial"/>
                <w:sz w:val="20"/>
                <w:szCs w:val="20"/>
                <w:rtl w:val="0"/>
              </w:rPr>
              <w:t xml:space="preserve"> O progresso é mensurado de forma contínua por métricas técnicas de telemetria, volumetria de implantações e taxas de sucesso de testes em esteiras automatizadas, ocultando o nível de maturação dos requisitos lógicos.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7">
            <w:pPr>
              <w:rPr>
                <w:b w:val="1"/>
                <w:bCs w:val="1"/>
              </w:rPr>
            </w:pPr>
            <w:r w:rsidDel="00000000" w:rsidR="00000000" w:rsidRPr="00000000">
              <w:rPr>
                <w:rFonts w:ascii="Arial" w:cs="Arial" w:eastAsia="Arial" w:hAnsi="Arial"/>
                <w:b w:val="1"/>
                <w:bCs w:val="1"/>
                <w:sz w:val="20"/>
                <w:szCs w:val="20"/>
                <w:rtl w:val="0"/>
              </w:rPr>
              <w:t xml:space="preserve">Adequação para projeto de documentação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Regular.</w:t>
            </w:r>
            <w:r w:rsidDel="00000000" w:rsidR="00000000" w:rsidRPr="00000000">
              <w:rPr>
                <w:rFonts w:ascii="Arial" w:cs="Arial" w:eastAsia="Arial" w:hAnsi="Arial"/>
                <w:sz w:val="20"/>
                <w:szCs w:val="20"/>
                <w:rtl w:val="0"/>
              </w:rPr>
              <w:t xml:space="preserve"> Produz especificações massivas e estáticas, porém o volume de revisões manuais complexas acumuladas para o fim do prazo semestral inviabiliza correções de consistência profunda entre as KAs, gerando falhas de acoplamento.</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Excelente.</w:t>
            </w:r>
            <w:r w:rsidDel="00000000" w:rsidR="00000000" w:rsidRPr="00000000">
              <w:rPr>
                <w:rFonts w:ascii="Arial" w:cs="Arial" w:eastAsia="Arial" w:hAnsi="Arial"/>
                <w:sz w:val="20"/>
                <w:szCs w:val="20"/>
                <w:rtl w:val="0"/>
              </w:rPr>
              <w:t xml:space="preserve"> Ideal para a produção assíncrona exigida em grupos de engenharia. Permite estruturar fatias documentais altamente coesas e independentes que são conectadas e testadas sequencialmente por contratos de rastreabilidade.</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Deficiente.</w:t>
            </w:r>
            <w:r w:rsidDel="00000000" w:rsidR="00000000" w:rsidRPr="00000000">
              <w:rPr>
                <w:rFonts w:ascii="Arial" w:cs="Arial" w:eastAsia="Arial" w:hAnsi="Arial"/>
                <w:sz w:val="20"/>
                <w:szCs w:val="20"/>
                <w:rtl w:val="0"/>
              </w:rPr>
              <w:t xml:space="preserve"> A cultura de priorizar software funcional em detrimento de especificações abrangentes desencoraja a redação detalhada sob normas como a IEEE 830, gerando artefatos superficiais que comprometem a avaliação rigorosa.</w:t>
            </w:r>
          </w:p>
        </w:tc>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Nula.</w:t>
            </w:r>
            <w:r w:rsidDel="00000000" w:rsidR="00000000" w:rsidRPr="00000000">
              <w:rPr>
                <w:rFonts w:ascii="Arial" w:cs="Arial" w:eastAsia="Arial" w:hAnsi="Arial"/>
                <w:sz w:val="20"/>
                <w:szCs w:val="20"/>
                <w:rtl w:val="0"/>
              </w:rPr>
              <w:t xml:space="preserve"> Não possui frentes de trabalho orientadas ao desenvolvimento, refinamento analítico, diagramação conceitual OMG ou revisão formal de documentos conceituais de engenharia de sistemas.</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C">
            <w:pPr>
              <w:rPr>
                <w:b w:val="1"/>
                <w:bCs w:val="1"/>
              </w:rPr>
            </w:pPr>
            <w:r w:rsidDel="00000000" w:rsidR="00000000" w:rsidRPr="00000000">
              <w:rPr>
                <w:rFonts w:ascii="Arial" w:cs="Arial" w:eastAsia="Arial" w:hAnsi="Arial"/>
                <w:b w:val="1"/>
                <w:bCs w:val="1"/>
                <w:sz w:val="20"/>
                <w:szCs w:val="20"/>
                <w:rtl w:val="0"/>
              </w:rPr>
              <w:t xml:space="preserve">Suporte a entregas incrementais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Nulo.</w:t>
            </w:r>
            <w:r w:rsidDel="00000000" w:rsidR="00000000" w:rsidRPr="00000000">
              <w:rPr>
                <w:rFonts w:ascii="Arial" w:cs="Arial" w:eastAsia="Arial" w:hAnsi="Arial"/>
                <w:sz w:val="20"/>
                <w:szCs w:val="20"/>
                <w:rtl w:val="0"/>
              </w:rPr>
              <w:t xml:space="preserve"> O modelo opera sob o paradigma de entrega única no encerramento do projeto, concentrando todo o risco técnico e operacional de aceitação do sistema na data limite de fechamento do cronograma.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Fonts w:ascii="Arial" w:cs="Arial" w:eastAsia="Arial" w:hAnsi="Arial"/>
                <w:sz w:val="20"/>
                <w:szCs w:val="20"/>
                <w:rtl w:val="0"/>
              </w:rPr>
              <w:t xml:space="preserve"> O escopo do consultório é fatiado de forma progressiva, entregando baselines completas e utilizáveis ao término de cada macrociclo de quatro semanas.</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Parcial.</w:t>
            </w:r>
            <w:r w:rsidDel="00000000" w:rsidR="00000000" w:rsidRPr="00000000">
              <w:rPr>
                <w:rFonts w:ascii="Arial" w:cs="Arial" w:eastAsia="Arial" w:hAnsi="Arial"/>
                <w:sz w:val="20"/>
                <w:szCs w:val="20"/>
                <w:rtl w:val="0"/>
              </w:rPr>
              <w:t xml:space="preserve"> Foca na entrega incremental de telas e software executável para o usuário final, porém falha em fornecer suporte para a evolução incremental e amarrada da documentação técnica e arquitetural de suporte.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Contínuo.</w:t>
            </w:r>
            <w:r w:rsidDel="00000000" w:rsidR="00000000" w:rsidRPr="00000000">
              <w:rPr>
                <w:rFonts w:ascii="Arial" w:cs="Arial" w:eastAsia="Arial" w:hAnsi="Arial"/>
                <w:sz w:val="20"/>
                <w:szCs w:val="20"/>
                <w:rtl w:val="0"/>
              </w:rPr>
              <w:t xml:space="preserve"> Opera sob o fluxo de micro-lançamentos automatizados no ambiente de produção. Essa dinâmica de entregas em minutos não se aplica às necessidades de maturação acadêmica das visões arquiteturais.</w:t>
            </w:r>
          </w:p>
        </w:tc>
      </w:tr>
      <w:tr>
        <w:trPr>
          <w:cantSplit w:val="0"/>
          <w:trHeight w:val="220" w:hRule="atLeast"/>
          <w:tblHeader w:val="0"/>
        </w:trPr>
        <w:tc>
          <w:tcPr>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1">
            <w:pPr>
              <w:rPr>
                <w:b w:val="1"/>
                <w:bCs w:val="1"/>
              </w:rPr>
            </w:pPr>
            <w:r w:rsidDel="00000000" w:rsidR="00000000" w:rsidRPr="00000000">
              <w:rPr>
                <w:rFonts w:ascii="Arial" w:cs="Arial" w:eastAsia="Arial" w:hAnsi="Arial"/>
                <w:b w:val="1"/>
                <w:bCs w:val="1"/>
                <w:sz w:val="20"/>
                <w:szCs w:val="20"/>
                <w:rtl w:val="0"/>
              </w:rPr>
              <w:t xml:space="preserve">Conclusão: Modelo adotado e justificativa</w:t>
            </w:r>
            <w:r w:rsidDel="00000000" w:rsidR="00000000" w:rsidRPr="00000000">
              <w:rPr>
                <w:rtl w:val="0"/>
              </w:rPr>
            </w:r>
          </w:p>
        </w:tc>
        <w:tc>
          <w:tcPr>
            <w:gridSpan w:val="4"/>
            <w:tcBorders>
              <w:top w:color="c8daea" w:space="0" w:sz="4" w:val="single"/>
              <w:left w:color="c8daea" w:space="0" w:sz="4" w:val="single"/>
              <w:bottom w:color="c8daea" w:space="0" w:sz="4" w:val="single"/>
              <w:right w:color="c8daea" w:space="0" w:sz="4" w:val="single"/>
            </w:tcBorders>
            <w:shd w:fill="f0f6fc"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O modelo iterativo-incremental permite construir o Sistema de Gestão de Consultório Médico em blocos lógicos estruturados (fatias funcionais estáveis), respeitando a precedência lógica dos dados da clínica. Além disso, a natureza </w:t>
            </w:r>
            <w:r w:rsidDel="00000000" w:rsidR="00000000" w:rsidRPr="00000000">
              <w:rPr>
                <w:rFonts w:ascii="Arial" w:cs="Arial" w:eastAsia="Arial" w:hAnsi="Arial"/>
                <w:sz w:val="20"/>
                <w:szCs w:val="20"/>
                <w:rtl w:val="0"/>
              </w:rPr>
              <w:t xml:space="preserve">iterativa</w:t>
            </w:r>
            <w:r w:rsidDel="00000000" w:rsidR="00000000" w:rsidRPr="00000000">
              <w:rPr>
                <w:rFonts w:ascii="Arial" w:cs="Arial" w:eastAsia="Arial" w:hAnsi="Arial"/>
                <w:sz w:val="20"/>
                <w:szCs w:val="20"/>
                <w:rtl w:val="0"/>
              </w:rPr>
              <w:t xml:space="preserve"> viabiliza que os rascunhos assíncronos produzidos pela equipe sejam revisitados, refinados e testados por meio de auditorias cruzadas antes do encerramento de cada ciclo de quatro semanas. </w:t>
            </w:r>
          </w:p>
        </w:tc>
      </w:tr>
    </w:tbl>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Registro de Retrospectivas</w:t>
      </w:r>
      <w:r w:rsidDel="00000000" w:rsidR="00000000" w:rsidRPr="00000000">
        <w:rPr>
          <w:rtl w:val="0"/>
        </w:rPr>
      </w:r>
    </w:p>
    <w:p w:rsidR="00000000" w:rsidDel="00000000" w:rsidP="00000000" w:rsidRDefault="00000000" w:rsidRPr="00000000" w14:paraId="000000A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Retrospectiva #1 — Ciclo 1 (Semanas 1–4)</w:t>
      </w:r>
      <w:r w:rsidDel="00000000" w:rsidR="00000000" w:rsidRPr="00000000">
        <w:rPr>
          <w:rtl w:val="0"/>
        </w:rPr>
      </w:r>
    </w:p>
    <w:p w:rsidR="00000000" w:rsidDel="00000000" w:rsidP="00000000" w:rsidRDefault="00000000" w:rsidRPr="00000000" w14:paraId="000000A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AB">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 escopo inicial do projeto foi definido de forma clara, permitindo o alinhamento da equipe quanto aos objetivos e às funcionalidades prioritárias.</w:t>
      </w:r>
    </w:p>
    <w:p w:rsidR="00000000" w:rsidDel="00000000" w:rsidP="00000000" w:rsidRDefault="00000000" w:rsidRPr="00000000" w14:paraId="000000AC">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distribuição de papéis e responsabilidades entre os integrantes ocorreu de maneira equilibrada, favorecendo o desenvolvimento colaborativo.</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concluídos o levantamento inicial dos requisitos, a estrutura do Plano de Projeto (KA 09) e a primeira versão da Especificação de Requisitos (KA 01), respeitando o cronograma previsto.</w:t>
      </w:r>
    </w:p>
    <w:p w:rsidR="00000000" w:rsidDel="00000000" w:rsidP="00000000" w:rsidRDefault="00000000" w:rsidRPr="00000000" w14:paraId="000000AE">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equipe estabeleceu padrões para documentação, versionamento e revisão cruzada, contribuindo para a padronização dos artefatos produzidos.</w:t>
      </w:r>
    </w:p>
    <w:p w:rsidR="00000000" w:rsidDel="00000000" w:rsidP="00000000" w:rsidRDefault="00000000" w:rsidRPr="00000000" w14:paraId="000000A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B0">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Refinar os requisitos antes do início da modelagem arquitetural para reduzir retrabalho decorrente de alterações posteriores.</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histórias de usuário logo nas primeiras reuniões, facilitando a estimativa de esforço nos ciclos seguintes.</w:t>
      </w:r>
    </w:p>
    <w:p w:rsidR="00000000" w:rsidDel="00000000" w:rsidP="00000000" w:rsidRDefault="00000000" w:rsidRPr="00000000" w14:paraId="000000B2">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Centralizar os registros das decisões tomadas durante as reuniões para facilitar consultas futuras e aumentar a rastreabilidade do projeto.</w:t>
      </w:r>
    </w:p>
    <w:p w:rsidR="00000000" w:rsidDel="00000000" w:rsidP="00000000" w:rsidRDefault="00000000" w:rsidRPr="00000000" w14:paraId="000000B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B4">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a especificação dos requisitos funcionais e não funcionais e validar sua consistência.</w:t>
      </w:r>
    </w:p>
    <w:p w:rsidR="00000000" w:rsidDel="00000000" w:rsidP="00000000" w:rsidRDefault="00000000" w:rsidRPr="00000000" w14:paraId="000000B5">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arquitetura do sistema e dos principais diagramas UML.</w:t>
      </w:r>
    </w:p>
    <w:p w:rsidR="00000000" w:rsidDel="00000000" w:rsidP="00000000" w:rsidRDefault="00000000" w:rsidRPr="00000000" w14:paraId="000000B6">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Estruturar o backlog do produto, definir os épicos e priorizar as histórias de usuário utilizando a técnica MoSCoW.</w:t>
      </w:r>
    </w:p>
    <w:p w:rsidR="00000000" w:rsidDel="00000000" w:rsidP="00000000" w:rsidRDefault="00000000" w:rsidRPr="00000000" w14:paraId="000000B7">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Bdr>
          <w:left w:color="1a3c5e" w:space="4" w:sz="16" w:val="single"/>
        </w:pBdr>
        <w:spacing w:after="80" w:before="200" w:lineRule="auto"/>
        <w:ind w:left="227" w:firstLine="0"/>
        <w:rPr>
          <w:rFonts w:ascii="Cambria" w:cs="Cambria" w:eastAsia="Cambria" w:hAnsi="Cambria"/>
          <w:i w:val="0"/>
          <w:iCs w:val="0"/>
          <w:color w:val="000000"/>
        </w:rPr>
      </w:pPr>
      <w:r w:rsidDel="00000000" w:rsidR="00000000" w:rsidRPr="00000000">
        <w:rPr>
          <w:rFonts w:ascii="Arial" w:cs="Arial" w:eastAsia="Arial" w:hAnsi="Arial"/>
          <w:b w:val="1"/>
          <w:bCs w:val="1"/>
          <w:color w:val="1a3c5e"/>
          <w:sz w:val="24"/>
          <w:szCs w:val="24"/>
          <w:rtl w:val="0"/>
        </w:rPr>
        <w:t xml:space="preserve">4.2 Retrospectiva #2 — Ciclo 2 (Semanas 5–8)</w:t>
      </w:r>
      <w:r w:rsidDel="00000000" w:rsidR="00000000" w:rsidRPr="00000000">
        <w:rPr>
          <w:rtl w:val="0"/>
        </w:rPr>
      </w:r>
    </w:p>
    <w:p w:rsidR="00000000" w:rsidDel="00000000" w:rsidP="00000000" w:rsidRDefault="00000000" w:rsidRPr="00000000" w14:paraId="000000B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BB">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 arquitetura do sistema foi definida e alinhada com os requisitos previamente levantados, reduzindo inconsistências entre as diferentes áreas do projeto.</w:t>
      </w:r>
    </w:p>
    <w:p w:rsidR="00000000" w:rsidDel="00000000" w:rsidP="00000000" w:rsidRDefault="00000000" w:rsidRPr="00000000" w14:paraId="000000B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Foram elaborados os principais diagramas UML (casos de uso, classes, sequência e atividades), proporcionando uma visão mais clara do comportamento e da estrutura do sistema.</w:t>
      </w:r>
    </w:p>
    <w:p w:rsidR="00000000" w:rsidDel="00000000" w:rsidP="00000000" w:rsidRDefault="00000000" w:rsidRPr="00000000" w14:paraId="000000BD">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backlog do produto foi organizado em épicos e histórias de usuário, utilizando priorização MoSCoW e estimativas por Story Points, facilitando o planejamento das próximas entregas.</w:t>
      </w:r>
    </w:p>
    <w:p w:rsidR="00000000" w:rsidDel="00000000" w:rsidP="00000000" w:rsidRDefault="00000000" w:rsidRPr="00000000" w14:paraId="000000BE">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 processo de desenvolvimento foi documentado, incluindo o fluxo BPMN, checkpoints e retrospectivas, promovendo maior organização da equipe.</w:t>
      </w:r>
    </w:p>
    <w:p w:rsidR="00000000" w:rsidDel="00000000" w:rsidP="00000000" w:rsidRDefault="00000000" w:rsidRPr="00000000" w14:paraId="000000B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C0">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Aprimorar a sincronização entre as alterações nos requisitos e os artefatos de arquitetura e design, evitando atualizações em cascata.</w:t>
      </w:r>
    </w:p>
    <w:p w:rsidR="00000000" w:rsidDel="00000000" w:rsidP="00000000" w:rsidRDefault="00000000" w:rsidRPr="00000000" w14:paraId="000000C1">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revisões técnicas intermediárias antes da consolidação dos diagramas para reduzir retrabalho.</w:t>
      </w:r>
    </w:p>
    <w:p w:rsidR="00000000" w:rsidDel="00000000" w:rsidP="00000000" w:rsidRDefault="00000000" w:rsidRPr="00000000" w14:paraId="000000C2">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o detalhamento das justificativas técnicas presentes nos documentos, fortalecendo a rastreabilidade entre os artefatos produzidos.</w:t>
      </w:r>
    </w:p>
    <w:p w:rsidR="00000000" w:rsidDel="00000000" w:rsidP="00000000" w:rsidRDefault="00000000" w:rsidRPr="00000000" w14:paraId="000000C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C4">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Desenvolver os planos de testes, qualidade, segurança e gerência de configuração.</w:t>
      </w:r>
    </w:p>
    <w:p w:rsidR="00000000" w:rsidDel="00000000" w:rsidP="00000000" w:rsidRDefault="00000000" w:rsidRPr="00000000" w14:paraId="000000C5">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Revisar a consistência entre requisitos, backlog, arquitetura e modelos UML.</w:t>
      </w:r>
    </w:p>
    <w:p w:rsidR="00000000" w:rsidDel="00000000" w:rsidP="00000000" w:rsidRDefault="00000000" w:rsidRPr="00000000" w14:paraId="000000C6">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Iniciar a elaboração da documentação relacionada à operação, manutenção e análise econômica do projeto.</w:t>
      </w:r>
    </w:p>
    <w:p w:rsidR="00000000" w:rsidDel="00000000" w:rsidP="00000000" w:rsidRDefault="00000000" w:rsidRPr="00000000" w14:paraId="000000C7">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4.3 Retrospectiva #3 — Ciclo 3 (Semanas 9–12)</w:t>
      </w:r>
      <w:r w:rsidDel="00000000" w:rsidR="00000000" w:rsidRPr="00000000">
        <w:rPr>
          <w:rtl w:val="0"/>
        </w:rPr>
      </w:r>
    </w:p>
    <w:p w:rsidR="00000000" w:rsidDel="00000000" w:rsidP="00000000" w:rsidRDefault="00000000" w:rsidRPr="00000000" w14:paraId="000000C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foi bem:</w:t>
      </w:r>
    </w:p>
    <w:p w:rsidR="00000000" w:rsidDel="00000000" w:rsidP="00000000" w:rsidRDefault="00000000" w:rsidRPr="00000000" w14:paraId="000000CB">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Foram desenvolvidos e refinados os artefatos relacionados aos testes, qualidade, segurança e gerência de configuração, mantendo alinhamento com os requisitos e a arquitetura do sistema.</w:t>
      </w:r>
    </w:p>
    <w:p w:rsidR="00000000" w:rsidDel="00000000" w:rsidP="00000000" w:rsidRDefault="00000000" w:rsidRPr="00000000" w14:paraId="000000CC">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matriz de rastreabilidade foi ampliada, fortalecendo a relação entre requisitos, histórias de usuário, casos de uso e casos de teste.</w:t>
      </w:r>
    </w:p>
    <w:p w:rsidR="00000000" w:rsidDel="00000000" w:rsidP="00000000" w:rsidRDefault="00000000" w:rsidRPr="00000000" w14:paraId="000000CD">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 análise de segurança incorporou práticas recomendadas, como modelagem de ameaças, controles baseados na OWASP e requisitos de conformidade com a LGPD.</w:t>
      </w:r>
    </w:p>
    <w:p w:rsidR="00000000" w:rsidDel="00000000" w:rsidP="00000000" w:rsidRDefault="00000000" w:rsidRPr="00000000" w14:paraId="000000CE">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Os documentos passaram por revisões cruzadas entre os integrantes da equipe, aumentando a consistência técnica e reduzindo inconsistências entre os diferentes KAs.</w:t>
      </w:r>
    </w:p>
    <w:p w:rsidR="00000000" w:rsidDel="00000000" w:rsidP="00000000" w:rsidRDefault="00000000" w:rsidRPr="00000000" w14:paraId="000000C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O que pode melhorar:</w:t>
      </w:r>
    </w:p>
    <w:p w:rsidR="00000000" w:rsidDel="00000000" w:rsidP="00000000" w:rsidRDefault="00000000" w:rsidRPr="00000000" w14:paraId="000000D0">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Antecipar as revisões de integração entre os documentos para identificar inconsistências antes da consolidação das versões.</w:t>
      </w:r>
    </w:p>
    <w:p w:rsidR="00000000" w:rsidDel="00000000" w:rsidP="00000000" w:rsidRDefault="00000000" w:rsidRPr="00000000" w14:paraId="000000D1">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Padronizar ainda mais a nomenclatura utilizada nos diagramas e documentos, facilitando a leitura e a rastreabilidade.</w:t>
      </w:r>
    </w:p>
    <w:p w:rsidR="00000000" w:rsidDel="00000000" w:rsidP="00000000" w:rsidRDefault="00000000" w:rsidRPr="00000000" w14:paraId="000000D2">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Melhorar a distribuição das atividades próximas aos prazos de entrega, evitando concentração excessiva de trabalho no final do ciclo.</w:t>
      </w:r>
    </w:p>
    <w:p w:rsidR="00000000" w:rsidDel="00000000" w:rsidP="00000000" w:rsidRDefault="00000000" w:rsidRPr="00000000" w14:paraId="000000D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Ações para o próximo ciclo:</w:t>
      </w:r>
    </w:p>
    <w:p w:rsidR="00000000" w:rsidDel="00000000" w:rsidP="00000000" w:rsidRDefault="00000000" w:rsidRPr="00000000" w14:paraId="000000D4">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Finalizar os documentos de operação, manutenção, economia e fundamentos computacionais.</w:t>
      </w:r>
    </w:p>
    <w:p w:rsidR="00000000" w:rsidDel="00000000" w:rsidP="00000000" w:rsidRDefault="00000000" w:rsidRPr="00000000" w14:paraId="000000D5">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Consolidar a documentação de todos os Knowledge Areas (KAs), garantindo consistência entre os artefatos produzidos.</w:t>
      </w:r>
    </w:p>
    <w:p w:rsidR="00000000" w:rsidDel="00000000" w:rsidP="00000000" w:rsidRDefault="00000000" w:rsidRPr="00000000" w14:paraId="000000D6">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Realizar a revisão final de conteúdo, formatação, referências bibliográficas e histórico de versões antes da entrega da versão 2.0.</w:t>
      </w:r>
    </w:p>
    <w:p w:rsidR="00000000" w:rsidDel="00000000" w:rsidP="00000000" w:rsidRDefault="00000000" w:rsidRPr="00000000" w14:paraId="000000D7">
      <w:pPr>
        <w:spacing w:after="40" w:lineRule="auto"/>
        <w:rPr>
          <w:rFonts w:ascii="Arial" w:cs="Arial" w:eastAsia="Arial" w:hAnsi="Arial"/>
          <w:b w:val="1"/>
          <w:bCs w:val="1"/>
          <w:color w:val="1a3c5e"/>
          <w:sz w:val="20"/>
          <w:szCs w:val="2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0DB">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Piscataway: IEEE Computer Society, 2024. (Capítulo: </w:t>
      </w:r>
      <w:r w:rsidDel="00000000" w:rsidR="00000000" w:rsidRPr="00000000">
        <w:rPr>
          <w:rFonts w:ascii="Arial" w:cs="Arial" w:eastAsia="Arial" w:hAnsi="Arial"/>
          <w:i w:val="1"/>
          <w:iCs w:val="1"/>
          <w:rtl w:val="0"/>
        </w:rPr>
        <w:t xml:space="preserve">Software Engineering Process</w:t>
      </w:r>
      <w:r w:rsidDel="00000000" w:rsidR="00000000" w:rsidRPr="00000000">
        <w:rPr>
          <w:rFonts w:ascii="Arial" w:cs="Arial" w:eastAsia="Arial" w:hAnsi="Arial"/>
          <w:rtl w:val="0"/>
        </w:rPr>
        <w:t xml:space="preserve">).</w:t>
      </w:r>
    </w:p>
    <w:p w:rsidR="00000000" w:rsidDel="00000000" w:rsidP="00000000" w:rsidRDefault="00000000" w:rsidRPr="00000000" w14:paraId="000000DC">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 12207:2017.</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Systems and software engineering — Software life cycle processes</w:t>
      </w:r>
      <w:r w:rsidDel="00000000" w:rsidR="00000000" w:rsidRPr="00000000">
        <w:rPr>
          <w:rFonts w:ascii="Arial" w:cs="Arial" w:eastAsia="Arial" w:hAnsi="Arial"/>
          <w:rtl w:val="0"/>
        </w:rPr>
        <w:t xml:space="preserve">. Genebra: International Organization for Standardization, 2017.</w:t>
      </w:r>
    </w:p>
    <w:p w:rsidR="00000000" w:rsidDel="00000000" w:rsidP="00000000" w:rsidRDefault="00000000" w:rsidRPr="00000000" w14:paraId="000000DD">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Lei nº 13.709, de 14 de agosto de 2018. </w:t>
      </w:r>
      <w:r w:rsidDel="00000000" w:rsidR="00000000" w:rsidRPr="00000000">
        <w:rPr>
          <w:rFonts w:ascii="Arial" w:cs="Arial" w:eastAsia="Arial" w:hAnsi="Arial"/>
          <w:i w:val="1"/>
          <w:iCs w:val="1"/>
          <w:rtl w:val="0"/>
        </w:rPr>
        <w:t xml:space="preserve">Lei Geral de Proteção de Dados Pessoais (LGPD)</w:t>
      </w:r>
      <w:r w:rsidDel="00000000" w:rsidR="00000000" w:rsidRPr="00000000">
        <w:rPr>
          <w:rFonts w:ascii="Arial" w:cs="Arial" w:eastAsia="Arial" w:hAnsi="Arial"/>
          <w:rtl w:val="0"/>
        </w:rPr>
        <w:t xml:space="preserve">. Brasília, DF: Presidência da República. Disponível em:</w:t>
      </w:r>
      <w:hyperlink r:id="rId7">
        <w:r w:rsidDel="00000000" w:rsidR="00000000" w:rsidRPr="00000000">
          <w:rPr>
            <w:rFonts w:ascii="Arial" w:cs="Arial" w:eastAsia="Arial" w:hAnsi="Arial"/>
            <w:rtl w:val="0"/>
          </w:rPr>
          <w:t xml:space="preserve"> </w:t>
        </w:r>
      </w:hyperlink>
      <w:hyperlink r:id="rId8">
        <w:r w:rsidDel="00000000" w:rsidR="00000000" w:rsidRPr="00000000">
          <w:rPr>
            <w:rFonts w:ascii="Arial" w:cs="Arial" w:eastAsia="Arial" w:hAnsi="Arial"/>
            <w:color w:val="1155cc"/>
            <w:u w:val="single"/>
            <w:rtl w:val="0"/>
          </w:rPr>
          <w:t xml:space="preserve">http://www.planalto.gov.br/ccivil_03/_ato2015-2018/2018/lei/l13709.htm</w:t>
        </w:r>
      </w:hyperlink>
      <w:r w:rsidDel="00000000" w:rsidR="00000000" w:rsidRPr="00000000">
        <w:rPr>
          <w:rFonts w:ascii="Arial" w:cs="Arial" w:eastAsia="Arial" w:hAnsi="Arial"/>
          <w:rtl w:val="0"/>
        </w:rPr>
        <w:t xml:space="preserve">.</w:t>
      </w:r>
    </w:p>
    <w:p w:rsidR="00000000" w:rsidDel="00000000" w:rsidP="00000000" w:rsidRDefault="00000000" w:rsidRPr="00000000" w14:paraId="000000D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Resolução CFM nº 2.299/2021. Brasília, DF: CFM, 2021.</w:t>
      </w:r>
    </w:p>
    <w:p w:rsidR="00000000" w:rsidDel="00000000" w:rsidP="00000000" w:rsidRDefault="00000000" w:rsidRPr="00000000" w14:paraId="000000DF">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Std 1028-2008.</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IEEE Standard for Software Reviews and Audits</w:t>
      </w:r>
      <w:r w:rsidDel="00000000" w:rsidR="00000000" w:rsidRPr="00000000">
        <w:rPr>
          <w:rFonts w:ascii="Arial" w:cs="Arial" w:eastAsia="Arial" w:hAnsi="Arial"/>
          <w:rtl w:val="0"/>
        </w:rPr>
        <w:t xml:space="preserve">. Nova York: IEEE, 2008.</w:t>
      </w:r>
    </w:p>
    <w:p w:rsidR="00000000" w:rsidDel="00000000" w:rsidP="00000000" w:rsidRDefault="00000000" w:rsidRPr="00000000" w14:paraId="000000E0">
      <w:pPr>
        <w:spacing w:after="40" w:lineRule="auto"/>
        <w:rPr>
          <w:rFonts w:ascii="Arial" w:cs="Arial" w:eastAsia="Arial" w:hAnsi="Arial"/>
        </w:rPr>
      </w:pPr>
      <w:r w:rsidDel="00000000" w:rsidR="00000000" w:rsidRPr="00000000">
        <w:rPr>
          <w:rtl w:val="0"/>
        </w:rPr>
      </w:r>
    </w:p>
    <w:sectPr>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planalto.gov.br/ccivil_03/_ato2015-2018/2018/lei/l13709.htm" TargetMode="External"/><Relationship Id="rId8" Type="http://schemas.openxmlformats.org/officeDocument/2006/relationships/hyperlink" Target="http://www.planalto.gov.br/ccivil_03/_ato2015-2018/2018/lei/l1370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