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09 — Gerenciamento de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(Software Engineering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Plano de Projeto e Relatório de Encerramento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rHeight w:val="186.431640625" w:hRule="atLeast"/>
          <w:tblHeader w:val="1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rHeight w:val="449.4775390625" w:hRule="atLeast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09/03/2026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Elaboração inicial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21/06/2026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Preenchimento da parte B e atualização das tabelas com status não preenchido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PARTE A — PLANO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Declaração de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O que está incluído no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projeto engloba a documentação completa de engenharia para o Sistema de Gestão de Consultório Médico, com planejamento operacional baseado nas 18 Áreas do Conhecimento (KAs) do SWEBOK v4.0. O sistema será projetado para atender consultórios de pequeno e médio porte, contendo: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Acesso: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Controle de login com níveis de acesso rígidos para três perfis: Administrador, Médico e Recepcionista.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Pacientes: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Cadastro completo, histórico de consultas e opção de inativação de fichas.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Agenda:</w:t>
      </w:r>
      <w:r w:rsidDel="00000000" w:rsidR="00000000" w:rsidRPr="00000000">
        <w:rPr>
          <w:rFonts w:ascii="Arial" w:cs="Arial" w:eastAsia="Arial" w:hAnsi="Arial"/>
          <w:rtl w:val="0"/>
        </w:rPr>
        <w:t xml:space="preserve"> Agendamento de consultas com trava visual para impedir que dois pacientes marquem no mesmo horário com o mesmo médico.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Prontuário Eletrônico (PEP): </w:t>
      </w:r>
      <w:r w:rsidDel="00000000" w:rsidR="00000000" w:rsidRPr="00000000">
        <w:rPr>
          <w:rFonts w:ascii="Arial" w:cs="Arial" w:eastAsia="Arial" w:hAnsi="Arial"/>
          <w:rtl w:val="0"/>
        </w:rPr>
        <w:t xml:space="preserve">Registro de evolução clínica, histórico de alergias e remédios de uso contínuo.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Receitas e Exames:</w:t>
      </w:r>
      <w:r w:rsidDel="00000000" w:rsidR="00000000" w:rsidRPr="00000000">
        <w:rPr>
          <w:rFonts w:ascii="Arial" w:cs="Arial" w:eastAsia="Arial" w:hAnsi="Arial"/>
          <w:rtl w:val="0"/>
        </w:rPr>
        <w:t xml:space="preserve"> Emissão digital de prescrições de medicamentos e pedidos de exames laboratoriais ou de imagem.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Relatórios: </w:t>
      </w:r>
      <w:r w:rsidDel="00000000" w:rsidR="00000000" w:rsidRPr="00000000">
        <w:rPr>
          <w:rFonts w:ascii="Arial" w:cs="Arial" w:eastAsia="Arial" w:hAnsi="Arial"/>
          <w:rtl w:val="0"/>
        </w:rPr>
        <w:t xml:space="preserve">Gráficos simples com o total de consultas realizadas e faltas por período.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O que está fora do escopo (exclusões)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Estão excluídos do escopo deste projeto: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Atendimento por chamada de vídeo (telemedicina) nativa.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de pagamento direto ou integração com máquinas de cartão de crédito.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Aplicativos nativos para Android ou iOS (o sistema será exclusivamente Web Responsivo).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1.3 Premissas e 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Premissa 01:</w:t>
      </w:r>
      <w:r w:rsidDel="00000000" w:rsidR="00000000" w:rsidRPr="00000000">
        <w:rPr>
          <w:rFonts w:ascii="Arial" w:cs="Arial" w:eastAsia="Arial" w:hAnsi="Arial"/>
          <w:rtl w:val="0"/>
        </w:rPr>
        <w:t xml:space="preserve"> Serão usadas ferramentas que permitem gerenciamento de projetos em equipe, como Google Docs, Notion e Github, podendo sofrer alterações conforme o andamento do projeto e discussões nas reuniões de alinhamento.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Premissa 02:</w:t>
      </w:r>
      <w:r w:rsidDel="00000000" w:rsidR="00000000" w:rsidRPr="00000000">
        <w:rPr>
          <w:rFonts w:ascii="Arial" w:cs="Arial" w:eastAsia="Arial" w:hAnsi="Arial"/>
          <w:rtl w:val="0"/>
        </w:rPr>
        <w:t xml:space="preserve"> Serão utilizados meios de comunicação assíncronos (WhatsApp, Discord) para garantir a estabilidade do projeto e comunicação frequente, em grupos específicos para tratativa.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Premissa 03:</w:t>
      </w:r>
      <w:r w:rsidDel="00000000" w:rsidR="00000000" w:rsidRPr="00000000">
        <w:rPr>
          <w:rFonts w:ascii="Arial" w:cs="Arial" w:eastAsia="Arial" w:hAnsi="Arial"/>
          <w:rtl w:val="0"/>
        </w:rPr>
        <w:t xml:space="preserve"> Cada um dos 6 integrantes da equipe </w:t>
      </w:r>
      <w:r w:rsidDel="00000000" w:rsidR="00000000" w:rsidRPr="00000000">
        <w:rPr>
          <w:rFonts w:ascii="Arial" w:cs="Arial" w:eastAsia="Arial" w:hAnsi="Arial"/>
          <w:rtl w:val="0"/>
        </w:rPr>
        <w:t xml:space="preserve">dedicará</w:t>
      </w:r>
      <w:r w:rsidDel="00000000" w:rsidR="00000000" w:rsidRPr="00000000">
        <w:rPr>
          <w:rFonts w:ascii="Arial" w:cs="Arial" w:eastAsia="Arial" w:hAnsi="Arial"/>
          <w:rtl w:val="0"/>
        </w:rPr>
        <w:t xml:space="preserve"> durante as 16 semanas, com cargas distribuídas de acordo com a semana e alinhamento síncrono e assíncrono.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Restrição 01: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projeto deve estar integralmente concluído, testado e documentado dentro do prazo de 16 semanas.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Restrição 02: </w:t>
      </w:r>
      <w:r w:rsidDel="00000000" w:rsidR="00000000" w:rsidRPr="00000000">
        <w:rPr>
          <w:rFonts w:ascii="Arial" w:cs="Arial" w:eastAsia="Arial" w:hAnsi="Arial"/>
          <w:rtl w:val="0"/>
        </w:rPr>
        <w:t xml:space="preserve">O armazenamento e o processamento de todo e qualquer dado clínico devem obrigatoriamente seguir a Lei nº 13.709/2018 (LGPD) e a resolução CFM nº 2.299/2021, garantindo conformidade legal no tratamento de dados clínicos.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Restrição 03:</w:t>
      </w:r>
      <w:r w:rsidDel="00000000" w:rsidR="00000000" w:rsidRPr="00000000">
        <w:rPr>
          <w:rFonts w:ascii="Arial" w:cs="Arial" w:eastAsia="Arial" w:hAnsi="Arial"/>
          <w:rtl w:val="0"/>
        </w:rPr>
        <w:t xml:space="preserve"> A documentação deve seguir ao máximo o padrão SWEBOK v4.0.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Restrição 04:</w:t>
      </w:r>
      <w:r w:rsidDel="00000000" w:rsidR="00000000" w:rsidRPr="00000000">
        <w:rPr>
          <w:rFonts w:ascii="Arial" w:cs="Arial" w:eastAsia="Arial" w:hAnsi="Arial"/>
          <w:rtl w:val="0"/>
        </w:rPr>
        <w:t xml:space="preserve"> Possível disponibilidade limitada dos membros devido a outras atividades acadêmicas e períodos prolongados de ausência.</w:t>
      </w:r>
    </w:p>
    <w:p w:rsidR="00000000" w:rsidDel="00000000" w:rsidP="00000000" w:rsidRDefault="00000000" w:rsidRPr="00000000" w14:paraId="00000046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Estrutura Analítica do Projeto (EAP / WBS)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Diagrama da EAP (inserir)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</w:rPr>
        <w:drawing>
          <wp:inline distB="114300" distT="114300" distL="114300" distR="114300">
            <wp:extent cx="5940115" cy="83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Dicionário da 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10.0" w:type="dxa"/>
        <w:jc w:val="left"/>
        <w:tblInd w:w="-60.0" w:type="dxa"/>
        <w:tblLayout w:type="fixed"/>
        <w:tblLook w:val="0600"/>
      </w:tblPr>
      <w:tblGrid>
        <w:gridCol w:w="780"/>
        <w:gridCol w:w="2310"/>
        <w:gridCol w:w="3360"/>
        <w:gridCol w:w="2460"/>
        <w:tblGridChange w:id="0">
          <w:tblGrid>
            <w:gridCol w:w="780"/>
            <w:gridCol w:w="2310"/>
            <w:gridCol w:w="3360"/>
            <w:gridCol w:w="24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243f6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243f6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Pacote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243f6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 Detalhada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243f6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Entregável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Plano de Projeto (KA 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Definição dos objetivos, escopo, premissas, restrições e cronograma de trabalho. Estabelece a linha de base de gerenciamento para todas as 18 KAs.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Documento de Plano de Projeto (PDF/DOCX)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Processo de Engenharia (KA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Formalização do ciclo de vida iterativo-incremental, definição dos critérios de "pronto" e mapeamento do fluxo de produção documental (BPMN).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Relatório de Processos e Retrospectivas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Prática Profissional (KA 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das implicações éticas e legais do projeto, incluindo mapeamento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stakeholders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e verificação de conformidade com LGPD e CFM.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Declaração de Ética e Análise Legal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ERS (KA 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Especificação completa dos Requisitos Funcionais e Não Funcionais seguindo o padrão IEEE 830, garantindo rastreabilidade com o plano de testes.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Documento de ERS (IEEE 830)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Backlog e Modelos (KA 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Criação do Product Backlog com histórias de usuário (Gherkin), diagramas de atividade UML e formalização matemática do domínio.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Backlog e Diagramas Comportamentais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SAD (KA 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Definição da estrutura macro do sistema, visões do C4 Model e registros de decisões arquiteturais (ADRs) que suportam os requisitos de segurança e privacidade.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Documento de Arquitetura (SAD)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SDD (KA 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Projeto detalhado de módulos, diagramas de classe, DER e padrões de projeto aplicados, integrando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Privacy by Design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Documento de Design de Software (SDD)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Guia de Codificação (KA 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Definição dos padrões de codificação, nomenclatura, organização de pacotes e diretrizes de construção segura para evitar vulnerabilidades de software.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Guia de Padrões de Codificação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SQA Plan (KA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Estruturação das atividades de garantia de qualidade, métricas baseadas no paradigma GQM e planos de inspeção e auditoria.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Garantia de Qualidade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Segurança e LGPD (KA 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de ameaças via STRIDE, mapeamento de vulnerabilidades (OWASP Top 10) e controles específicos para proteção de dados sensíveis.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de Segurança e Conformidade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Plano de Testes (KA 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Definição da estratégia de testes em todos os níveis, especificação de casos de teste positivos/negativos e matriz de cobertura de requisitos.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Master Test Plan e Casos de Teste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Pipeline CI/CD (KA 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Estratégia de implantação, definição de ambientes e automação de integração e entrega contínua (CI/CD).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Implantação e Operação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Manutenção (KA 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Planejamento da sustentação pós-entrega, incluindo gestão de mudanças e política de tratamento de dívida técnica.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Manutenção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Gerenciamento de Configuração (KA 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Definição das políticas de controle de versão,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branches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baselines e procedimentos para gerência de itens de configuração do projeto.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Gerenciamento de Configuração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Economia da Eng. de Software (KA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econômica do projeto, estimativas de esforço (story points), análise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Make or Buy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e estudo de custo-benefício.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Relatório de Análise Econômica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Fundamentos (KAs 16/17/18)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Especificação formal (lógica e grafos), fundamentos computacionais e plano de medição consolidado.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Documento de Fundamentos e Métricas</w:t>
            </w:r>
          </w:p>
        </w:tc>
      </w:tr>
    </w:tbl>
    <w:p w:rsidR="00000000" w:rsidDel="00000000" w:rsidP="00000000" w:rsidRDefault="00000000" w:rsidRPr="00000000" w14:paraId="0000009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Diagrama de Gantt ou Tabela de Atividades por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995"/>
        <w:gridCol w:w="1950"/>
        <w:gridCol w:w="2505"/>
        <w:gridCol w:w="1410"/>
        <w:tblGridChange w:id="0">
          <w:tblGrid>
            <w:gridCol w:w="960"/>
            <w:gridCol w:w="1995"/>
            <w:gridCol w:w="1950"/>
            <w:gridCol w:w="2505"/>
            <w:gridCol w:w="141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Atividade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KAs Relacionadas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Entregável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Planejamento e Estruturação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09, KA 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Projeto, DoD, BPMN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Ética e Conformidade Legal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Declaração de Ética e Análise Legal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Elicitação de Requisitos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ERS Inicial (IEEE 830)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Modelagem de Requisitos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01, KA 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Casos de Uso, Matriz de Rastreabilidade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Refinamento do Backlog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Product Backlog e Especificação Formal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Arquitetura de Software (Macro)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SAD (Visão de Contexto e Contêiner)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Design de Software (Micro)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SDD (Classes, DER, Sequência)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Design de Segurança e LGPD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de Ameaças (STRIDE/OWASP)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Construção e Normas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Guia de Padrões de Codificação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Gerência de Configuração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Gerenciamento de Configuração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Garantia de Qualidade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Garantia de Qualidade (SQA)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Testes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Master Test Plan e Casos de Teste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Operações e Manutenção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06, KA 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Implantação e Manutenção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Econômica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15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Relatório de Viabilidade e ROI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Fundamentos e Melhorias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16, 17, 18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Fundamentos e Relatório de Melhoria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Fechamento e Encerramento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Relatório Final de Encerramento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</w:tbl>
    <w:p w:rsidR="00000000" w:rsidDel="00000000" w:rsidP="00000000" w:rsidRDefault="00000000" w:rsidRPr="00000000" w14:paraId="000000E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3.2 Marcos (Milestones)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marcos foram definidos com base na conclusão das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baselines</w:t>
      </w:r>
      <w:r w:rsidDel="00000000" w:rsidR="00000000" w:rsidRPr="00000000">
        <w:rPr>
          <w:rFonts w:ascii="Arial" w:cs="Arial" w:eastAsia="Arial" w:hAnsi="Arial"/>
          <w:rtl w:val="0"/>
        </w:rPr>
        <w:t xml:space="preserve"> documentais fundamentais, permitindo que a equipe valide a consistência do sistema antes de avançar para etapas de maior complexidade técnica.</w:t>
      </w:r>
    </w:p>
    <w:p w:rsidR="00000000" w:rsidDel="00000000" w:rsidP="00000000" w:rsidRDefault="00000000" w:rsidRPr="00000000" w14:paraId="000000F0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2055"/>
        <w:gridCol w:w="1875"/>
        <w:gridCol w:w="4065"/>
        <w:tblGridChange w:id="0">
          <w:tblGrid>
            <w:gridCol w:w="840"/>
            <w:gridCol w:w="2055"/>
            <w:gridCol w:w="1875"/>
            <w:gridCol w:w="40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Marco (Milestone)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Semana de Conclusão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 do Marco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Baseline de Governança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Aprovação do Plano de Projeto (KA 09), Processos (KA 10) e conformidade legal (KA 14).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Baseline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Homologação da ERS (KA 01), Backlog (KA 11) e Matriz de Rastreabilidade inicial.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Baseline de Arquitetura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Aprovação do SAD (KA 02), SDD (KA 03) e do Plano de SQA (KA 12).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Baseline de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Homologação do Plano de Testes (KA 05) e Análise de Segurança (KA 13).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Entrega Final (Release)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Entrega do Relatório de Fechamento (KA 09), Análise Econômica (KA 15) e documentação final consolidada.</w:t>
            </w:r>
          </w:p>
        </w:tc>
      </w:tr>
    </w:tbl>
    <w:p w:rsidR="00000000" w:rsidDel="00000000" w:rsidP="00000000" w:rsidRDefault="00000000" w:rsidRPr="00000000" w14:paraId="0000010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4. Estimativa de Esforço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estimativa de esforço para o desenvolvimento do Sistema de Gestão de Consultório Médico foi realizada utilizando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Técnica de Estimativa por Analogia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complementada por uma análise de decomposição baseada nos pacotes de trabalho da Estrutura Analítica do Projeto (EAP). Esta abordagem foi escolhida por sua eficácia em projetos de documentação técnica, onde o esforço está diretamente correlacionado à complexidade normativa e à interdependência lógica dos artefatos.</w:t>
      </w:r>
    </w:p>
    <w:p w:rsidR="00000000" w:rsidDel="00000000" w:rsidP="00000000" w:rsidRDefault="00000000" w:rsidRPr="00000000" w14:paraId="0000010D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4.1 Técnica de Estimativa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estimativa baseou-se em dados históricos de projetos acadêmicos similares, ajustados pela especificidade do domínio clínico. O esforço total foi decomposto pelos níveis da EAP, atribuindo-se uma carga horária estimada para cada pacote de trabalho. A premissa central é que a documentação de áreas de alta criticidade (ex: Segurança, Requisitos e Arquitetura) demanda um esforço de revisão significativamente maior do que áreas de suporte ou fundamentos, devido à necessidade de rastreabilidade bidirecional e conformidade legal.</w:t>
      </w:r>
    </w:p>
    <w:p w:rsidR="00000000" w:rsidDel="00000000" w:rsidP="00000000" w:rsidRDefault="00000000" w:rsidRPr="00000000" w14:paraId="000001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5.0" w:type="dxa"/>
        <w:jc w:val="left"/>
        <w:tblLayout w:type="fixed"/>
        <w:tblLook w:val="0600"/>
      </w:tblPr>
      <w:tblGrid>
        <w:gridCol w:w="2835"/>
        <w:gridCol w:w="2175"/>
        <w:gridCol w:w="3855"/>
        <w:tblGridChange w:id="0">
          <w:tblGrid>
            <w:gridCol w:w="2835"/>
            <w:gridCol w:w="2175"/>
            <w:gridCol w:w="385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Módulo / 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Esforço Estimado (Horas-Homem)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Justificativa do Esforço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Governança e Processos (KAs 09, 10, 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60h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Alta complexidade na análise legal (LGPD) e formalização de processos (BPMN).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Engenharia de Requisitos (KA 01, 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80h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Levantamento de 20 RFs, 10 RNFs e modelagem comportamental detalhada.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Arquitetura e Design (KA 02, 03, 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90h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Desenho estrutural, ADRs e definição de padrões de codificação segura.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Qualidade e Segurança (KA 05, 12, 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70h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Mapeamento de ameaças (STRIDE) e elaboração de planos de teste exaustivos.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Operações e Manutenção (KA 06, 07, 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40h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Planejamento de implantação, esteira CI/CD e configuração de repositório.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Economia e Fundamentos (KA 15, 16, 17, 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50h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econômica, especificações matemáticas e relatórios de melhoria.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390h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estimativa de esforço nominal para a produção da documentação completa das 18 Áreas de Conhecimento é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390 horas-homem</w:t>
      </w:r>
      <w:r w:rsidDel="00000000" w:rsidR="00000000" w:rsidRPr="00000000">
        <w:rPr>
          <w:rFonts w:ascii="Arial" w:cs="Arial" w:eastAsia="Arial" w:hAnsi="Arial"/>
          <w:rtl w:val="0"/>
        </w:rPr>
        <w:t xml:space="preserve">. Adicionalmente, aplicou-se um fator de contingência de 20% (78 horas) sobre este montante, totalizando uma estimativa de esforço planejado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468 horas-homem</w:t>
      </w:r>
      <w:r w:rsidDel="00000000" w:rsidR="00000000" w:rsidRPr="00000000">
        <w:rPr>
          <w:rFonts w:ascii="Arial" w:cs="Arial" w:eastAsia="Arial" w:hAnsi="Arial"/>
          <w:rtl w:val="0"/>
        </w:rPr>
        <w:t xml:space="preserve">. Este incremento de 20% é uma prática padrão em engenharia de software para mitigar riscos de incerteza inerentes ao desenvolvimento iterativo-incremental.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60.0" w:type="dxa"/>
        <w:jc w:val="left"/>
        <w:tblLayout w:type="fixed"/>
        <w:tblLook w:val="0600"/>
      </w:tblPr>
      <w:tblGrid>
        <w:gridCol w:w="1665"/>
        <w:gridCol w:w="1560"/>
        <w:gridCol w:w="1305"/>
        <w:gridCol w:w="1605"/>
        <w:gridCol w:w="1620"/>
        <w:gridCol w:w="1305"/>
        <w:tblGridChange w:id="0">
          <w:tblGrid>
            <w:gridCol w:w="1665"/>
            <w:gridCol w:w="1560"/>
            <w:gridCol w:w="1305"/>
            <w:gridCol w:w="1605"/>
            <w:gridCol w:w="1620"/>
            <w:gridCol w:w="13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KAs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Horas Realizadas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Δ (desvio)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Jasmine Alves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GP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 09, KA 10, KA 14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75h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78h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+3h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Ana Viganó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 04, KA 06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68h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-2h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Lucas Heydt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Eng. Seg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 13, KA 08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65h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67h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+2h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Elian Baldasso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Arquiteto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 02, KA 03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75h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Vitoria Vendausen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Eng. QA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 12, KA 05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Davi Minati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Eng. Requisitos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 13, KA 15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52h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+2h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390h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400h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+10h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5. Matriz RACI de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50.0" w:type="dxa"/>
        <w:jc w:val="left"/>
        <w:tblLayout w:type="fixed"/>
        <w:tblLook w:val="0600"/>
      </w:tblPr>
      <w:tblGrid>
        <w:gridCol w:w="3090"/>
        <w:gridCol w:w="1575"/>
        <w:gridCol w:w="1920"/>
        <w:gridCol w:w="1260"/>
        <w:gridCol w:w="1005"/>
        <w:tblGridChange w:id="0">
          <w:tblGrid>
            <w:gridCol w:w="3090"/>
            <w:gridCol w:w="1575"/>
            <w:gridCol w:w="1920"/>
            <w:gridCol w:w="1260"/>
            <w:gridCol w:w="100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Entregável do Projeto / Módulo Sistêmico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Arquiteto / 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Eng. Requisitos / Seg.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Dev Full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Eng.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Ata de Iniciação e Plano de Comunicação (KA 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Plano de Gerência de Configuração - SCM (KA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Especificação de Requisitos de Software - ERS (KA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Módulo Core: Prontuário Eletrônico do Paciente (PEP)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Módulo de Segurança: RBAC &amp; Criptografia (KA 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Estratégia de Testes e Casos de Teste (KA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Análise de Viabilidade Econômica (KA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18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6. Plano de Gestão de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6.1 Identificação e Análise de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gerenciamento de riscos foi modelado sob a perspectiva do SWEBOK v4.0, identificando ameaças ao processo e ao produto através de matrizes de Probabilidade e Impacto (P×I). Foram mapeados 8 riscos primordiais que cobrem aspectos operacionais, regulatórios, técnicos e humanos do projeto, cujos índices numéricos de severidade encontram-se detalhados na tabela correspondente ao final deste documento.</w:t>
      </w:r>
    </w:p>
    <w:p w:rsidR="00000000" w:rsidDel="00000000" w:rsidP="00000000" w:rsidRDefault="00000000" w:rsidRPr="00000000" w14:paraId="000001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6.2 Plano de Resposta aos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ao Risco R01 (Evasão/Ausência de Integrante):</w:t>
      </w:r>
      <w:r w:rsidDel="00000000" w:rsidR="00000000" w:rsidRPr="00000000">
        <w:rPr>
          <w:rFonts w:ascii="Arial" w:cs="Arial" w:eastAsia="Arial" w:hAnsi="Arial"/>
          <w:rtl w:val="0"/>
        </w:rPr>
        <w:t xml:space="preserve"> Ação mitigatória baseada no pareamento constante de tarefas e compartilhamento obrigatório de informações em ritos de Daily. Em caso de ausência prolongada (Contingência), ativa-se a redistribuição automática de escopo priorizada pela técnica MoSCoW, congelando histórias de usuário de menor prioridade (ex: relatórios avançados) para garantir a entrega das metas críticas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Core assistencial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ao Risco R02 (Vazamento acidental de dados de teste):</w:t>
      </w:r>
      <w:r w:rsidDel="00000000" w:rsidR="00000000" w:rsidRPr="00000000">
        <w:rPr>
          <w:rFonts w:ascii="Arial" w:cs="Arial" w:eastAsia="Arial" w:hAnsi="Arial"/>
          <w:rtl w:val="0"/>
        </w:rPr>
        <w:t xml:space="preserve"> Ação mitigatória absoluta. É expressamente proibida a utilização de quaisquer dados reais de pacientes em ambientes de desenvolvimento ou homologação. Aplica-se a geração estrita de massas de dados totalmente sintéticas por scripts parametrizados antes de qualquer push para o repositório.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ao Risco R04 (Complexidade técnica na criptografia do PEP):</w:t>
      </w:r>
      <w:r w:rsidDel="00000000" w:rsidR="00000000" w:rsidRPr="00000000">
        <w:rPr>
          <w:rFonts w:ascii="Arial" w:cs="Arial" w:eastAsia="Arial" w:hAnsi="Arial"/>
          <w:rtl w:val="0"/>
        </w:rPr>
        <w:t xml:space="preserve"> Mitiga-se o risco através da execução de picos tecnológicos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Architectural Spikes</w:t>
      </w:r>
      <w:r w:rsidDel="00000000" w:rsidR="00000000" w:rsidRPr="00000000">
        <w:rPr>
          <w:rFonts w:ascii="Arial" w:cs="Arial" w:eastAsia="Arial" w:hAnsi="Arial"/>
          <w:rtl w:val="0"/>
        </w:rPr>
        <w:t xml:space="preserve">) na Semana 4 para validação de bibliotecas criptográficas estáveis antes da fase formal de construção.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pacing w:after="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ao Risco R05 (Insucesso em atingir a meta de testes de 85%):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Configuração de travas automáticas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Quality Gates</w:t>
      </w:r>
      <w:r w:rsidDel="00000000" w:rsidR="00000000" w:rsidRPr="00000000">
        <w:rPr>
          <w:rFonts w:ascii="Arial" w:cs="Arial" w:eastAsia="Arial" w:hAnsi="Arial"/>
          <w:rtl w:val="0"/>
        </w:rPr>
        <w:t xml:space="preserve">) no pipeline do GitHub Actions; o sistema rejeitará de forma automática qualquer tentativa de mesclagem de código que reduza o índice consolidado de cobertura técnica.</w:t>
      </w:r>
    </w:p>
    <w:p w:rsidR="00000000" w:rsidDel="00000000" w:rsidP="00000000" w:rsidRDefault="00000000" w:rsidRPr="00000000" w14:paraId="00000194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90.0" w:type="dxa"/>
        <w:jc w:val="left"/>
        <w:tblInd w:w="-115.0" w:type="dxa"/>
        <w:tblLayout w:type="fixed"/>
        <w:tblLook w:val="0400"/>
      </w:tblPr>
      <w:tblGrid>
        <w:gridCol w:w="855"/>
        <w:gridCol w:w="2475"/>
        <w:gridCol w:w="600"/>
        <w:gridCol w:w="570"/>
        <w:gridCol w:w="1380"/>
        <w:gridCol w:w="2160"/>
        <w:gridCol w:w="1650"/>
        <w:tblGridChange w:id="0">
          <w:tblGrid>
            <w:gridCol w:w="855"/>
            <w:gridCol w:w="2475"/>
            <w:gridCol w:w="600"/>
            <w:gridCol w:w="570"/>
            <w:gridCol w:w="1380"/>
            <w:gridCol w:w="2160"/>
            <w:gridCol w:w="16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 do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Nível (P×I)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Resposta Planejada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1.2553710937502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Ausência ou evasão prolongada de membro.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Escopo modularizado (MoSCoW); contingência cruzada.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Jasmine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Vazamento acidental de dados sensíveis de pacientes.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Uso estrito de dados sintéticos; bloqueio de commit (.env).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Lucas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Instabilidade ou queda de ferramentas de nuvem/colaboração.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Backup local dos artefatos; redundância em Notion/Docs.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Complexidade técnica na implementação do PEP (Prontuário).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Execução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Architectural Spikes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antecipados.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Insucesso em atingir meta de cobertura de testes (85%).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Quality Gates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automatizados no CI/CD; refatoração.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Vitoria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Falha de comunicação entre os subsistemas (API).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Testes de integração baseados em contratos (Pact).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Incompatibilidade da interface (Inconformidade WCAG).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Testes de acessibilidade na fase de design UI.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Davi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Erro de cálculo em estimativas financeiras (Nuvem).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Revisão periódica de custos; uso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Free Tiers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Jasmine</w:t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PARTE B — RELATÓRIO DE ENCERRAMENTO (preencher na Semana 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7. Desempenho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7.1 Métricas: Planejado vs. Realizado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projeto foi conduzido conforme o planejamento estabelecido para os quatro ciclos de desenvolvimento, contemplando a elaboração dos artefatos previstos para os dezoito Knowledge Areas (KAs) da disciplina. A maior parte das entregas foi concluída dentro do cronograma definido, permitindo a consolidação da documentação na versão final (v2.0). Embora alguns artefatos tenham exigido revisões adicionais devido ao refinamento de requisitos e à integração entre documentos, o escopo inicialmente proposto foi integralmente atendido. As atividades de revisão cruzada e validação contribuíram para garantir a consistência técnica entre requisitos, arquitetura, modelos, testes, segurança e demais documentos produzidos.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7.2 Desvios e Causas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a execução do projeto foram identificados pequenos desvios em relação ao cronograma inicialmente planejado. Parte das atividades precisou ser reprogramada devido à disponibilidade dos integrantes, decorrente de compromissos acadêmicos e profissionais ao longo do semestre. Além disso, ocorreram falhas pontuais de comunicação quanto ao andamento de algumas tarefas e ao compartilhamento de versões intermediárias dos documentos, ocasionando retrabalho e ajustes em etapas posteriores. Esses desvios foram mitigados por meio de reuniões periódicas, redistribuição de atividades e intensificação das revisões colaborativas nos ciclos finais, permitindo que todas as entregas fossem concluídas dentro do prazo estabelecido para o encerramento do projeto.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8. Lições Aprendidas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do projeto evidenciou a importância de um planejamento detalhado desde o início das atividades, especialmente quanto à distribuição equilibrada das responsabilidades e ao acompanhamento contínuo do cronograma. Também ficou evidente que a comunicação frequente entre os integrantes é fundamental para evitar retrabalho e inconsistências entre artefatos produzidos em paralelo. Outro aprendizado relevante foi a necessidade de manter rastreabilidade entre requisitos, modelos, testes e demais documentos, facilitando atualizações e validações ao longo do desenvolvimento. Por fim, a realização de revisões cruzadas mostrou-se uma prática eficiente para elevar a qualidade técnica da documentação e promover o compartilhamento do conhecimento entre toda a equipe.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9. Avaliação Final da 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do projeto evidenciou a importância de um planejamento detalhado desde o início das atividades, especialmente quanto à distribuição equilibrada das responsabilidades e ao acompanhamento contínuo do cronograma. Também ficou evidente que a comunicação frequente entre os integrantes é fundamental para evitar retrabalho e inconsistências entre artefatos produzidos em paralelo. Outro aprendizado relevante foi a necessidade de manter rastreabilidade entre requisitos, modelos, testes e demais documentos, facilitando atualizações e validações ao longo do desenvolvimento. Por fim, a realização de revisões cruzadas mostrou-se uma prática eficiente para elevar a qualidade técnica da documentação e promover o compartilhamento do conhecimento entre toda a equipe.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SWEBOK v4.0: Guide to the Software Engineering Body of Knowledge</w:t>
      </w:r>
      <w:r w:rsidDel="00000000" w:rsidR="00000000" w:rsidRPr="00000000">
        <w:rPr>
          <w:rFonts w:ascii="Arial" w:cs="Arial" w:eastAsia="Arial" w:hAnsi="Arial"/>
          <w:rtl w:val="0"/>
        </w:rPr>
        <w:t xml:space="preserve">. IEEE, 2024.</w:t>
      </w:r>
    </w:p>
    <w:p w:rsidR="00000000" w:rsidDel="00000000" w:rsidP="00000000" w:rsidRDefault="00000000" w:rsidRPr="00000000" w14:paraId="000001E8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Lei nº 13.709, de 14 de agosto de 2018. Lei Geral de Proteção de Dados Pessoais (LGPD)</w:t>
      </w:r>
      <w:r w:rsidDel="00000000" w:rsidR="00000000" w:rsidRPr="00000000">
        <w:rPr>
          <w:rFonts w:ascii="Arial" w:cs="Arial" w:eastAsia="Arial" w:hAnsi="Arial"/>
          <w:rtl w:val="0"/>
        </w:rPr>
        <w:t xml:space="preserve">. Brasília, DF, 2018.</w:t>
      </w:r>
    </w:p>
    <w:p w:rsidR="00000000" w:rsidDel="00000000" w:rsidP="00000000" w:rsidRDefault="00000000" w:rsidRPr="00000000" w14:paraId="000001E9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CONSELHO FEDERAL DE MEDICINA (CFM).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Resolução CFM nº 2.299/2021: Regulamentação da Telemedicina e Prontuários Digitais</w:t>
      </w:r>
      <w:r w:rsidDel="00000000" w:rsidR="00000000" w:rsidRPr="00000000">
        <w:rPr>
          <w:rFonts w:ascii="Arial" w:cs="Arial" w:eastAsia="Arial" w:hAnsi="Arial"/>
          <w:rtl w:val="0"/>
        </w:rPr>
        <w:t xml:space="preserve">. Brasília, DF, 2021.</w:t>
      </w:r>
    </w:p>
    <w:p w:rsidR="00000000" w:rsidDel="00000000" w:rsidP="00000000" w:rsidRDefault="00000000" w:rsidRPr="00000000" w14:paraId="000001EA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INTERNATIONAL ORGANIZATION FOR STANDARDIZATION.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ISO/IEC 25010:2023: Systems and software engineering — Systems and software Quality Requirements and Evaluation (SQuaRE) — Product quality 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ISO, 2023.</w:t>
      </w:r>
    </w:p>
    <w:p w:rsidR="00000000" w:rsidDel="00000000" w:rsidP="00000000" w:rsidRDefault="00000000" w:rsidRPr="00000000" w14:paraId="000001EB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W3C.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Web Content Accessibility Guidelines (WCAG) 2.1</w:t>
      </w:r>
      <w:r w:rsidDel="00000000" w:rsidR="00000000" w:rsidRPr="00000000">
        <w:rPr>
          <w:rFonts w:ascii="Arial" w:cs="Arial" w:eastAsia="Arial" w:hAnsi="Arial"/>
          <w:rtl w:val="0"/>
        </w:rPr>
        <w:t xml:space="preserve">. World Wide Web Consortium, 2018.</w:t>
      </w:r>
    </w:p>
    <w:p w:rsidR="00000000" w:rsidDel="00000000" w:rsidP="00000000" w:rsidRDefault="00000000" w:rsidRPr="00000000" w14:paraId="000001EC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