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6"/>
          <w:szCs w:val="26"/>
          <w:rtl w:val="0"/>
        </w:rPr>
        <w:t xml:space="preserve">ENGENHARIA DE COMPUTAÇÃO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2"/>
          <w:szCs w:val="22"/>
          <w:rtl w:val="0"/>
        </w:rPr>
        <w:t xml:space="preserve">Disciplina: Engenharia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40"/>
          <w:szCs w:val="40"/>
          <w:rtl w:val="0"/>
        </w:rPr>
        <w:t xml:space="preserve">KA 02 — 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Fonts w:ascii="Arial" w:cs="Arial" w:eastAsia="Arial" w:hAnsi="Arial"/>
          <w:color w:val="2c6499"/>
          <w:sz w:val="26"/>
          <w:szCs w:val="26"/>
          <w:rtl w:val="0"/>
        </w:rPr>
        <w:t xml:space="preserve">(Software Architecture)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1e1e"/>
          <w:sz w:val="30"/>
          <w:szCs w:val="30"/>
          <w:rtl w:val="0"/>
        </w:rPr>
        <w:t xml:space="preserve">Documento de Arquitetura de Software (SAD)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center"/>
        <w:tblLayout w:type="fixed"/>
        <w:tblLook w:val="0400"/>
      </w:tblPr>
      <w:tblGrid>
        <w:gridCol w:w="4677"/>
        <w:gridCol w:w="4677"/>
        <w:tblGridChange w:id="0">
          <w:tblGrid>
            <w:gridCol w:w="4677"/>
            <w:gridCol w:w="467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Instituição de Ensino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UNOESC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Professor(a) Responsável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Odemir Moreira da Mata Jr.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Engenharia de Software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Turma / 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JBA620-6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Integrantes do Grupo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 Clara Viganó Prestes de Oliveira, Davi Antônio Basotto Minati, Elian Baldasso Pereira Duarte, Jasmine Masson Alves, Lucas Eduardo Heydt, Vitória Aparecida Vendausen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eaf3fb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3c5e"/>
                <w:sz w:val="20"/>
                <w:szCs w:val="20"/>
                <w:rtl w:val="0"/>
              </w:rPr>
              <w:t xml:space="preserve">Data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24/06/2026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color w:val="1a3c5e"/>
          <w:sz w:val="16"/>
          <w:szCs w:val="16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Histórico de Versões</w:t>
      </w:r>
      <w:r w:rsidDel="00000000" w:rsidR="00000000" w:rsidRPr="00000000">
        <w:rPr>
          <w:rtl w:val="0"/>
        </w:rPr>
      </w:r>
    </w:p>
    <w:tbl>
      <w:tblPr>
        <w:tblStyle w:val="Table2"/>
        <w:tblW w:w="9355.0" w:type="dxa"/>
        <w:jc w:val="left"/>
        <w:tblInd w:w="-115.0" w:type="dxa"/>
        <w:tblLayout w:type="fixed"/>
        <w:tblLook w:val="0400"/>
      </w:tblPr>
      <w:tblGrid>
        <w:gridCol w:w="1871"/>
        <w:gridCol w:w="1871"/>
        <w:gridCol w:w="1871"/>
        <w:gridCol w:w="1871"/>
        <w:gridCol w:w="1871"/>
        <w:tblGridChange w:id="0">
          <w:tblGrid>
            <w:gridCol w:w="1871"/>
            <w:gridCol w:w="1871"/>
            <w:gridCol w:w="1871"/>
            <w:gridCol w:w="1871"/>
            <w:gridCol w:w="1871"/>
          </w:tblGrid>
        </w:tblGridChange>
      </w:tblGrid>
      <w:tr>
        <w:trPr>
          <w:cantSplit w:val="0"/>
          <w:tblHeader w:val="0"/>
        </w:trPr>
        <w:tc>
          <w:tcPr>
            <w:shd w:fill="1a3c5e" w:val="clea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Autor(es)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a3c5e" w:val="clea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Revisado por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8.4326171875" w:hRule="atLeast"/>
          <w:tblHeader w:val="0"/>
        </w:trPr>
        <w:tc>
          <w:tcPr>
            <w:tcBorders>
              <w:top w:color="c8daea" w:space="0" w:sz="4" w:val="single"/>
              <w:left w:color="c8daea" w:space="0" w:sz="4" w:val="single"/>
              <w:bottom w:color="c8daea" w:space="0" w:sz="4" w:val="single"/>
              <w:right w:color="c8daea" w:space="0" w:sz="4" w:val="single"/>
            </w:tcBorders>
            <w:shd w:fill="ffffff" w:val="clear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17/04/2026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Elian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Estruturação inicial do SAD e definição arquitetural.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Ana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1.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1.1 Propósito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presente documento tem por finalidade estabelecer a fundação técnica, as diretrizes de design e os princípios orientadores para o desenvolvimento do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Gestão de Consultório Médico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artefato serve como o plano diretor que viabiliza a transformação dos requisitos funcionais e não funcionais em uma estrutura de software coesa, conforme as recomendações da área de conhecimento de Arquitetura de Software do SWEBOK v4.0.</w:t>
      </w:r>
    </w:p>
    <w:p w:rsidR="00000000" w:rsidDel="00000000" w:rsidP="00000000" w:rsidRDefault="00000000" w:rsidRPr="00000000" w14:paraId="0000002B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propósito central deste documento é mitigar riscos </w:t>
      </w:r>
      <w:r w:rsidDel="00000000" w:rsidR="00000000" w:rsidRPr="00000000">
        <w:rPr>
          <w:rFonts w:ascii="Arial" w:cs="Arial" w:eastAsia="Arial" w:hAnsi="Arial"/>
          <w:rtl w:val="0"/>
        </w:rPr>
        <w:t xml:space="preserve">arquiteturais</w:t>
      </w:r>
      <w:r w:rsidDel="00000000" w:rsidR="00000000" w:rsidRPr="00000000">
        <w:rPr>
          <w:rFonts w:ascii="Arial" w:cs="Arial" w:eastAsia="Arial" w:hAnsi="Arial"/>
          <w:rtl w:val="0"/>
        </w:rPr>
        <w:t xml:space="preserve"> em estágios iniciais, garantir a consistência das decisões técnicas ao longo de todo o ciclo de vida do desenvolvimento e fornecer uma visão unificada para todos os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stakeholders</w:t>
      </w:r>
      <w:r w:rsidDel="00000000" w:rsidR="00000000" w:rsidRPr="00000000">
        <w:rPr>
          <w:rFonts w:ascii="Arial" w:cs="Arial" w:eastAsia="Arial" w:hAnsi="Arial"/>
          <w:rtl w:val="0"/>
        </w:rPr>
        <w:t xml:space="preserve"> envolvidos, incluindo desenvolvedores, gestores de projeto e especialistas em segurança, visando: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Definir a Estrutura do Sistema: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Estabelecer o estilo arquitetural e a decomposição do sistema em contêineres e componentes, garantindo a organização lógica e física necessária para suportar os processos de prontuário eletrônico e agendamento.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Fundamentar Decisões Estratégicas:</w:t>
      </w:r>
      <w:r w:rsidDel="00000000" w:rsidR="00000000" w:rsidRPr="00000000">
        <w:rPr>
          <w:rFonts w:ascii="Arial" w:cs="Arial" w:eastAsia="Arial" w:hAnsi="Arial"/>
          <w:rtl w:val="0"/>
        </w:rPr>
        <w:t xml:space="preserve"> Documentar as Decisões Arquiteturais (ADRs), registrando as escolhas tecnológicas, incluindo as alternativas descartadas e as implicações de longo prazo.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Assegurar Atributos de Qualidade: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Definir como a arquitetura atenderá aos requisitos críticos de segurança, disponibilidade, desempenho e manutenibilidade. A ênfase é colocada na conformidade com a Lei Geral de Proteção de Dados (LGPD), assegurando o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desde a concepção.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Facilitar a Comunicação: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Servir como linguagem comum para a equipe técnica, permitindo uma compreensão compartilhada sobre as responsabilidades de cada componente e a forma como os dados sensíveis dos pacientes fluem através das camadas da aplicação.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4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Estabelecer Base para Evolução:</w:t>
      </w:r>
      <w:r w:rsidDel="00000000" w:rsidR="00000000" w:rsidRPr="00000000">
        <w:rPr>
          <w:rFonts w:ascii="Arial" w:cs="Arial" w:eastAsia="Arial" w:hAnsi="Arial"/>
          <w:rtl w:val="0"/>
        </w:rPr>
        <w:t xml:space="preserve"> Prover o suporte necessário para a manutenção e evolução do sistema, minimizando a dívida técnica ao fornecer orientações claras sobre desacoplamento e modularização.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1.2 Escopo</w:t>
      </w:r>
    </w:p>
    <w:p w:rsidR="00000000" w:rsidDel="00000000" w:rsidP="00000000" w:rsidRDefault="00000000" w:rsidRPr="00000000" w14:paraId="00000033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1.2.1 Itens Incluídos no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software desenvolverá e suportará as seguintes capacidades funcionais e técnicas: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Autenticação e Autorização (RBAC):</w:t>
      </w:r>
      <w:r w:rsidDel="00000000" w:rsidR="00000000" w:rsidRPr="00000000">
        <w:rPr>
          <w:rFonts w:ascii="Arial" w:cs="Arial" w:eastAsia="Arial" w:hAnsi="Arial"/>
          <w:rtl w:val="0"/>
        </w:rPr>
        <w:t xml:space="preserve"> Implementação de controle de acesso baseado em papéis (Administrador, Médico, Recepcionista), garantindo que cada usuário acesse estritamente as funcionalidades necessárias ao seu papel, conforme o princípio do menor privilégio.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Pacientes:</w:t>
      </w:r>
      <w:r w:rsidDel="00000000" w:rsidR="00000000" w:rsidRPr="00000000">
        <w:rPr>
          <w:rFonts w:ascii="Arial" w:cs="Arial" w:eastAsia="Arial" w:hAnsi="Arial"/>
          <w:rtl w:val="0"/>
        </w:rPr>
        <w:t xml:space="preserve"> Cadastro completo, edição e histórico de pacientes, assegurando a integridade e a rastreabilidade dos dados pessoais, em conformidade com as diretrizes da LGPD.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Gestão de Agendamentos: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Módulo para marcação, remarcação, cancelamento e visualização de consultas, otimizando a agenda do corpo clínico.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Prontuário Eletrônico do Paciente (PEP):</w:t>
      </w:r>
      <w:r w:rsidDel="00000000" w:rsidR="00000000" w:rsidRPr="00000000">
        <w:rPr>
          <w:rFonts w:ascii="Arial" w:cs="Arial" w:eastAsia="Arial" w:hAnsi="Arial"/>
          <w:rtl w:val="0"/>
        </w:rPr>
        <w:t xml:space="preserve"> Registro digital de consultas, histórico clínico, evolução médica e anexação de documentos, assegurando a confidencialidade e a disponibilidade da informação clínica.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Prescrição e Exames:</w:t>
      </w:r>
      <w:r w:rsidDel="00000000" w:rsidR="00000000" w:rsidRPr="00000000">
        <w:rPr>
          <w:rFonts w:ascii="Arial" w:cs="Arial" w:eastAsia="Arial" w:hAnsi="Arial"/>
          <w:rtl w:val="0"/>
        </w:rPr>
        <w:t xml:space="preserve"> Geração de prescrições médicas digitais e solicitação/registro de exames clínicos integrados ao fluxo da consulta.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Relatórios Gerenciais:</w:t>
      </w:r>
      <w:r w:rsidDel="00000000" w:rsidR="00000000" w:rsidRPr="00000000">
        <w:rPr>
          <w:rFonts w:ascii="Arial" w:cs="Arial" w:eastAsia="Arial" w:hAnsi="Arial"/>
          <w:rtl w:val="0"/>
        </w:rPr>
        <w:t xml:space="preserve"> Geração de métricas de produtividade, fluxo de pacientes e indicadores financeiros básicos para suporte à decisão administrativa.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Conformidade com a LGPD: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incorpora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em todo o seu escopo, incluindo logs de auditoria detalhados, criptografia de dados sensíveis em repouso e em trânsito, e mecanismos de exclusão/anonimização de dados conforme requisitado.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1a3c5e"/>
          <w:sz w:val="24"/>
          <w:szCs w:val="24"/>
          <w:rtl w:val="0"/>
        </w:rPr>
        <w:t xml:space="preserve">1.2.1 Itens Não Incluídos no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assegurar a viabilidade técnica e manter o foco nas entregas do semestre, excluem-se deste escopo: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Integração com sistemas legados externos:</w:t>
      </w:r>
      <w:r w:rsidDel="00000000" w:rsidR="00000000" w:rsidRPr="00000000">
        <w:rPr>
          <w:rFonts w:ascii="Arial" w:cs="Arial" w:eastAsia="Arial" w:hAnsi="Arial"/>
          <w:rtl w:val="0"/>
        </w:rPr>
        <w:t xml:space="preserve"> Não está prevista a integração nativa com sistemas de laboratórios de terceiros ou planos de saúde via API, exceto se definido em fases futuras.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Infraestrutura física de rede:</w:t>
      </w:r>
      <w:r w:rsidDel="00000000" w:rsidR="00000000" w:rsidRPr="00000000">
        <w:rPr>
          <w:rFonts w:ascii="Arial" w:cs="Arial" w:eastAsia="Arial" w:hAnsi="Arial"/>
          <w:rtl w:val="0"/>
        </w:rPr>
        <w:t xml:space="preserve"> A responsabilidade por cabeamento, configuração de servidores locais ou manutenção de hardware de rede excede o escopo da arquitetura de software aqui tratada.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Telemedicina: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Funcionalidades de videoconferência em tempo real para atendimento remoto não compõem a versão inicial do produto.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Pagamentos via Gateway:</w:t>
      </w:r>
      <w:r w:rsidDel="00000000" w:rsidR="00000000" w:rsidRPr="00000000">
        <w:rPr>
          <w:rFonts w:ascii="Arial" w:cs="Arial" w:eastAsia="Arial" w:hAnsi="Arial"/>
          <w:rtl w:val="0"/>
        </w:rPr>
        <w:t xml:space="preserve"> A integração direta com processadores de pagamento (ex: operadoras de cartão de crédito) não faz parte do MVP (Produto Mínimo Viável).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1.3 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6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7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</w:t>
      </w:r>
    </w:p>
    <w:p w:rsidR="00000000" w:rsidDel="00000000" w:rsidP="00000000" w:rsidRDefault="00000000" w:rsidRPr="00000000" w14:paraId="00000047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2. Representação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2.1 Estilo Arquitetural Adotado e Justificativa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 estilo arquitetural escolhido é o de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Camadas</w:t>
      </w:r>
      <w:r w:rsidDel="00000000" w:rsidR="00000000" w:rsidRPr="00000000">
        <w:rPr>
          <w:rFonts w:ascii="Arial" w:cs="Arial" w:eastAsia="Arial" w:hAnsi="Arial"/>
          <w:rtl w:val="0"/>
        </w:rPr>
        <w:t xml:space="preserve">. Este estilo organiza o sistema em unidades lógicas de responsabilidade, promovendo um desacoplamento que facilita a evolução independente de cada módulo e a implementação de controles de segurança granulares.</w:t>
      </w:r>
    </w:p>
    <w:p w:rsidR="00000000" w:rsidDel="00000000" w:rsidP="00000000" w:rsidRDefault="00000000" w:rsidRPr="00000000" w14:paraId="0000004C">
      <w:pPr>
        <w:spacing w:after="40" w:before="20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Isso está de acordo com a RNF-005 de </w:t>
      </w:r>
      <w:r w:rsidDel="00000000" w:rsidR="00000000" w:rsidRPr="00000000">
        <w:rPr>
          <w:rFonts w:ascii="Arial" w:cs="Arial" w:eastAsia="Arial" w:hAnsi="Arial"/>
          <w:rtl w:val="0"/>
        </w:rPr>
        <w:t xml:space="preserve">manutenibilidade</w:t>
      </w:r>
      <w:r w:rsidDel="00000000" w:rsidR="00000000" w:rsidRPr="00000000">
        <w:rPr>
          <w:rFonts w:ascii="Arial" w:cs="Arial" w:eastAsia="Arial" w:hAnsi="Arial"/>
          <w:rtl w:val="0"/>
        </w:rPr>
        <w:t xml:space="preserve">, RNF-007 de segurança e RNF-006 de disponibilidade. </w:t>
      </w:r>
    </w:p>
    <w:p w:rsidR="00000000" w:rsidDel="00000000" w:rsidP="00000000" w:rsidRDefault="00000000" w:rsidRPr="00000000" w14:paraId="0000004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2.2 Visões Utilizadas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Para mapear e comunicar a arquitetura do Sistema de Gestão de Consultório Médico de forma clara e abrangente, este documento adota uma abordagem multinível baseada no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C4 Model</w:t>
      </w:r>
      <w:r w:rsidDel="00000000" w:rsidR="00000000" w:rsidRPr="00000000">
        <w:rPr>
          <w:rFonts w:ascii="Arial" w:cs="Arial" w:eastAsia="Arial" w:hAnsi="Arial"/>
          <w:rtl w:val="0"/>
        </w:rPr>
        <w:t xml:space="preserve"> acrescida de uma perspectiva de persistência. Essa estratégia permite decompor o sistema em diferentes graus de abstração, atendendo tanto a stakeholders técnicos quanto de negócios.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As seguintes visões serão utilizadas para descrever o sistema: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Contexto (Nível 1 do C4):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Define as fronteiras do sistema, ilustrando como o software interage com os usuários (médicos, recepcionistas, administradores) e com possíveis sistemas externos. É ideal para alinhar o escopo com stakeholders não técnicos.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Contêineres (Nível 2 do C4):</w:t>
      </w:r>
      <w:r w:rsidDel="00000000" w:rsidR="00000000" w:rsidRPr="00000000">
        <w:rPr>
          <w:rFonts w:ascii="Arial" w:cs="Arial" w:eastAsia="Arial" w:hAnsi="Arial"/>
          <w:rtl w:val="0"/>
        </w:rPr>
        <w:t xml:space="preserve"> Apresenta a arquitetura de alto nível do ecossistema de software, discriminando os contêineres executáveis (como aplicações web, APIs e bancos de dados), as tecnologias escolhidas e como esses blocos se comunicam.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Componentes (Nível 3 do C4):</w:t>
      </w:r>
      <w:r w:rsidDel="00000000" w:rsidR="00000000" w:rsidRPr="00000000">
        <w:rPr>
          <w:rFonts w:ascii="Arial" w:cs="Arial" w:eastAsia="Arial" w:hAnsi="Arial"/>
          <w:rtl w:val="0"/>
        </w:rPr>
        <w:t xml:space="preserve"> Decompõe os contêineres principais em seus componentes internos, detalhando as responsabilidades, interfaces e interações das camadas lógicas da aplicação (Controllers, Services, Repositories).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Visão de Dados:</w:t>
      </w:r>
      <w:r w:rsidDel="00000000" w:rsidR="00000000" w:rsidRPr="00000000">
        <w:rPr>
          <w:rFonts w:ascii="Arial" w:cs="Arial" w:eastAsia="Arial" w:hAnsi="Arial"/>
          <w:rtl w:val="0"/>
        </w:rPr>
        <w:t xml:space="preserve"> Mapeia o fluxo de informações sensíveis e a modelagem lógica/física da persistência, com foco especial no rastreamento e isolamento de dados clínicos e pessoais, garantindo conformidade com os princípios de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Privacy by Design</w:t>
      </w:r>
      <w:r w:rsidDel="00000000" w:rsidR="00000000" w:rsidRPr="00000000">
        <w:rPr>
          <w:rFonts w:ascii="Arial" w:cs="Arial" w:eastAsia="Arial" w:hAnsi="Arial"/>
          <w:rtl w:val="0"/>
        </w:rPr>
        <w:t xml:space="preserve"> exigidos pela LGPD.</w:t>
      </w:r>
    </w:p>
    <w:p w:rsidR="00000000" w:rsidDel="00000000" w:rsidP="00000000" w:rsidRDefault="00000000" w:rsidRPr="00000000" w14:paraId="00000055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3. Visões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3.1 Visão de 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3.2 Visão de Contêineres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3.3 Visão de Componentes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color w:val="1f1f1f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3.4 Visão de Dados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4. Atributos de Qualidade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4.1 Atributos Priorizados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ind w:firstLine="72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 acordo com o SWEBOK v4.0, os atributos de qualidade (requisitos não funcionais) definem o quão bem o sistema executa suas funções. Para o Sistema de Gestão de Consultório Médico, estabelecemos uma hierarquia de prioridades baseada criticidade das operações e nas obrigações legais (LGPD):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 Segurança (Prioridade Máxima):</w:t>
      </w:r>
      <w:r w:rsidDel="00000000" w:rsidR="00000000" w:rsidRPr="00000000">
        <w:rPr>
          <w:rFonts w:ascii="Arial" w:cs="Arial" w:eastAsia="Arial" w:hAnsi="Arial"/>
          <w:rtl w:val="0"/>
        </w:rPr>
        <w:t xml:space="preserve"> Este é o atributo mais crítico do sistema. Como o software lida com dados de saúde (prontuários e diagnósticos), que são classificados pela LGPD como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dados pessoais sensíveis</w:t>
      </w:r>
      <w:r w:rsidDel="00000000" w:rsidR="00000000" w:rsidRPr="00000000">
        <w:rPr>
          <w:rFonts w:ascii="Arial" w:cs="Arial" w:eastAsia="Arial" w:hAnsi="Arial"/>
          <w:rtl w:val="0"/>
        </w:rPr>
        <w:t xml:space="preserve">, a arquitetura deve garantir que o acesso seja estritamente restrito a usuários autorizados (RBAC) e que qualquer vazamento de dados físicos seja mitigado por criptografia robusta.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2. Disponibilidade (Prioridade Alta):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sistema precisa estar acessível no momento do atendimento clínico. Uma queda no software interrompe consultas, impede o acesso ao histórico do paciente e para a recepção. A meta arquitetural é mitigar pontos únicos de falha para garantir que o médico possa consultar o prontuário sempre que necessário.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3. Manutenibilidade (Prioridade Média):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Como o software é um projeto acadêmico/MVP com potencial de evolução, o código e a infraestrutura devem ser fáceis de modificar, corrigir e estender. O acoplamento deve ser baixo para que uma alteração nas regras de agendamento não quebre o módulo de prontuário eletrônico.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4. Desempenho (Prioridade Média):</w:t>
      </w:r>
      <w:r w:rsidDel="00000000" w:rsidR="00000000" w:rsidRPr="00000000">
        <w:rPr>
          <w:rFonts w:ascii="Arial" w:cs="Arial" w:eastAsia="Arial" w:hAnsi="Arial"/>
          <w:rtl w:val="0"/>
        </w:rPr>
        <w:t xml:space="preserve"> O tempo de resposta na busca de prontuários e no carregamento da agenda deve ser baixo para não atrasar o fluxo de atendimento do consultório. No entanto, ele fica abaixo da segurança, o que significa que pequenas latências causadas pela criptografia de dados em tempo real são aceitáveis em prol da proteção da informação.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5. Escalabilidade (Prioridade Baixa):</w:t>
      </w:r>
      <w:r w:rsidDel="00000000" w:rsidR="00000000" w:rsidRPr="00000000">
        <w:rPr>
          <w:rFonts w:ascii="Arial" w:cs="Arial" w:eastAsia="Arial" w:hAnsi="Arial"/>
          <w:rtl w:val="0"/>
        </w:rPr>
        <w:t xml:space="preserve"> Nesta fase inicial, o sistema atende a um ambiente controlado (um consultório). A arquitetura deve ser modular para permitir crescimento futuro, mas a otimização para suportar milhões de acessos simultâneos não é o foco do escopo atual.</w:t>
      </w:r>
    </w:p>
    <w:p w:rsidR="00000000" w:rsidDel="00000000" w:rsidP="00000000" w:rsidRDefault="00000000" w:rsidRPr="00000000" w14:paraId="0000006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>
          <w:rFonts w:ascii="Arial" w:cs="Arial" w:eastAsia="Arial" w:hAnsi="Arial"/>
          <w:b w:val="1"/>
          <w:bCs w:val="1"/>
          <w:color w:val="1a3c5e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4.2 Como a Arquitetura Atende cada Atributo</w:t>
      </w:r>
    </w:p>
    <w:p w:rsidR="00000000" w:rsidDel="00000000" w:rsidP="00000000" w:rsidRDefault="00000000" w:rsidRPr="00000000" w14:paraId="0000006B">
      <w:pPr>
        <w:spacing w:after="240" w:line="276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Atributos de Qualidade e Táticas Arquiteturais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a3c5e" w:val="clear"/>
        <w:spacing w:after="120" w:before="280" w:lineRule="auto"/>
        <w:ind w:left="17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5. Decisões Arquiteturais (ADRs)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5.1 ADR-001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5.2 ADR-002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5.3 ADR-003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5.4 ADR-004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40" w:lineRule="auto"/>
        <w:ind w:left="0" w:firstLine="0"/>
        <w:jc w:val="both"/>
        <w:rPr>
          <w:rFonts w:ascii="Arial" w:cs="Arial" w:eastAsia="Arial" w:hAnsi="Arial"/>
          <w:b w:val="1"/>
          <w:bCs w:val="1"/>
          <w:color w:val="1a3c5e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Bdr>
          <w:left w:color="1a3c5e" w:space="4" w:sz="16" w:val="single"/>
        </w:pBdr>
        <w:spacing w:after="80" w:before="200" w:lineRule="auto"/>
        <w:ind w:left="227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5.5 ADR-005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Contexto: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Decisão: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Alternativas consideradas: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0"/>
          <w:szCs w:val="20"/>
          <w:rtl w:val="0"/>
        </w:rPr>
        <w:t xml:space="preserve">Consequências: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40" w:lineRule="auto"/>
        <w:ind w:lef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a3c5e" w:val="clear"/>
        <w:spacing w:after="120" w:before="280" w:lineRule="auto"/>
        <w:ind w:left="170" w:firstLine="0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ffff"/>
          <w:sz w:val="28"/>
          <w:szCs w:val="28"/>
          <w:rtl w:val="0"/>
        </w:rPr>
        <w:t xml:space="preserve">6. Riscos e Dívida Técnica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40" w:before="240" w:lineRule="auto"/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Bdr>
          <w:left w:color="1a3c5e" w:space="4" w:sz="16" w:val="single"/>
        </w:pBdr>
        <w:spacing w:after="80" w:before="200" w:lineRule="auto"/>
        <w:ind w:left="227" w:firstLine="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6.2 Dívida Técnica Arquitetural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40" w:before="240" w:lineRule="auto"/>
        <w:ind w:left="72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left w:color="1a3c5e" w:space="4" w:sz="16" w:val="single"/>
        </w:pBdr>
        <w:spacing w:after="80" w:before="200" w:lineRule="auto"/>
        <w:ind w:left="227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c5e"/>
          <w:sz w:val="24"/>
          <w:szCs w:val="24"/>
          <w:rtl w:val="0"/>
        </w:rPr>
        <w:t xml:space="preserve">Observações e Referências Consultadas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IEEE COMPUTER SOCIETY.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Guide to the Software Engineering Body of Knowledge (SWEBOK v4.0)</w:t>
      </w:r>
      <w:r w:rsidDel="00000000" w:rsidR="00000000" w:rsidRPr="00000000">
        <w:rPr>
          <w:rFonts w:ascii="Arial" w:cs="Arial" w:eastAsia="Arial" w:hAnsi="Arial"/>
          <w:rtl w:val="0"/>
        </w:rPr>
        <w:t xml:space="preserve">. Los Alamitos: IEEE Computer Society, 2024. Disponível em:</w:t>
      </w:r>
      <w:hyperlink r:id="rId8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https://www.computer.org/education/bodies-of-knowledge/software-engineering</w:t>
        </w:r>
      </w:hyperlink>
      <w:r w:rsidDel="00000000" w:rsidR="00000000" w:rsidRPr="00000000">
        <w:rPr>
          <w:rFonts w:ascii="Arial" w:cs="Arial" w:eastAsia="Arial" w:hAnsi="Arial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ISO/IEC/IEEE.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ISO/IEC/IEEE 29148:2018: Systems and software engineering — Life cycle processes — Requirements engineering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2018. </w:t>
      </w:r>
    </w:p>
    <w:p w:rsidR="00000000" w:rsidDel="00000000" w:rsidP="00000000" w:rsidRDefault="00000000" w:rsidRPr="00000000" w14:paraId="0000009E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BRASIL.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Lei nº 13.709, de 14 de agosto de 2018</w:t>
      </w:r>
      <w:r w:rsidDel="00000000" w:rsidR="00000000" w:rsidRPr="00000000">
        <w:rPr>
          <w:rFonts w:ascii="Arial" w:cs="Arial" w:eastAsia="Arial" w:hAnsi="Arial"/>
          <w:rtl w:val="0"/>
        </w:rPr>
        <w:t xml:space="preserve">. Lei Geral de Proteção de Dados Pessoais (LGPD). Brasília, DF: Presidência da República. </w:t>
      </w:r>
    </w:p>
    <w:p w:rsidR="00000000" w:rsidDel="00000000" w:rsidP="00000000" w:rsidRDefault="00000000" w:rsidRPr="00000000" w14:paraId="0000009F">
      <w:pPr>
        <w:spacing w:after="40" w:before="2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CONSELHO FEDERAL DE MEDICINA (CFM).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Resolução CFM nº 2.299/2021</w:t>
      </w:r>
      <w:r w:rsidDel="00000000" w:rsidR="00000000" w:rsidRPr="00000000">
        <w:rPr>
          <w:rFonts w:ascii="Arial" w:cs="Arial" w:eastAsia="Arial" w:hAnsi="Arial"/>
          <w:rtl w:val="0"/>
        </w:rPr>
        <w:t xml:space="preserve">. Define as normas técnicas para o uso de sistemas informatizados para a guarda, o armazenamento e o manuseio de prontuário de pacientes. Brasília, DF: CFM. </w:t>
      </w:r>
    </w:p>
    <w:p w:rsidR="00000000" w:rsidDel="00000000" w:rsidP="00000000" w:rsidRDefault="00000000" w:rsidRPr="00000000" w14:paraId="000000A0">
      <w:pPr>
        <w:spacing w:after="4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ISO/IEC.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ISO/IEC 25010:2011: Systems and software engineering — Systems and software Quality Requirements and Evaluation (SQuaRE)</w:t>
      </w:r>
      <w:r w:rsidDel="00000000" w:rsidR="00000000" w:rsidRPr="00000000">
        <w:rPr>
          <w:rFonts w:ascii="Arial" w:cs="Arial" w:eastAsia="Arial" w:hAnsi="Arial"/>
          <w:rtl w:val="0"/>
        </w:rPr>
        <w:t xml:space="preserve">. Genebra: ISO, 2011. </w:t>
      </w:r>
      <w:r w:rsidDel="00000000" w:rsidR="00000000" w:rsidRPr="00000000">
        <w:rPr>
          <w:rtl w:val="0"/>
        </w:rPr>
      </w:r>
    </w:p>
    <w:sectPr>
      <w:headerReference r:id="rId10" w:type="default"/>
      <w:pgSz w:h="16838" w:w="11906" w:orient="portrait"/>
      <w:pgMar w:bottom="1134" w:top="1417" w:left="1417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www.computer.org/education/bodies-of-knowledge/software-enginee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computer.org/education/bodies-of-knowledge/software-engineering" TargetMode="External"/><Relationship Id="rId7" Type="http://schemas.openxmlformats.org/officeDocument/2006/relationships/hyperlink" Target="https://www.computer.org/education/bodies-of-knowledge/software-engineering" TargetMode="External"/><Relationship Id="rId8" Type="http://schemas.openxmlformats.org/officeDocument/2006/relationships/hyperlink" Target="https://www.computer.org/education/bodies-of-knowledge/software-enginee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