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12 — Qualidade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Quality)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Plano de Garantia de Qualidade (SQA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15/05/2026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Estruturação inicial do SQA Plan.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21/05/2026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de tabelas, modelos de checklist e GQM.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Propósito do SQA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Plano de Garantia de Qualidade de Software (SQA Plan) define o conjunto de atividades, auditorias, revisões e métricas para assegurar que o sistema de prontuário eletrônico atenda aos requisitos funcionais, regulatórios e de segurança. Alinhado ao SWEBOK v4.0, este plano visa prevenir defeitos no ciclo de desenvolvimento, mitigar riscos operacionais e garantir conformidade legal com a LGPD e normas de saúde.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Modelo de Qualidade Adotado — ISO/IEC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modelo adotado é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</w:t>
      </w:r>
      <w:r w:rsidDel="00000000" w:rsidR="00000000" w:rsidRPr="00000000">
        <w:rPr>
          <w:rFonts w:ascii="Arial" w:cs="Arial" w:eastAsia="Arial" w:hAnsi="Arial"/>
          <w:rtl w:val="0"/>
        </w:rPr>
        <w:t xml:space="preserve">. Foram priorizadas as características cruciais para um ambiente de software clínico e regulado: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Adequação Funcional: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Garante que as tarefas de agendamento e registro médico estejam corretas.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Prioridade crítica para proteção de dados de saúde, incluindo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a LGPD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atributo essencial (criptografia, controle RBAC e anonimização).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Eficiência de Desempenho: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Resposta rápida em consultas médicas simultâneas.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986.366001713175"/>
        <w:gridCol w:w="2969.7639483741314"/>
        <w:gridCol w:w="1604.7488880835501"/>
        <w:gridCol w:w="2793.6329728527658"/>
        <w:tblGridChange w:id="0">
          <w:tblGrid>
            <w:gridCol w:w="1986.366001713175"/>
            <w:gridCol w:w="2969.7639483741314"/>
            <w:gridCol w:w="1604.7488880835501"/>
            <w:gridCol w:w="2793.63297285276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Subcaracterísticas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Importância 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será 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Adequação Funcional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Completude Funcional, Correção Funcional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Percentual de requisitos funcionais implementados e aprovados em testes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 e Eficiência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Comportamento Temporal, Capacidade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Latência média das APIs, tempo de geração de relatórios e disponibilidade sob carga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Confidencialidade, Integridade, Autenticidade, Responsabilização, Conformidade 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Falhas de autenticação bloqueadas, auditoria registrada e ausência de vulnerabilidades críticas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Operabilidade, Aprendizagem, Acessibilidade (WCAG 2.1)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médio para execução de tarefas e conformidade WCAG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Modularidade, Testabilidade, Modificabilidade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de testes, complexidade ciclomática e MTTR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Disponibilidade, Recuperabilidade, Tolerância a Falhas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Uptime, RTO e RPO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Atividades de Garantia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Revisões e Inspeções de Artefatos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Processo: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Revisões por pares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peer reviews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) ao final de cada iteração.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Responsáveis: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Engenheiro de software/Garantia de Qualidade (QA) e desenvolvedores parceiros.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autor apresenta o artefato -&gt; É aplicado o checklist técnico correspondente -&gt; Desvios são registrados como não-conformidades -&gt; Correções são validadas antes do merge/aprovação.</w:t>
      </w:r>
    </w:p>
    <w:p w:rsidR="00000000" w:rsidDel="00000000" w:rsidP="00000000" w:rsidRDefault="00000000" w:rsidRPr="00000000" w14:paraId="0000005A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Auditorias de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Avaliações periódicas realizadas para garantir que a equipe de engenharia está seguindo as práticas definidas pelo plano (ex: commits corretos, documentação em dia e testes executados). As auditorias ocorrem bimestralmente pelo QA, gerando relatórios de aderência ao processo e identificando gargalos na esteira de desenvolvimento.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Critérios Mínimos de Qualidade por Tipo de Artefato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100% de rastreabilidade com as Histórias de Usuário; ausência de ambiguidades.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Diagramas UML: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Consistência de nomenclatura entre diagramas de atividade, sequência e estados.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Código/API:</w:t>
      </w:r>
      <w:r w:rsidDel="00000000" w:rsidR="00000000" w:rsidRPr="00000000">
        <w:rPr>
          <w:rFonts w:ascii="Arial" w:cs="Arial" w:eastAsia="Arial" w:hAnsi="Arial"/>
          <w:rtl w:val="0"/>
        </w:rPr>
        <w:t xml:space="preserve"> Cobertura mínima de 80% de testes unitários; ausência de vulnerabilidades críticas.</w:t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Métricas de Qualidade do Produto (GQM)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Aplicação do Paradigma GQM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1 (Goal):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Garantir a confidencialidade e a privacidade dos dados de saúde dos pacientes (Segurança e LGPD).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1.1: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está protegido contra tentativas de acesso não autorizado aos dados pessoais (PII)?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Percentual de requisições de API bloqueadas por falha no token/RBAC.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1.2: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prontuários arquivados estão sendo devidamente descaracterizados conforme a lei?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Taxa de sucesso na execução do script automatizado de anonimização de PII.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2 (Goal):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Assegurar a eficiência operacional e estabilidade das consultas e agendamentos.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2.1:</w:t>
      </w:r>
      <w:r w:rsidDel="00000000" w:rsidR="00000000" w:rsidRPr="00000000">
        <w:rPr>
          <w:rFonts w:ascii="Arial" w:cs="Arial" w:eastAsia="Arial" w:hAnsi="Arial"/>
          <w:rtl w:val="0"/>
        </w:rPr>
        <w:t xml:space="preserve"> Qual o tempo de resposta do sistema ao carregar um histórico clínico complexo?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Tempo médio de resposta (Latência) do endpoint da API do Prontuário.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2.2: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mantém a disponibilidade sob alta carga de usuários simultâneos?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Taxa de disponibilidade (Uptime) do servidor em ambiente produtivo.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3 (Goal):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Avaliar e garantir a facilidade de manutenção futura do código do sistema (Manutenibilidade).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3.1: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código-fonte produzido está propício ao surgimento de bugs em futuras alterações?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Densidade de defeitos por KLOC (mil linhas de código) pós-release.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3.2:</w:t>
      </w:r>
      <w:r w:rsidDel="00000000" w:rsidR="00000000" w:rsidRPr="00000000">
        <w:rPr>
          <w:rFonts w:ascii="Arial" w:cs="Arial" w:eastAsia="Arial" w:hAnsi="Arial"/>
          <w:rtl w:val="0"/>
        </w:rPr>
        <w:t xml:space="preserve"> A suíte de testes de software valida as regras de negócio de forma abrangente?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Métrica: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Percentual de cobertura de código por testes automatizados (Code Coverage).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369.873752741339"/>
        <w:gridCol w:w="2167.9778143739227"/>
        <w:gridCol w:w="2067.0298451902145"/>
        <w:gridCol w:w="1418.0786147235194"/>
        <w:gridCol w:w="1331.5517839946267"/>
        <w:tblGridChange w:id="0">
          <w:tblGrid>
            <w:gridCol w:w="2369.873752741339"/>
            <w:gridCol w:w="2167.9778143739227"/>
            <w:gridCol w:w="2067.0298451902145"/>
            <w:gridCol w:w="1418.0786147235194"/>
            <w:gridCol w:w="1331.55178399462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confidencialidade e privacidade dos dados dos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bloqueia acessos indevidos?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Percentual de requisições bloqueadas por RBAC/JWT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confidencialidade e privacidade dos dados dos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anonimizados estão em conformidade com a LGPD?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Taxa de sucesso da anonimização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99%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eficiência operacional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tempo de resposta atende aos requisitos?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Latência média das APIs clínicas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1,5 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eficiência operacional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mantém disponibilidade adequada?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Uptime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99,9%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apresenta baixa propensão a defeitos?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Densidade de defeitos/KLOC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Tendência decrescente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testes cobrem adequadamente as regras de negócio?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de testes automatizados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80%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Checklists de Revisão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Checklist para Revisão de 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660"/>
        <w:gridCol w:w="4725"/>
        <w:gridCol w:w="1665"/>
        <w:gridCol w:w="1755"/>
        <w:tblGridChange w:id="0">
          <w:tblGrid>
            <w:gridCol w:w="660"/>
            <w:gridCol w:w="4725"/>
            <w:gridCol w:w="1665"/>
            <w:gridCol w:w="17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de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Conforme?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Checklist para Revisão de Diagrama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0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660"/>
        <w:gridCol w:w="4725"/>
        <w:gridCol w:w="1665"/>
        <w:gridCol w:w="1755"/>
        <w:tblGridChange w:id="0">
          <w:tblGrid>
            <w:gridCol w:w="660"/>
            <w:gridCol w:w="4725"/>
            <w:gridCol w:w="1665"/>
            <w:gridCol w:w="17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de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Conforme?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 SWEBOK v4.0:</w:t>
      </w:r>
      <w:r w:rsidDel="00000000" w:rsidR="00000000" w:rsidRPr="00000000">
        <w:rPr>
          <w:rFonts w:ascii="Arial" w:cs="Arial" w:eastAsia="Arial" w:hAnsi="Arial"/>
          <w:rtl w:val="0"/>
        </w:rPr>
        <w:t xml:space="preserve"> Guide to the Software Engineering Body of Knowledge. Capítulo 12: Software Quality. 2024.</w:t>
      </w:r>
    </w:p>
    <w:p w:rsidR="00000000" w:rsidDel="00000000" w:rsidP="00000000" w:rsidRDefault="00000000" w:rsidRPr="00000000" w14:paraId="00000108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25010:2011:</w:t>
      </w:r>
      <w:r w:rsidDel="00000000" w:rsidR="00000000" w:rsidRPr="00000000">
        <w:rPr>
          <w:rFonts w:ascii="Arial" w:cs="Arial" w:eastAsia="Arial" w:hAnsi="Arial"/>
          <w:rtl w:val="0"/>
        </w:rPr>
        <w:t xml:space="preserve"> Systems and software engineering — Systems and software Quality Requirements and Evaluation (SQuaRE) — System and software quality models.</w:t>
      </w:r>
    </w:p>
    <w:p w:rsidR="00000000" w:rsidDel="00000000" w:rsidP="00000000" w:rsidRDefault="00000000" w:rsidRPr="00000000" w14:paraId="0000010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 Lei nº 13.709, de 14 de agosto de 2018: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Geral de Proteção de Dados Pessoais (LGPD).</w:t>
      </w:r>
    </w:p>
    <w:p w:rsidR="00000000" w:rsidDel="00000000" w:rsidP="00000000" w:rsidRDefault="00000000" w:rsidRPr="00000000" w14:paraId="0000010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VAN SOLINGEN, R.; BERGHOUT, E.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Goal/Question/Metric Method: a practical guide for quality improvement of software development. McGraw-Hill, 1999.</w:t>
      </w:r>
    </w:p>
    <w:p w:rsidR="00000000" w:rsidDel="00000000" w:rsidP="00000000" w:rsidRDefault="00000000" w:rsidRPr="00000000" w14:paraId="0000010B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