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02 —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Documento de Arquitetura de Software (SAD)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.4326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SAD e definição arquitetural.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  <w:tr>
        <w:trPr>
          <w:cantSplit w:val="0"/>
          <w:trHeight w:val="888.4326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dos diagramas C4.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documento tem por finalidade estabelecer a fundação técnica, as diretrizes de design e os princípios orientadores para o desenvolvimento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artefato serve como o plano diretor que viabiliza a transformação dos requisitos funcionais e não funcionais em uma estrutura de software coesa, conforme as recomendações da área de conhecimento de Arquitetura de Software do SWEBOK v4.0.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propósito central deste documento é mitigar riscos </w:t>
      </w:r>
      <w:r w:rsidDel="00000000" w:rsidR="00000000" w:rsidRPr="00000000">
        <w:rPr>
          <w:rFonts w:ascii="Arial" w:cs="Arial" w:eastAsia="Arial" w:hAnsi="Arial"/>
          <w:rtl w:val="0"/>
        </w:rPr>
        <w:t xml:space="preserve">arquiteturais</w:t>
      </w:r>
      <w:r w:rsidDel="00000000" w:rsidR="00000000" w:rsidRPr="00000000">
        <w:rPr>
          <w:rFonts w:ascii="Arial" w:cs="Arial" w:eastAsia="Arial" w:hAnsi="Arial"/>
          <w:rtl w:val="0"/>
        </w:rPr>
        <w:t xml:space="preserve"> em estágios iniciais, garantir a consistência das decisões técnicas ao longo de todo o ciclo de vida do desenvolvimento e fornecer uma visão unificada para todos 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envolvidos, incluindo desenvolvedores, gestores de projeto e especialistas em segurança, visando: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Definir a Estrutura do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Estabelecer o estilo arquitetural e a decomposição do sistema em contêineres e componentes, garantindo a organização lógica e física necessária para suportar os processos de prontuário eletrônico e agendamento.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Fundamentar Decisões Estratégicas: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Documentar as Decisões Arquiteturais (ADRs), registrando as escolhas tecnológicas, incluindo as alternativas descartadas e as implicações de longo prazo.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Assegurar Atributos de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Definir como a arquitetura atenderá aos requisitos críticos de segurança, disponibilidade, desempenho e manutenibilidade. A ênfase é colocada na conformidade com a Lei Geral de Proteção de Dados (LGPD), assegurando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desde a concepção.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Facilitar a Comunicação: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Servir como linguagem comum para a equipe técnica, permitindo uma compreensão compartilhada sobre as responsabilidades de cada componente e a forma como os dados sensíveis dos pacientes fluem através das camadas da aplicação.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Estabelecer Base para Evolução: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Prover o suporte necessário para a manutenção e evolução do sistema, minimizando a dívida técnica ao fornecer orientações claras sobre desacoplamento e modularização.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Escopo</w:t>
      </w:r>
    </w:p>
    <w:p w:rsidR="00000000" w:rsidDel="00000000" w:rsidP="00000000" w:rsidRDefault="00000000" w:rsidRPr="00000000" w14:paraId="0000003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1.2.1 Itens Incluídos no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software desenvolverá e suportará as seguintes capacidades funcionais e técnicas: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Autenticação e Autorização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controle de acesso baseado em papéis (Administrador, Médico, Recepcionista), garantindo que cada usuário acesse estritamente as funcionalidades necessárias ao seu papel, conforme o princípio do menor privilégio.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completo, edição e histórico de pacientes, assegurando a integridade e a rastreabilidade dos dados pessoais, em conformidade com as diretrizes da LGPD.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para marcação, remarcação, cancelamento e visualização de consultas, otimizando a agenda do corpo clínico.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digital de consultas, histórico clínico, evolução médica e anexação de documentos, assegurando a confidencialidade e a disponibilidade da informação clínica.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Geração de prescrições médicas digitais e solicitação/registro de exames clínicos integrados ao fluxo da consulta.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Relatórios Gerenciais: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Geração de métricas de produtividade, fluxo de pacientes e indicadores financeiros básicos para suporte à decisão administrativa.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incorpora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em todo o seu escopo, incluindo logs de auditoria detalhados, criptografia de dados sensíveis em repouso e em trânsito, e mecanismos de exclusão/anonimização de dados conforme requisitado.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1.2.1 Itens Não Incluídos no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assegurar a viabilidade técnica e manter o foco nas entregas do semestre, excluem-se deste escopo: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Integração com sistemas legados externos: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está prevista a integração nativa com sistemas de laboratórios de terceiros ou planos de saúde via API, exceto se definido em fases futuras.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 física de rede: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responsabilidade por cabeamento, configuração de servidores locais ou manutenção de hardware de rede excede o escopo da arquitetura de software aqui tratada.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Telemedicina: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Funcionalidades de videoconferência em tempo real para atendimento remoto não compõem a versão inicial do produto.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Pagamentos via Gateway: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integração direta com processadores de pagamento (ex: operadoras de cartão de crédito) não faz parte do MVP (Produto Mínimo Viável).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Representação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Estilo Arquitetural Adotado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estilo arquitetural escolhido é 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Camadas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estilo organiza o sistema em unidades lógicas de responsabilidade, promovendo um desacoplamento que facilita a evolução independente de cada módulo e a implementação de controles de segurança granulares.</w:t>
      </w:r>
    </w:p>
    <w:p w:rsidR="00000000" w:rsidDel="00000000" w:rsidP="00000000" w:rsidRDefault="00000000" w:rsidRPr="00000000" w14:paraId="00000051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Isso está de acordo com a RNF-005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manutenibilidade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, RNF-007 de segurança e RNF-006 de disponibilidade.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Visões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mapear e comunicar a arquitetura do Sistema de Gestão de Consultório Médico de forma clara e abrangente, este documento adota uma abordagem multinível baseada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C4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acrescida de uma perspectiva de persistência. Essa estratégia permite decompor o sistema em diferentes graus de abstração, atendendo tanto a stakeholders técnicos quanto de negócios.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seguintes visões serão utilizadas para descrever o sistema: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Contexto (Nível 1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Define as fronteiras do sistema, ilustrando como o software interage com os usuários (médicos, recepcionistas, administradores) e com possíveis sistemas externos. É ideal para alinhar o escopo com stakeholders não técnicos.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Contêineres (Nível 2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Apresenta a arquitetura de alto nível do ecossistema de software, discriminando os contêineres executáveis (como aplicações web, APIs e bancos de dados), as tecnologias escolhidas e como esses blocos se comunicam.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Componentes (Nível 3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Decompõe os contêineres principais em seus componentes internos, detalhando as responsabilidades, interfaces e interações das camadas lógicas da aplicação (Controllers, Services, Repositories).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Mapeia o fluxo de informações sensíveis e a modelagem lógica/física da persistência, com foco especial no rastreamento e isolamento de dados clínicos e pessoais, garantindo conformidade com os princípios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exigidos pela LGPD.</w:t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Visões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Visão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Visão de Contexto estabelece os limites do Sistema de Gestão de Consultório Médico, delimitando o que está escopo do desenvolvimento e como o sistema interage com os atores humanos e os elementos externos do ambiente clínico. Ele centraliza o fluxo de dados que se inicia no agendamento do paciente pela recepção, passa pelo atendimento clínico e registro de prontuário realizado pelo médico, e termina na auditoria e emissão de relatórios pelo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4898569" cy="674338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569" cy="674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Visão de Contêineres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é segmentado sob um estilo arquitetural desacoplado, utilizando uma aplicação de página única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SPA) para a interface do usuário e uma API RESTful modularizada no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centralizar as regras de negócio e garantir a integridade dos dados clínicos e transacionais.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4423594" cy="77625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594" cy="776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Visão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Controllers (Camada de Interface):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Componentes responsáveis por expor 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REST, validar o formato das requisições e gerenciar o protocolo HTTPS. Exemplos: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PatientController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AppointmentController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EHRController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 &amp; Auth Component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Interceptor que valida tokens JWT e verifica se o usuário possui o papel necessário (Médico, Recepcionista ou Admin) para executar a operação, garantindo o princípio do menor privilégio.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Services (Camada de Negócio):</w:t>
      </w:r>
      <w:r w:rsidDel="00000000" w:rsidR="00000000" w:rsidRPr="00000000">
        <w:rPr>
          <w:rFonts w:ascii="Arial" w:cs="Arial" w:eastAsia="Arial" w:hAnsi="Arial"/>
          <w:rtl w:val="0"/>
        </w:rPr>
        <w:t xml:space="preserve"> Onde residem as regras de domínio. 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EHRService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(Prontuário), por exemplo, orquestra a lógica de evolução clínica, enquanto 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AppointmentService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gerencia conflitos de horários na agenda.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Encryption Component: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Componente especializado que atua sobre dados sensíveis. Ele cifra informações do Prontuário Eletrônico (PEP) antes de enviá-las para a persistência e as decifra na leitura, garantindo que o banco de dados nunca armazene dados de saúde em texto claro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Repositories (Camada de Dados):</w:t>
      </w:r>
      <w:r w:rsidDel="00000000" w:rsidR="00000000" w:rsidRPr="00000000">
        <w:rPr>
          <w:rFonts w:ascii="Arial" w:cs="Arial" w:eastAsia="Arial" w:hAnsi="Arial"/>
          <w:rtl w:val="0"/>
        </w:rPr>
        <w:t xml:space="preserve"> Abstraem o acesso ao banco de dados, utilizando padrões de mapeamento objeto-relacional (ORM) para garantir a integridade das transações.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Audit Interceptor: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Componente que captura silenciosamente todas as tentativas de acesso a dados sensíveis e dispara o registro imutável para o contêiner de Logs de Auditoria.</w:t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010404" cy="38858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404" cy="3885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color w:val="1f1f1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3.4 Visão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Visão de Dados descreve o ciclo de vida e o trânsito das informações dentro do sistema. O objetivo principal desta visão é demonstrar como o fluxo de dados garante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confidencialidade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integridade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rastreabilidade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impedindo o vazamento de dados sensíveis e assegurando que informações clínicas nunca transitem ou sejam armazenadas sem a devida proteção.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Quando um médico registra uma evolução clínica ou emite uma prescrição no Prontuário Eletrônico, o dado percorre o seguinte caminho: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Entrada Criptografada: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navegador (SPA) envia os dados estruturados em JSON através de um canal seguro cifrado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HTTPS/TLS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Interceptação e Autenticação: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API recebe a requisição, valida a sessão e o token JWT do médico, confirmando através do controle RBAC que aquele usuário possui direito de escrita em prontuários.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Cifragem em Camada de Aplicação: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Antes de tocar qualquer repositório, o objeto contendo as informações de saúde do paciente é direcionado ao componente de criptografia, onde os campos sensíveis são cifrados usando o algoritmo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Persistência Segura: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repositório ORM recebe o dado já cifrado e dispara uma transação SQL via conexão segura (TLS) para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Banco de Dados Principal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onde a informação é armazenada em repouso de forma ilegível para qualquer auditor não autorizado.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jc w:val="both"/>
        <w:rPr>
          <w:rFonts w:ascii="Arial" w:cs="Arial" w:eastAsia="Arial" w:hAnsi="Arial"/>
          <w:i w:val="0"/>
          <w:iCs w:val="0"/>
          <w:color w:val="1f1f1f"/>
        </w:rPr>
      </w:pPr>
      <w:bookmarkStart w:colFirst="0" w:colLast="0" w:name="_hhg48akj6rs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garantir a conformidade com o princípio de responsabilização da LGPD, o fluxo de leitura dispara ações paralelas de segurança: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Requisição de 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médico solicita a visualização do histórico do paciente.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Gatilho de Auditoria: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componente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Audit Interceptor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captura a intenção de leitura de dados sensíveis e, de forma assíncrona (não bloqueante), extrai os metadados do acesso (ID do usuário, ID do paciente, data, hora e IP) e grava uma linha imutável no banco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Logs de Auditoria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Descriptografia em Memória: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repositório busca o registro cifrado no banco principal. O componente de criptografia descriptografa os dados em memória RAM apenas para aquela sessão ativa do médico.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Exibição Protegida: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payload limpo é enviado via HTTPS para o frontend e renderizado na tela do profissional de saúde.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jc w:val="both"/>
        <w:rPr>
          <w:rFonts w:ascii="Arial" w:cs="Arial" w:eastAsia="Arial" w:hAnsi="Arial"/>
          <w:i w:val="0"/>
          <w:iCs w:val="0"/>
          <w:color w:val="1f1f1f"/>
        </w:rPr>
      </w:pPr>
      <w:bookmarkStart w:colFirst="0" w:colLast="0" w:name="_pkq2ewbjirr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tabela abaixo resume como as principais entidades de dados do consultório médico são tratadas no fluxo arquitetural:</w:t>
      </w:r>
    </w:p>
    <w:tbl>
      <w:tblPr>
        <w:tblStyle w:val="Table3"/>
        <w:tblW w:w="882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740"/>
        <w:gridCol w:w="1920"/>
        <w:gridCol w:w="1845"/>
        <w:gridCol w:w="1455"/>
        <w:gridCol w:w="1860"/>
        <w:tblGridChange w:id="0">
          <w:tblGrid>
            <w:gridCol w:w="1740"/>
            <w:gridCol w:w="1920"/>
            <w:gridCol w:w="1845"/>
            <w:gridCol w:w="1455"/>
            <w:gridCol w:w="18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 de Dado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Classificação (LGPD)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em Trânsito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em Repouso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 Responsável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Credenciais / Senhas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 Pessoal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Cifrado (HTTPS/TLS)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Hash com Sal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1"/>
                <w:szCs w:val="21"/>
                <w:shd w:fill="f2f0f0" w:val="clear"/>
                <w:rtl w:val="0"/>
              </w:rPr>
              <w:t xml:space="preserve">BCrypt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1"/>
                <w:szCs w:val="21"/>
                <w:shd w:fill="f2f0f0" w:val="clear"/>
                <w:rtl w:val="0"/>
              </w:rPr>
              <w:t xml:space="preserve">Security &amp; Auth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Dados Cadastrais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 (Nome, CPF)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 Pessoal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Cifrado (HTTPS/TLS)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Texto Claro / Indexado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1"/>
                <w:szCs w:val="21"/>
                <w:shd w:fill="f2f0f0" w:val="clear"/>
                <w:rtl w:val="0"/>
              </w:rPr>
              <w:t xml:space="preserve">Patient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Evolução Clínica / PEP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Dado Pessoal Sensível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Cifrado (HTTPS/TLS)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Cifrado (AES-256)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1"/>
                <w:szCs w:val="21"/>
                <w:shd w:fill="f2f0f0" w:val="clear"/>
                <w:rtl w:val="0"/>
              </w:rPr>
              <w:t xml:space="preserve">Encryption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Logs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 Técnico / Auditoria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Cifrado (HTTPS/TLS)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Texto Claro (Imutável)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1"/>
                <w:szCs w:val="21"/>
                <w:shd w:fill="f2f0f0" w:val="clear"/>
                <w:rtl w:val="0"/>
              </w:rPr>
              <w:t xml:space="preserve">Audit Interceptor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Atributos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Atributos Priorizados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acordo com o SWEBOK v4.0, os atributos de qualidade (requisitos não funcionais) definem o quão bem o sistema executa suas funções. Para o Sistema de Gestão de Consultório Médico, estabelecemos uma hierarquia de prioridades baseada criticidade das operações e nas obrigações legais (LGPD):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Segurança (Prioridade Máxima):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 é o atributo mais crítico do sistema. Como o software lida com dados de saúde (prontuários e diagnósticos), que são classificados pela LGPD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pessoais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, a arquitetura deve garantir que o acesso seja estritamente restrito a usuários autorizados (RBAC) e que qualquer vazamento de dados físicos seja mitigado por criptografia robusta.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Disponibilidade (Prioridade Alta):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precisa estar acessível no momento do atendimento clínico. Uma queda no software interrompe consultas, impede o acesso ao histórico do paciente e para a recepção. A meta arquitetural é mitigar pontos únicos de falha para garantir que o médico possa consultar o prontuário sempre que necessário.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Manutenibilidade (Prioridade Média):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o software é um projeto acadêmico/MVP com potencial de evolução, o código e a infraestrutura devem ser fáceis de modificar, corrigir e estender. O acoplamento deve ser baixo para que uma alteração nas regras de agendamento não quebre o módulo de prontuário eletrônico.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Desempenho (Prioridade Média):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tempo de resposta na busca de prontuários e no carregamento da agenda deve ser baixo para não atrasar o fluxo de atendimento do consultório. No entanto, ele fica abaixo da segurança, o que significa que pequenas latências causadas pela criptografia de dados em tempo real são aceitáveis em prol da proteção da informação.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Escalabilidade (Prioridade Baixa):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Nesta fase inicial, o sistema atende a um ambiente controlado (um consultório). A arquitetura deve ser modular para permitir crescimento futuro, mas a otimização para suportar milhões de acessos simultâneos não é o foco do escopo atual.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Como a Arquitetura Atende cada Atributo</w:t>
      </w:r>
    </w:p>
    <w:p w:rsidR="00000000" w:rsidDel="00000000" w:rsidP="00000000" w:rsidRDefault="00000000" w:rsidRPr="00000000" w14:paraId="000000A3">
      <w:pPr>
        <w:spacing w:after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Atributos de Qualidade e Táticas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Decisões Arquiteturais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5.1 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5.2 ADR-002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5.3 ADR-003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5.4 ADR-004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5.5 ADR-005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Riscos e Dívida Técnica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6.2 Dívida Técnica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</w:t>
      </w:r>
    </w:p>
    <w:p w:rsidR="00000000" w:rsidDel="00000000" w:rsidP="00000000" w:rsidRDefault="00000000" w:rsidRPr="00000000" w14:paraId="000000D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0D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Define as normas técnicas para o uso de sistemas informatizados para a guarda, o armazenamento e o manuseio de prontuário de pacientes. Brasília, DF: CFM. </w:t>
      </w:r>
    </w:p>
    <w:p w:rsidR="00000000" w:rsidDel="00000000" w:rsidP="00000000" w:rsidRDefault="00000000" w:rsidRPr="00000000" w14:paraId="000000D8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</w:t>
      </w: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mputer.org/education/bodies-of-knowledge/software-engineering" TargetMode="Externa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yperlink" Target="https://www.computer.org/education/bodies-of-knowledge/software-enginee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omputer.org/education/bodies-of-knowledge/software-engineering" TargetMode="External"/><Relationship Id="rId7" Type="http://schemas.openxmlformats.org/officeDocument/2006/relationships/hyperlink" Target="https://www.computer.org/education/bodies-of-knowledge/software-engineerin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