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11 — Modelos e Métodos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Models and Methods)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Backlog do Produto, Modelos Comportamentais e Método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15.0" w:type="dxa"/>
        <w:tblLayout w:type="fixed"/>
        <w:tblLook w:val="0400"/>
      </w:tblPr>
      <w:tblGrid>
        <w:gridCol w:w="1875"/>
        <w:gridCol w:w="1875"/>
        <w:gridCol w:w="1845"/>
        <w:gridCol w:w="1905"/>
        <w:gridCol w:w="1875"/>
        <w:tblGridChange w:id="0">
          <w:tblGrid>
            <w:gridCol w:w="1875"/>
            <w:gridCol w:w="1875"/>
            <w:gridCol w:w="1845"/>
            <w:gridCol w:w="1905"/>
            <w:gridCol w:w="1875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inicial do backlog e histórias de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da priorização MoSCoW e estimativas.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dos diagramas e início de tabela.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</w:tr>
      <w:tr>
        <w:trPr>
          <w:cantSplit w:val="0"/>
          <w:trHeight w:val="47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Consolidação final do documento.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Épicos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155"/>
        <w:gridCol w:w="2490"/>
        <w:gridCol w:w="5205"/>
        <w:tblGridChange w:id="0">
          <w:tblGrid>
            <w:gridCol w:w="1155"/>
            <w:gridCol w:w="2490"/>
            <w:gridCol w:w="52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Identidade e Acesso (IAM)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Abrange todo o controle de acesso baseado em papéis (RBAC), autenticação, autorização e trilha de auditoria para conformidade com a LGPD.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da Agenda 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Inclui o ciclo de vida do paciente (cadastro, prontuário administrativo) e a orquestração do agendamento de consultas, conflitos de horário e notificações.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Prontuário Eletrônico 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no núcleo clínico: registro de evolução, prescrição médica, solicitação de exames e a gestão do ciclo de vida do prontuário, incluindo estados de finalização e anonimização.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Relatórios e Inteligência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na extração de dados, geração de relatórios gerenciais e análise estatística de produtividade do consultório, respeitando a privacidade dos dados.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Conformidade e 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Épico transversal focado na gestão do ciclo de vida dos dados pessoais, incluindo o direito ao esquecimento, anonimização e portabilidade, conforme as políticas de segurança.</w:t>
            </w:r>
          </w:p>
        </w:tc>
      </w:tr>
    </w:tbl>
    <w:p w:rsidR="00000000" w:rsidDel="00000000" w:rsidP="00000000" w:rsidRDefault="00000000" w:rsidRPr="00000000" w14:paraId="0000004C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575.9480956141655"/>
        <w:gridCol w:w="757.0930611702336"/>
        <w:gridCol w:w="2248.055469977872"/>
        <w:gridCol w:w="1621.0152045914815"/>
        <w:gridCol w:w="2080.844732541501"/>
        <w:gridCol w:w="826.7642017687215"/>
        <w:gridCol w:w="1244.791045359648"/>
        <w:tblGridChange w:id="0">
          <w:tblGrid>
            <w:gridCol w:w="575.9480956141655"/>
            <w:gridCol w:w="757.0930611702336"/>
            <w:gridCol w:w="2248.055469977872"/>
            <w:gridCol w:w="1621.0152045914815"/>
            <w:gridCol w:w="2080.844732541501"/>
            <w:gridCol w:w="826.7642017687215"/>
            <w:gridCol w:w="1244.7910453596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História de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Critérios de Aceitação (Gherkin)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usuário do sistema, quero autenticar-me com minhas credenciais para acessar apenas as funcionalidades permitidas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RF-002, RF-003, RF-005, 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credenciais válidas; Quando realizo o login; Então devo acessar apenas os recursos autorizados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gerenciar usuários para controlar os acessos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RF-004, 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sou administrador; Quando cadastro, altero ou inativo um usuário; Então as permissões devem ser aplicadas e registradas em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cadastrar pacientes para iniciar seu atendimento no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o paciente não existe; Quando informo os dados obrigatórios e o consentimento LGPD; Então o cadastro deve ser realizado com sucesso.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atualizar e consultar dados de pacientes para manter os registros atualizados.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RF-009, RF-011, 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cadastrado; Quando realizo uma consulta ou alteração; Então as informações devem ser exibidas e as alterações registradas.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exportar e anonimizar dados de pacientes para atender às exigências da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RF-012, 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elegível; Quando solicito exportação ou anonimização; Então os dados devem ser processados conforme 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consultar horários disponíveis e agendar consultas para organizar a agenda médica.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RF-015, 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existe disponibilidade; Quando seleciono data e horário; Então a consulta deve ser criada sem conflitos.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cancelar ou reagendar consultas para manter a agenda atualizada.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RF-017, 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consulta existente; Quando realizo cancelamento ou reagendamento; Então o histórico deve ser mantido e as notificações enviadas.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 ou administrador, quero bloquear períodos da agenda para registrar indisponibilidades.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agenda ativa; Quando defino um período de bloqueio; Então nenhum novo agendamento deve ser permitido no intervalo informado.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consultar e registrar evoluções clínicas para manter o prontuário atualizado.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RF-021, RF-022, 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atendido; Quando registro uma evolução; Então o histórico clínico deve ser preservado e auditado.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anexar documentos e resultados clínicos ao prontuário para centralizar as informações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RF-024, RF-036, 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existente; Quando adiciono documentos ou exames; Então eles devem ficar vinculados e rastreáveis.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controlar o acesso, exportar e anonimizar prontuários para garantir segurança e conformidade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RF-025, RF-026, 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autorizado; Quando solicito exportação ou anonimização; Então o sistema deve respeitar as permissões e políticas de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emitir prescrições digitais para apoiar o tratamento dos pacientes.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RF-029, RF-030, RF-031, RF-032, RF-033, 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atendimento em andamento; Quando emito uma prescrição; Então ela deve ser validada, assinada e armazenada no histórico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solicitar e acompanhar exames para apoiar diagnósticos clínicos.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RF-035, RF-037, RF-038, 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em atendimento; Quando solicito ou consulto exames; Então os resultados devem estar protegidos e acessíveis apenas a usuários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visualizar dashboards e relatórios gerenciais para acompanhar o desempenho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RF-041, RF-042, RF-043, RF-044, RF-045, 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perfil administrativo; Quando solicito relatórios ou dashboards; Então devo visualizar indicadores e exportar informações autorizadas.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Priorização (MoSCoW ou Kano)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priorização seguiu o método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rtl w:val="0"/>
        </w:rPr>
        <w:t xml:space="preserve"> (Must have, Should have, Could have, Won't have), com estimativa de complexidade baseada na sequência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Fibonacci</w:t>
      </w:r>
      <w:r w:rsidDel="00000000" w:rsidR="00000000" w:rsidRPr="00000000">
        <w:rPr>
          <w:rFonts w:ascii="Arial" w:cs="Arial" w:eastAsia="Arial" w:hAnsi="Arial"/>
          <w:rtl w:val="0"/>
        </w:rPr>
        <w:t xml:space="preserve"> (1, 2, 3, 5, 8), refletindo o esforço relativo de implementação.</w:t>
      </w:r>
    </w:p>
    <w:p w:rsidR="00000000" w:rsidDel="00000000" w:rsidP="00000000" w:rsidRDefault="00000000" w:rsidRPr="00000000" w14:paraId="000000BD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620"/>
        <w:gridCol w:w="1650"/>
        <w:gridCol w:w="5595"/>
        <w:tblGridChange w:id="0">
          <w:tblGrid>
            <w:gridCol w:w="1620"/>
            <w:gridCol w:w="1650"/>
            <w:gridCol w:w="5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Essencial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sem as quais o sistema não possui utilidade clínica ou legal (ex: autenticação, prontuário, agendamento, anonimização básica para LGPD).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suporte que elevam a qualidade do atendimento, mas não impedem a operação básica (ex: relatórios gerenciais, busca avançada de pacientes).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Desejável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conveniência que melhoram a experiência do usuário (UX), mas cujo impacto na operação clínica é reduzido (ex: envio de SMS de lembrete de consulta).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Fora do Escopo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postergadas para versões futuras (ex: telemedicina completa com vídeo integrado ou integração com sistemas de laboratórios externos).</w:t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Estimativa de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escala Fibonacci (onde cada número é a soma dos dois anteriores) é utilizada para refletir o aumento da incerteza à medida que a complexidade da tarefa cresce.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(Simples):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triviais, sem dependências críticas, baixo esforço de implementação e teste (ex: criação de formulário básico de cadastro sem validações complexas).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(Baixa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bem compreendidas, com dependências mínimas (ex: implementação de um endpoint de listagem simples).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(Média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regras de negócio claras, mas que exigem integração com outros módulos (ex: validação de agendamento de consultas com verificação de conflitos).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(Alta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requisitos ambíguos ou alto risco técnico, exigindo modelagem detalhada ou integração complexa (ex: módulo de prontuário com histórico de evoluções e controle de estados).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 (Muito 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críticas, exigindo forte segurança e conformidade rigorosa (ex: processo de anonimização de dados pessoais para conformidade com LGPD).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 (Extrema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 que a tarefa precisa ser decomposta em histórias menores, pois o nível de incerteza é alto demais para uma estimativa segura.</w:t>
      </w:r>
    </w:p>
    <w:p w:rsidR="00000000" w:rsidDel="00000000" w:rsidP="00000000" w:rsidRDefault="00000000" w:rsidRPr="00000000" w14:paraId="000000D7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Diagrama de Atividade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Fluxo Completo de uma Consulta 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2038667" cy="319492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667" cy="3194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Fluxo de Agendamento de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3426114" cy="38903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114" cy="389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Diagramas de Estado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Ciclo de Vida do Prontuário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1767633" cy="341979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633" cy="341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Ciclo de Vida da Consulta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4753293" cy="42076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293" cy="4207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Método Formal / Semiformal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Método Escolhido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Método Escolhido: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Tabela de Decisão (Método Semiformal) integrada à especificação de invariantes de estado.</w:t>
      </w:r>
    </w:p>
    <w:p w:rsidR="00000000" w:rsidDel="00000000" w:rsidP="00000000" w:rsidRDefault="00000000" w:rsidRPr="00000000" w14:paraId="000000EA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controle de acesso ao Prontuário Eletrônico do Paciente (PEP) envolve múltiplas variáveis críticas (papel do usuário, estado do ciclo de vida do prontuário e validade da assinatura digital) que interagem diretamente com restrições legais da LGPD.</w:t>
      </w:r>
    </w:p>
    <w:p w:rsidR="00000000" w:rsidDel="00000000" w:rsidP="00000000" w:rsidRDefault="00000000" w:rsidRPr="00000000" w14:paraId="000000EB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escolha da Tabela de Decisão justifica-se por: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Mapeamento Exaustivo: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a análise de $100\%$ das combinações possíveis de condições, eliminando brechas de segurança ou caminhos não testados.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Ausência de Ambiguidade: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Diferente da especificação em linguagem natural, o método semiformal define uma única ação inequívoca para cada conjunto de regras, facilitando a validação e a implementação de testes automatizados.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o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Atende aos critérios do capítulo de Modelos e Métodos de Engenharia de Software para a verificação rigorosa de requisitos de alta integridade (segurança e privacidade de dados médicos).</w:t>
      </w:r>
    </w:p>
    <w:p w:rsidR="00000000" w:rsidDel="00000000" w:rsidP="00000000" w:rsidRDefault="00000000" w:rsidRPr="00000000" w14:paraId="000000E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Especificação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especificação utiliza a Tabela de Decisão para formalizar a lógica do controle de acesso baseado em papéis (RBAC) e o ciclo de vida dos dados (LGPD).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4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pertence a {Médico, Recepcionista, Administrador}:</w:t>
      </w:r>
      <w:r w:rsidDel="00000000" w:rsidR="00000000" w:rsidRPr="00000000">
        <w:rPr>
          <w:rFonts w:ascii="Arial" w:cs="Arial" w:eastAsia="Arial" w:hAnsi="Arial"/>
          <w:rtl w:val="0"/>
        </w:rPr>
        <w:t xml:space="preserve"> Papel do usuário requisitante.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pertence a {Em Edição, Finalizado, Arquivado, Dados Anonimizados}: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Estado atual do prontuário.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4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pertence a {Sim, Não, N/A}: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Presença de assinatura digital válida.</w:t>
      </w:r>
    </w:p>
    <w:p w:rsidR="00000000" w:rsidDel="00000000" w:rsidP="00000000" w:rsidRDefault="00000000" w:rsidRPr="00000000" w14:paraId="000000F6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370.5447537081122"/>
        <w:gridCol w:w="837.5551272660686"/>
        <w:gridCol w:w="1076.856592199231"/>
        <w:gridCol w:w="1370.5447537081122"/>
        <w:gridCol w:w="1348.7900750778247"/>
        <w:gridCol w:w="1283.5260391869622"/>
        <w:gridCol w:w="1076.856592199231"/>
        <w:gridCol w:w="989.837877678081"/>
        <w:tblGridChange w:id="0">
          <w:tblGrid>
            <w:gridCol w:w="1370.5447537081122"/>
            <w:gridCol w:w="837.5551272660686"/>
            <w:gridCol w:w="1076.856592199231"/>
            <w:gridCol w:w="1370.5447537081122"/>
            <w:gridCol w:w="1348.7900750778247"/>
            <w:gridCol w:w="1283.5260391869622"/>
            <w:gridCol w:w="1076.856592199231"/>
            <w:gridCol w:w="989.837877678081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Condições /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Qualquer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Qualquer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Qualquer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do Prontuário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Em Edição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Finalizado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Qualquer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Arquivado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Dados anonimizados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Finalizado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Qualquer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 Válida?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Ações /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Visualizar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Visualizar Dados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Editar / Inserir Evolução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Executar Anonimização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282.91015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36609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Bloqueio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ASSOCIAÇÃO BRASILEIRA DE NORMAS TÉCNICAS.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NBR 6023</w:t>
      </w:r>
      <w:r w:rsidDel="00000000" w:rsidR="00000000" w:rsidRPr="00000000">
        <w:rPr>
          <w:rFonts w:ascii="Arial" w:cs="Arial" w:eastAsia="Arial" w:hAnsi="Arial"/>
          <w:rtl w:val="0"/>
        </w:rPr>
        <w:t xml:space="preserve">: Informação e documentação: Referências: Elaboração. Rio de Janeiro: ABNT, 2018.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BOOCH, Grady; RUMBAUGH, James; JACOBSON, Ivar.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guia do usuário. 2. ed. Rio de Janeiro: Elsevier, 2006.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Disponível em: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COMPUTER SOCIETY.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SWEBOK v4.0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Guide to the Software Engineering Body of Knowledge. 4. ed. International Organization for Standardization, 2024.</w:t>
      </w:r>
    </w:p>
    <w:p w:rsidR="00000000" w:rsidDel="00000000" w:rsidP="00000000" w:rsidRDefault="00000000" w:rsidRPr="00000000" w14:paraId="0000014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planalto.gov.br/ccivil_03/_ato2015-2018/2018/lei/l13709.htm" TargetMode="External"/><Relationship Id="rId10" Type="http://schemas.openxmlformats.org/officeDocument/2006/relationships/hyperlink" Target="http://www.planalto.gov.br/ccivil_03/_ato2015-2018/2018/lei/l13709.htm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