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14 — Prática Profissional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(SE Professional 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Declaração de Ética, Análise Legal e Plano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Lucas</w:t>
            </w:r>
          </w:p>
        </w:tc>
      </w:tr>
    </w:tbl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Declaração de Ética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Princípios Éticos Aplicados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do Sistema de Gestão de Consultório Médico está subordinado aos princípios fundamentais estabelecidos pelo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de Ética da IEEE/ACM</w:t>
      </w:r>
      <w:r w:rsidDel="00000000" w:rsidR="00000000" w:rsidRPr="00000000">
        <w:rPr>
          <w:rFonts w:ascii="Arial" w:cs="Arial" w:eastAsia="Arial" w:hAnsi="Arial"/>
          <w:rtl w:val="0"/>
        </w:rPr>
        <w:t xml:space="preserve">, adaptados para a criticidade do domínio clínico. Estes princípios orientam as decisões técnicas para garantir que o software construído seja seguro aos direitos dos titulares dos dados.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4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Interesse Público: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software de gestão clínica deve atuar de forma a proteger a vida e a saúde dos pacientes, isso significa que a prioridade absoluta é a integridade e a disponibilidade dos dados clínicos. Um sistema indisponível ou com falhas de registro pode atrasar diagnósticos ou tratamentos, impactando diretamente o bem-estar do paciente. Portanto, a ética aplicada exige que priorizemos requisitos de alta disponibilidade e redundância de dados acima de funcionalidades de interface.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Integridade e Qualidade: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haver a aplicação rigorosa do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pois a </w:t>
      </w:r>
      <w:r w:rsidDel="00000000" w:rsidR="00000000" w:rsidRPr="00000000">
        <w:rPr>
          <w:rFonts w:ascii="Arial" w:cs="Arial" w:eastAsia="Arial" w:hAnsi="Arial"/>
          <w:rtl w:val="0"/>
        </w:rPr>
        <w:t xml:space="preserve">integridade de um prontuário eletrônico é funcional e jurídica. A conformidade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 impõe que os registros clínicos sejam imutáveis e auditáveis. Qualquer funcionalidade de edição ou exclusão de dados deve ser rastreável, garantindo que o médico seja o guardião ético da informação clínica, sob supervisão técnica da equipe de desenvolvimento.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da Privacidade: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princípio de privacidade da IEEE/ACM é reforçado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Lei Geral de Proteção de Dados (LGPD - Lei nº 13.709/2018)</w:t>
      </w:r>
      <w:r w:rsidDel="00000000" w:rsidR="00000000" w:rsidRPr="00000000">
        <w:rPr>
          <w:rFonts w:ascii="Arial" w:cs="Arial" w:eastAsia="Arial" w:hAnsi="Arial"/>
          <w:rtl w:val="0"/>
        </w:rPr>
        <w:t xml:space="preserve">. Dados de saúde são classificados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sensíveis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5º, II), assim a ética profissional significa aplicar criptografia avançada em repouso e em trânsito, garantir que apenas o médico e a equipe autorizada </w:t>
      </w:r>
      <w:r w:rsidDel="00000000" w:rsidR="00000000" w:rsidRPr="00000000">
        <w:rPr>
          <w:rFonts w:ascii="Arial" w:cs="Arial" w:eastAsia="Arial" w:hAnsi="Arial"/>
          <w:rtl w:val="0"/>
        </w:rPr>
        <w:t xml:space="preserve">tenham</w:t>
      </w:r>
      <w:r w:rsidDel="00000000" w:rsidR="00000000" w:rsidRPr="00000000">
        <w:rPr>
          <w:rFonts w:ascii="Arial" w:cs="Arial" w:eastAsia="Arial" w:hAnsi="Arial"/>
          <w:rtl w:val="0"/>
        </w:rPr>
        <w:t xml:space="preserve"> acesso ao prontuário, e assegurar que o paciente tenha pleno controle sobre a portabilidade de suas informações, conforme exige a lei.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20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Princípio de Colaboração: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desenvolvimento acadêmico em grupo exige que o compromisso com a ética se estenda à colaboração interna. A transparência no registro de decisões arquiteturais, o cumprimento dos prazos para revisões por pares e a honestidade no reporte de dívida técnica são reflexos da ética na prática profissional, preparando o grupo para a responsabilidade que o mercado de engenharia de software exige em projetos de missão crítica.</w:t>
      </w:r>
    </w:p>
    <w:p w:rsidR="00000000" w:rsidDel="00000000" w:rsidP="00000000" w:rsidRDefault="00000000" w:rsidRPr="00000000" w14:paraId="0000002F">
      <w:pPr>
        <w:spacing w:after="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Identificação dos Stakeholders e seus Interesses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identificação dos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considera os usuários diretos e os agentes reguladores que ditam as restrições de segurança e conformidade legal, essenciais para a operação em produção. A tabela a seguir organiza os stakeholders de acordo com seus papéis, interesses centrais e a forma como suas necessidades foram integradas ao escopo do projeto, garantindo o alinhamento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 14</w:t>
      </w:r>
      <w:r w:rsidDel="00000000" w:rsidR="00000000" w:rsidRPr="00000000">
        <w:rPr>
          <w:rFonts w:ascii="Arial" w:cs="Arial" w:eastAsia="Arial" w:hAnsi="Arial"/>
          <w:rtl w:val="0"/>
        </w:rPr>
        <w:t xml:space="preserve"> e as normativas vigentes.</w:t>
      </w:r>
    </w:p>
    <w:tbl>
      <w:tblPr>
        <w:tblStyle w:val="Table3"/>
        <w:tblW w:w="8850.0" w:type="dxa"/>
        <w:jc w:val="left"/>
        <w:tblLayout w:type="fixed"/>
        <w:tblLook w:val="0600"/>
      </w:tblPr>
      <w:tblGrid>
        <w:gridCol w:w="2025"/>
        <w:gridCol w:w="1545"/>
        <w:gridCol w:w="2595"/>
        <w:gridCol w:w="2685"/>
        <w:tblGridChange w:id="0">
          <w:tblGrid>
            <w:gridCol w:w="2025"/>
            <w:gridCol w:w="1545"/>
            <w:gridCol w:w="2595"/>
            <w:gridCol w:w="26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Interesse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Consideração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Médico(a)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Agilidade no registro clínico e segurança na emissão de prescrições.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prontuário com histórico clínico e suporte a prescrições digitais conforme normas do CFM.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Eficiência no agendamento e organização das consultas.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Módulo de agenda com travas de conflito e gestão centralizada de cadastros.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Usuário Interno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Visibilidade gerencial e controle de acesso ao sistema.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Painel de relatórios de produtividade e gestão de perfis de acesso (RBAC).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Titular dos Dados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Privacidade das informações e confidencialidade do histórico.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Aplicação estrita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Privacy by 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e garantia dos direitos de titular previstos na LGPD.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a Lei nº 13.709/2018 (LGPD).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de trilhas de auditoria imutáveis e mecanismos de portabilidade de dados.</w:t>
            </w:r>
          </w:p>
        </w:tc>
      </w:tr>
      <w:tr>
        <w:trPr>
          <w:cantSplit w:val="0"/>
          <w:trHeight w:val="2159.626464843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Conformidade com normas de prontuários eletrônicos (PEP).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Adesão à Resolução CFM nº 2.299/2021 quanto à integridade, segurança e guarda dos registros clínicos.</w:t>
            </w:r>
          </w:p>
        </w:tc>
      </w:tr>
    </w:tbl>
    <w:p w:rsidR="00000000" w:rsidDel="00000000" w:rsidP="00000000" w:rsidRDefault="00000000" w:rsidRPr="00000000" w14:paraId="0000004F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Análise de Dilemas 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1: Acesso ao histórico clínico por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equilibrar o direito à privacidade do paciente com a eventual necessidade de familiares acessarem o histórico clínico, ou a pressão comercial de seguradoras de saúde para obterem acesso a dados detalhados de diagnósticos para precificação de risco.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um lado, o interesse de familiares (cuidado/urgência) e o interesse comercial das seguradoras (análise de risco). De outro, o direito constitucional à privacidade e o sigilo médico, que protege o paciente contra exposições desnecessárias ou discriminação.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 controle de acesso baseado em papéis (RBAC) rigoroso. O acesso a terceiros é estritamente proibido sem consentimento expresso e documentado do titular (Art. 7º, I da LGPD). A arquitetura de dados garantirá que apenas o médico responsável tenha acesso ao prontuário. Caso o paciente deseje compartilhar informações, o sistema oferecerá uma função de "exportação segura" de extrato clínico, controlada pelo paciente, minimizando a exposição (Princípio da Minimização - Art. 6º, III, LGPD). </w:t>
      </w:r>
    </w:p>
    <w:p w:rsidR="00000000" w:rsidDel="00000000" w:rsidP="00000000" w:rsidRDefault="00000000" w:rsidRPr="00000000" w14:paraId="00000055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seguradora terá acesso apenas ao necessário para o reembolso, jamais ao histórico clínico completo.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6499"/>
          <w:sz w:val="22"/>
          <w:szCs w:val="22"/>
          <w:rtl w:val="0"/>
        </w:rPr>
        <w:t xml:space="preserve">Dilema 2: Retenção de dados após fim do vínculo com o consultório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Descrição do dilema: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deve ser o destino dos dados do paciente após o encerramento do contrato de prestação de serviço entre o consultório e a plataforma, ou após o paciente deixar de frequentar o consultório?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br w:type="textWrapping"/>
        <w:t xml:space="preserve">Posições em conflito: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necessidade de manter o histórico médico para fins de continuidade de cuidado e histórico legal (defesa em eventuais processos judiciais de erro médico) versus o direito ao esquecimento e à exclusão de dados desnecessários prevista na LGPD.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br w:type="textWrapping"/>
        <w:t xml:space="preserve">Resolução adotada e 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Adotaremos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política de guarda obrigatória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Conforme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o prontuário deve ser guardado por, no mínimo, 20 anos após o último registro. Assim, o sistema manterá os dados anonimizados ou em modo de "arquivo morto" (acesso restrito) após o encerramento do vínculo por tempo determinado pela legislação, cumprindo o dever de guarda documental. Após esse prazo, o sistema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disparará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um alerta para a exclusão definitiva ou anonimização total dos dados (Art. 15 da LGPD). A justificativa técnica é a prevalência do dever legal de guarda sobre o direito de exclusão, mitigando riscos jurídicos para o médico enquanto protege o paciente de exposições indevidas.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Acessibilidade como Dimensão Ética (WCAG 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Descreva como a acessibilidade foi considerada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Considerar a acessibilidade no design do SGCM é uma forma de garantir que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direito à saúde</w:t>
      </w:r>
      <w:r w:rsidDel="00000000" w:rsidR="00000000" w:rsidRPr="00000000">
        <w:rPr>
          <w:rFonts w:ascii="Arial" w:cs="Arial" w:eastAsia="Arial" w:hAnsi="Arial"/>
          <w:rtl w:val="0"/>
        </w:rPr>
        <w:t xml:space="preserve"> (art. 196 da Constituição Federal) seja exercido de maneira igualitária. Um sistema que é inacessível para um profissional com deficiência ou para um paciente cego que tenta acessar seus próprios resultados de exames é um sistema que falha em seu propósito social e ético. Integrar a WCAG 2.1 ao nosso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Definition of Done</w:t>
      </w:r>
      <w:r w:rsidDel="00000000" w:rsidR="00000000" w:rsidRPr="00000000">
        <w:rPr>
          <w:rFonts w:ascii="Arial" w:cs="Arial" w:eastAsia="Arial" w:hAnsi="Arial"/>
          <w:rtl w:val="0"/>
        </w:rPr>
        <w:t xml:space="preserve"> (KA 10) torna a acessibilidade uma métrica de qualidade inegociável, tal qual a conformidade com a LGPD.</w:t>
      </w:r>
    </w:p>
    <w:p w:rsidR="00000000" w:rsidDel="00000000" w:rsidP="00000000" w:rsidRDefault="00000000" w:rsidRPr="00000000" w14:paraId="0000005E">
      <w:pPr>
        <w:spacing w:after="20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isso, a implementação da acessibilidade é baseada em quatro pilares éticos e técnicos: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Perceptibilidade: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fornecer alternativas para todos os conteúdos não textuais. Isso inclui a obrigatoriedade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tags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texto alternativo para todos os elementos gráficos e ícones da interface. Além disso, o design de interface deve garantir um contraste de cores mínimo pelo padrão WCAG AA entre o texto e o fundo, evitando fadiga visual.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será totalmente navegável apenas por teclado, para contemplar profissionais que possuem limitações motoras e não utilizam mouse. Todos os fluxos essenciais devem ser alcançáveis através de atalhos e navegação lógica via teclas.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Compreensibilidade: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interface deve ser consistente, a fim de reduzir a carga cognitiva durante procedimentos de emergência. Utilizamos formulários com etiquetas claramente vinculadas aos campos de entrada, garantindo que leitores de tela identifiquem corretamente o propósito de cada input. O sistema fornecerá mensagens de erro claras e sugestões de correção caso um usuário insira um dado inválido, reduzindo a frustração e evitando erros médicos.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Robustez: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ser interpretado de forma confiável por tecnologias assistivas atuais e futuras, como leitores de tela, por meio da utillização de marcação HTML semântica. </w:t>
      </w:r>
    </w:p>
    <w:p w:rsidR="00000000" w:rsidDel="00000000" w:rsidP="00000000" w:rsidRDefault="00000000" w:rsidRPr="00000000" w14:paraId="00000063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Análise Legal e de Conformidade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LGPD — Lei nº 13.709/2018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Princípio da Necessidade e Minimização (Art. 6º, III)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tratamento de dados deve limitar-se ao mínimo necessário para a realização de suas finalidades, com abrangência dos dados pertinentes e proporcionais.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SGCM não deve solicitar informações irrelevantes para a prática médica. Isso se traduz no requisito de que campos de cadastro de pacientes sejam restritos ao essencial para o atendimento clínico e faturamento, com campos opcionais explicitamente marcados e justificados.</w:t>
      </w:r>
    </w:p>
    <w:p w:rsidR="00000000" w:rsidDel="00000000" w:rsidP="00000000" w:rsidRDefault="00000000" w:rsidRPr="00000000" w14:paraId="0000006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Segurança e Prevenção (Art. 6º, VII e Art. 46)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agentes de tratamento devem adotar medidas de segurança, técnicas e administrativas, aptas a proteger os dados pessoais de acessos não autorizados e de situações acidentais ou ilícitas de destruição, perda, alteração ou comunicação.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Reflete-se nos Requisitos Não Funcionais (RNFs)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. O sistema deve implementar criptografia de ponta a ponta (AES-256 em repouso e TLS 1.3 em trânsito) para todo o prontuário eletrônico. Adicionalmente, o controle de acesso (RBAC) garante que apenas o médico responsável tenha acesso ao conteúdo clínico.</w:t>
      </w:r>
    </w:p>
    <w:p w:rsidR="00000000" w:rsidDel="00000000" w:rsidP="00000000" w:rsidRDefault="00000000" w:rsidRPr="00000000" w14:paraId="0000006D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0"/>
          <w:iC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Direitos do Titular (Art. 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titular dos dados possui o direito de obter, mediante requisição, o acesso facilitado às informações sobre o tratamento de seus dados, bem como a portabilidade para outro fornecedor.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RF-10 (Solicitação de Portabilidade)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permite ao paciente exportar seu histórico clínico em formato estruturado (JSON ou PDF assinado) em um prazo máximo de 15 dias, garantindo a autonomia do paciente sobre seu histórico de saúde.</w:t>
      </w:r>
    </w:p>
    <w:p w:rsidR="00000000" w:rsidDel="00000000" w:rsidP="00000000" w:rsidRDefault="00000000" w:rsidRPr="00000000" w14:paraId="00000070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Transparência e Finalidade (Art. 6º, I e II)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O tratamento deve ter propósitos legítimos, específicos e informados ao titular.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No momento do cadastro do paciente, o sistema deve apresentar um termo de consentimento explícito, onde o paciente aceita o tratamento de seus dados especificamente para fins de atendimento médico, agendamento e emissão de receitas. Sem este aceite, o fluxo de agendamento é bloqueado.</w:t>
      </w:r>
    </w:p>
    <w:p w:rsidR="00000000" w:rsidDel="00000000" w:rsidP="00000000" w:rsidRDefault="00000000" w:rsidRPr="00000000" w14:paraId="00000073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Responsabilização e Prestação de Contas (Art. 6º, X)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Demonstração da adoção de medidas eficazes e capazes de comprovar a observância das normas de proteção de dados.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nos Requisitos: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O sistema deve manter um Log de Auditoria Imutável. Toda ação de leitura, inserção ou alteração em um prontuário eletrônico deve ser registrada com ID do usuário,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rtl w:val="0"/>
        </w:rPr>
        <w:t xml:space="preserve"> e tipo de operação. Este registro nunca pode ser apagado ou alterado, servindo como prova de conformidade em caso de auditorias da ANPD.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Resolução CFM nº 2.299/2021 — Prontuário Eletrônico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exige que sistemas de gestão clínica garantam a autenticidade, integridade, confidencialidade e rastreabilidade de toda a documentação médica digital. O sistema reflete esses requisitos através dos seguintes controles de engenharia:</w:t>
      </w:r>
    </w:p>
    <w:p w:rsidR="00000000" w:rsidDel="00000000" w:rsidP="00000000" w:rsidRDefault="00000000" w:rsidRPr="00000000" w14:paraId="00000079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Garantia da Autenticidade e Autoria (Certificação ICP-Brasil)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assegurar que a autoria dos documentos (prontuários, receitas) seja inquestionável.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implementa suporte nativo para assinaturas digitais baseadas em certificados emitidos pela ICP-Brasil. Cada entrada no PEP deve ser assinada digitalmente pelo médico responsável. O sistema armazena o hash da assinatura e a referência temporal, garantindo que o documento não possa ser repudiado.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Integridade e Imutabilidade (Trilha de Auditoria)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Os registros clínicos não podem ser alterados de forma a esconder a história do paciente. Correções devem ser feitas mediante um novo registro, mantendo o histórico original íntegro.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 de Auditoria Imutável</w:t>
      </w:r>
      <w:r w:rsidDel="00000000" w:rsidR="00000000" w:rsidRPr="00000000">
        <w:rPr>
          <w:rFonts w:ascii="Arial" w:cs="Arial" w:eastAsia="Arial" w:hAnsi="Arial"/>
          <w:rtl w:val="0"/>
        </w:rPr>
        <w:t xml:space="preserve">. Qualquer alteração em um registro clínico não sobrescreve o dado original; o sistema cria uma nova versão, vinculando-a à anterior através de uma cadeia de registros. O log registra o ID do profissional, a data/hora exata da alteração e o motivo, impedindo modificações sem o devido registro legal.</w:t>
      </w:r>
    </w:p>
    <w:p w:rsidR="00000000" w:rsidDel="00000000" w:rsidP="00000000" w:rsidRDefault="00000000" w:rsidRPr="00000000" w14:paraId="0000007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Confidencialidade e Controle de Acesso (RBAC)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 </w:t>
      </w:r>
      <w:r w:rsidDel="00000000" w:rsidR="00000000" w:rsidRPr="00000000">
        <w:rPr>
          <w:rFonts w:ascii="Arial" w:cs="Arial" w:eastAsia="Arial" w:hAnsi="Arial"/>
          <w:rtl w:val="0"/>
        </w:rPr>
        <w:t xml:space="preserve">A norma exige que apenas profissionais de saúde e pessoas autorizadas tenham acesso aos dados sensíveis do prontuário.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Aplicação estrita do modelo RBAC. O sistema distingue, por design, as responsabilidades: o médico possui acesso total aos dados sensíveis do PEP, enquanto a recepção possui acesso restrito apenas aos dados administrativos (agenda, cadastro de contatos), respeitando o princípio do privilégio mínimo.</w:t>
      </w:r>
    </w:p>
    <w:p w:rsidR="00000000" w:rsidDel="00000000" w:rsidP="00000000" w:rsidRDefault="00000000" w:rsidRPr="00000000" w14:paraId="00000082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Backup e Recuperação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prontuário deve estar disponível por, no mínimo, 20 anos, e o sistema deve garantir a guarda segura dos dados contra perdas.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arquitetura do SGCM prevê uma política de retenção de dados a longo prazo com redundância geográfica e backups diários criptografados. O sistema deve prever, na fase de encerramento do contrato de serviço (KA 07), mecanismos de migração ou extração completa dos dados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Data Portability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) para garantir que o consultório possa cumprir o prazo legal de guarda mesmo fora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Lei nº 12.842/2013 — Exercício da Medicina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Aspectos relevantes para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lei delimita o que constitui "ato médico", restringindo a prática de diagnósticos, prognósticos e prescrições terapêuticas exclusivamente aos médicos devidamente habilitados. </w:t>
      </w:r>
    </w:p>
    <w:p w:rsidR="00000000" w:rsidDel="00000000" w:rsidP="00000000" w:rsidRDefault="00000000" w:rsidRPr="00000000" w14:paraId="00000089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Delimitação de Competências Funcionais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Exigência: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Procedimentos como a indicação de tratamento, prescrição de medicamentos e o diagnóstico nosológico são atos privativos de médicos (Art. 4º).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garantir, via design de interface e permissões de sistema, que: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módulo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Prescrições (RF-005)</w:t>
      </w:r>
      <w:r w:rsidDel="00000000" w:rsidR="00000000" w:rsidRPr="00000000">
        <w:rPr>
          <w:rFonts w:ascii="Arial" w:cs="Arial" w:eastAsia="Arial" w:hAnsi="Arial"/>
          <w:rtl w:val="0"/>
        </w:rPr>
        <w:t xml:space="preserve"> seja acessível apenas ao perfil de usuário médico.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prontuário eletrônico possua trancas lógicas que impeçam que outros perfis (Administrador ou Recepcionista) alterem diagnósticos ou condutas terapêuticas.</w:t>
      </w:r>
    </w:p>
    <w:p w:rsidR="00000000" w:rsidDel="00000000" w:rsidP="00000000" w:rsidRDefault="00000000" w:rsidRPr="00000000" w14:paraId="0000008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  <w:rtl w:val="0"/>
        </w:rPr>
        <w:t xml:space="preserve">Responsabilidade sobre a Decisão Clínica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médico é o único responsável pela decisão diagnóstica e terapêutica. Sistemas de suporte à decisão são ferramentas de apoio, nunca substitutas.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Caso o sistema inclua funcionalidades de apoio à decisão, o design deve deixar claro que a responsabilidade final é do profissional médico. O sistema deve registrar, na auditoria (KA 13), que o médico validou e confirmou a conduta, protegendo o profissional contra a eventual falha do sistema ou má interpretação algorítmica.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pBdr>
          <w:left w:color="1a3c5e" w:space="4" w:sz="16" w:val="single"/>
        </w:pBdr>
        <w:spacing w:after="40" w:before="24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hd w:fill="d9d9d9" w:val="clear"/>
        </w:rPr>
      </w:pPr>
      <w:bookmarkStart w:colFirst="0" w:colLast="0" w:name="_s9cms5kmonsv" w:id="0"/>
      <w:bookmarkEnd w:id="0"/>
      <w:r w:rsidDel="00000000" w:rsidR="00000000" w:rsidRPr="00000000">
        <w:rPr>
          <w:rFonts w:ascii="Arial" w:cs="Arial" w:eastAsia="Arial" w:hAnsi="Arial"/>
          <w:color w:val="1a3c5e"/>
          <w:shd w:fill="d9d9d9" w:val="clear"/>
          <w:rtl w:val="0"/>
        </w:rPr>
        <w:t xml:space="preserve">3. Prescrição Terapêutica (Art. 4º, III, 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Obrigação: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prescrição terapêutica é um ato médico privativo.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Reflexão no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módulo de prescrição deve exigir, por contrato de design, a vinculação de um CRM válido ao usuário logado para que qualquer receituário (simples ou especial) seja assinado e gerado. O sistema deve validar a integridade da assinatura, garantindo que o documento gerado seja juridicamente válido conforme os padrões de assinatura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Plano de Comunicação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Canais e Ferramentas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estrutura de comunicação foi desenhada para separar 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(tomada de decisão urgente 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brainstorming</w:t>
      </w:r>
      <w:r w:rsidDel="00000000" w:rsidR="00000000" w:rsidRPr="00000000">
        <w:rPr>
          <w:rFonts w:ascii="Arial" w:cs="Arial" w:eastAsia="Arial" w:hAnsi="Arial"/>
          <w:rtl w:val="0"/>
        </w:rPr>
        <w:t xml:space="preserve">) do que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assíncrono</w:t>
      </w:r>
      <w:r w:rsidDel="00000000" w:rsidR="00000000" w:rsidRPr="00000000">
        <w:rPr>
          <w:rFonts w:ascii="Arial" w:cs="Arial" w:eastAsia="Arial" w:hAnsi="Arial"/>
          <w:rtl w:val="0"/>
        </w:rPr>
        <w:t xml:space="preserve"> (registro técnico, histórico de decisões e documentação de longo prazo), garantindo que nada se perca ao longo das 16 semanas.</w:t>
      </w:r>
    </w:p>
    <w:p w:rsidR="00000000" w:rsidDel="00000000" w:rsidP="00000000" w:rsidRDefault="00000000" w:rsidRPr="00000000" w14:paraId="00000098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Layout w:type="fixed"/>
        <w:tblLook w:val="0600"/>
      </w:tblPr>
      <w:tblGrid>
        <w:gridCol w:w="1845"/>
        <w:gridCol w:w="3345"/>
        <w:gridCol w:w="1950"/>
        <w:gridCol w:w="1695"/>
        <w:tblGridChange w:id="0">
          <w:tblGrid>
            <w:gridCol w:w="1845"/>
            <w:gridCol w:w="3345"/>
            <w:gridCol w:w="1950"/>
            <w:gridCol w:w="16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Canal / 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WhatsApp / 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Comunicação síncrona, reuniões formais de alinhamento, retrospectivas e inspeção por pares..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Quinzenal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Repositório central de conhecimento, definição de DoD, registro de atas e rascunhos de KAs.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Sob demanda</w:t>
            </w:r>
          </w:p>
        </w:tc>
      </w:tr>
      <w:tr>
        <w:trPr>
          <w:cantSplit w:val="0"/>
          <w:trHeight w:val="1403.7011718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Versionamento de código, controle de documentação técnica e gestão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Pull Requests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de SCM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  <w:tr>
        <w:trPr>
          <w:cantSplit w:val="0"/>
          <w:trHeight w:val="1247.7758789062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Guarda de arquivos brutos, planilhas orçamentárias e evidências de reuniões.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Equipe SQA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76" w:lineRule="auto"/>
              <w:jc w:val="both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Contínua</w:t>
            </w:r>
          </w:p>
        </w:tc>
      </w:tr>
    </w:tbl>
    <w:p w:rsidR="00000000" w:rsidDel="00000000" w:rsidP="00000000" w:rsidRDefault="00000000" w:rsidRPr="00000000" w14:paraId="000000AD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Frequência e Formato das Reuniões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Alinhamento Quinzenal: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 via  Discord, com duração máxima de 40 minutos. O objetivo é revisar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rtl w:val="0"/>
        </w:rPr>
        <w:t xml:space="preserve"> das entregas, analisar o cronograma da KA 09 e identificar riscos que possam impactar o prazo final.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Reunião de Inspeção por Pares: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Agendada conforme a conclusão de cada pacote de trabalho da EAP. É uma reunião de foco técnico, onde o autor do artefato apresenta o conteúdo e os revisores confrontam o documento com a checklist de qualidade (KA 12).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Retrospectivas: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Realizadas obrigatoriamente a cada 4 semanas (conforme o cronograma de macrociclos), visando a análise de causa raiz de problemas no processo de engenharia e a melhoria contínua dos artefatos.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3.3 Atas de Reunião</w:t>
      </w: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Layout w:type="fixed"/>
        <w:tblLook w:val="0600"/>
      </w:tblPr>
      <w:tblGrid>
        <w:gridCol w:w="2145"/>
        <w:gridCol w:w="6675"/>
        <w:tblGridChange w:id="0">
          <w:tblGrid>
            <w:gridCol w:w="214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76" w:lineRule="auto"/>
              <w:jc w:val="both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e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07/03/2026, às 20:00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Jasmine Alves, Ana Viganó, Lucas Heydt, Elian Baldasso, Davi Minati, Vitoria Vendausen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Definição do escopo (KA 01); </w:t>
            </w:r>
          </w:p>
          <w:p w:rsidR="00000000" w:rsidDel="00000000" w:rsidP="00000000" w:rsidRDefault="00000000" w:rsidRPr="00000000" w14:paraId="000000BF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Atribuição de papéis e responsabilidades (Matriz RACI); </w:t>
            </w:r>
          </w:p>
          <w:p w:rsidR="00000000" w:rsidDel="00000000" w:rsidP="00000000" w:rsidRDefault="00000000" w:rsidRPr="00000000" w14:paraId="000000C0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Conversa inicial sobre o fluxo de versionamento; </w:t>
            </w:r>
          </w:p>
          <w:p w:rsidR="00000000" w:rsidDel="00000000" w:rsidP="00000000" w:rsidRDefault="00000000" w:rsidRPr="00000000" w14:paraId="000000C1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Definição do cronograma inicial e riscos (KA 09).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Decisões Tomadas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O sistema será uma aplicação Web Responsiva focada em PEP, sem telemedicina nativa. </w:t>
            </w:r>
          </w:p>
          <w:p w:rsidR="00000000" w:rsidDel="00000000" w:rsidP="00000000" w:rsidRDefault="00000000" w:rsidRPr="00000000" w14:paraId="000000C4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 equipe adotou o rodízio de autores e revisores para todas as KAs para garantir domínio técnico coletivo. </w:t>
            </w:r>
          </w:p>
          <w:p w:rsidR="00000000" w:rsidDel="00000000" w:rsidP="00000000" w:rsidRDefault="00000000" w:rsidRPr="00000000" w14:paraId="000000C5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O versionamento seguirá o padrão v1.0, com versão final v2.0.</w:t>
            </w:r>
          </w:p>
          <w:p w:rsidR="00000000" w:rsidDel="00000000" w:rsidP="00000000" w:rsidRDefault="00000000" w:rsidRPr="00000000" w14:paraId="000000C6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5. O cronograma foi fixado em 16 semanas.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Pendências / Próximos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Jasmine deve consolidar o Plano de Projeto (KA 09) e a EAP. </w:t>
            </w:r>
          </w:p>
          <w:p w:rsidR="00000000" w:rsidDel="00000000" w:rsidP="00000000" w:rsidRDefault="00000000" w:rsidRPr="00000000" w14:paraId="000000C9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Ana deve iniciar o levantamento dos RFs (KA 01). </w:t>
            </w:r>
          </w:p>
          <w:p w:rsidR="00000000" w:rsidDel="00000000" w:rsidP="00000000" w:rsidRDefault="00000000" w:rsidRPr="00000000" w14:paraId="000000CA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Elian deve estruturar o esboço inicial da Arquitetura (SAD/KA 02).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Próxima 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15/03/2026, às 19:00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Assinatura do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6" w:val="single"/>
              <w:left w:color="c8daea" w:space="0" w:sz="6" w:val="single"/>
              <w:bottom w:color="c8daea" w:space="0" w:sz="6" w:val="single"/>
              <w:right w:color="c8daea" w:space="0" w:sz="6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Jasmine Masson Alves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Piscataway: IEEE Computer Society, 2024.</w:t>
      </w:r>
    </w:p>
    <w:p w:rsidR="00000000" w:rsidDel="00000000" w:rsidP="00000000" w:rsidRDefault="00000000" w:rsidRPr="00000000" w14:paraId="000000D3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 12207:2017.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engineering — Software life cycle processes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2017.</w:t>
      </w:r>
    </w:p>
    <w:p w:rsidR="00000000" w:rsidDel="00000000" w:rsidP="00000000" w:rsidRDefault="00000000" w:rsidRPr="00000000" w14:paraId="000000D4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 25010:2023.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Systems and software Quality Requirements and Evaluation (SQuaRE) — Product quality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International Organization for Standardization, 2023.</w:t>
      </w:r>
    </w:p>
    <w:p w:rsidR="00000000" w:rsidDel="00000000" w:rsidP="00000000" w:rsidRDefault="00000000" w:rsidRPr="00000000" w14:paraId="000000D5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Std 1028-2008.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IEEE Standard for Software Reviews and Audits</w:t>
      </w:r>
      <w:r w:rsidDel="00000000" w:rsidR="00000000" w:rsidRPr="00000000">
        <w:rPr>
          <w:rFonts w:ascii="Arial" w:cs="Arial" w:eastAsia="Arial" w:hAnsi="Arial"/>
          <w:rtl w:val="0"/>
        </w:rPr>
        <w:t xml:space="preserve">. Nova York: IEEE, 2008.</w:t>
      </w:r>
    </w:p>
    <w:p w:rsidR="00000000" w:rsidDel="00000000" w:rsidP="00000000" w:rsidRDefault="00000000" w:rsidRPr="00000000" w14:paraId="000000D6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W3C (World Wide Web Consortium).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Content Accessibility Guidelines (WCAG) 2.1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https://www.w3.org/TR/WCAG21/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13.709, de 14 de agosto de 2018.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Geral de Proteção de Dados Pessoais (LGPD)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http://www.planalto.gov.br/ccivil_03/_ato2015-2018/2018/lei/l13709.htm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Resolução CFM nº 2.299/2021. Brasília, DF: CFM, 2021.</w:t>
      </w:r>
    </w:p>
    <w:p w:rsidR="00000000" w:rsidDel="00000000" w:rsidP="00000000" w:rsidRDefault="00000000" w:rsidRPr="00000000" w14:paraId="000000D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Lei nº 12.842, de 10 de julho de 2013.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Dispõe sobre o exercício da Medicina</w:t>
      </w:r>
      <w:r w:rsidDel="00000000" w:rsidR="00000000" w:rsidRPr="00000000">
        <w:rPr>
          <w:rFonts w:ascii="Arial" w:cs="Arial" w:eastAsia="Arial" w:hAnsi="Arial"/>
          <w:rtl w:val="0"/>
        </w:rPr>
        <w:t xml:space="preserve">. Brasília, DF: Presidência da República.</w:t>
      </w:r>
    </w:p>
    <w:p w:rsidR="00000000" w:rsidDel="00000000" w:rsidP="00000000" w:rsidRDefault="00000000" w:rsidRPr="00000000" w14:paraId="000000DA">
      <w:pPr>
        <w:spacing w:after="4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planalto.gov.br/ccivil_03/_ato2015-2018/2018/lei/l13709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.org/TR/WCAG21/" TargetMode="External"/><Relationship Id="rId7" Type="http://schemas.openxmlformats.org/officeDocument/2006/relationships/hyperlink" Target="https://www.w3.org/TR/WCAG21/" TargetMode="External"/><Relationship Id="rId8" Type="http://schemas.openxmlformats.org/officeDocument/2006/relationships/hyperlink" Target="http://www.planalto.gov.br/ccivil_03/_ato2015-2018/2018/lei/l1370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