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6"/>
          <w:szCs w:val="26"/>
          <w:rtl w:val="0"/>
        </w:rPr>
        <w:t xml:space="preserve">ENGENHARIA DE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2"/>
          <w:szCs w:val="22"/>
          <w:rtl w:val="0"/>
        </w:rPr>
        <w:t xml:space="preserve">Disciplina: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0"/>
          <w:szCs w:val="40"/>
          <w:rtl w:val="0"/>
        </w:rPr>
        <w:t xml:space="preserve">KA 14 — Prática Profissional de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6"/>
          <w:szCs w:val="26"/>
          <w:rtl w:val="0"/>
        </w:rPr>
        <w:t xml:space="preserve">(SE Professional Practice)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30"/>
          <w:szCs w:val="30"/>
          <w:rtl w:val="0"/>
        </w:rPr>
        <w:t xml:space="preserve">Declaração de Ética, Análise Legal e Plano de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center"/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Instituição de 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UNOESC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Professor(a)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Odemir Moreira da Mata Jr.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Engenharia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Turma /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JBA620-6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Integrantes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 Clara Viganó Prestes de Oliveira, Davi Antônio Basotto Minati, Elian Baldasso Pereira Duarte, Jasmine Masson Alves, Lucas Eduardo Heydt, Vitória Aparecida Vendausen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Data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24/06/2026</w:t>
            </w:r>
          </w:p>
        </w:tc>
      </w:tr>
    </w:tbl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Histórico de Versões</w:t>
      </w: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Ind w:w="-115.0" w:type="dxa"/>
        <w:tblLayout w:type="fixed"/>
        <w:tblLook w:val="04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12/03/2026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Elaboração inicial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Lucas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15/03/2026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Ata 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Vitoria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12/04/2026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Ata 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17/05/2026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Ata 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Davi</w:t>
            </w:r>
          </w:p>
        </w:tc>
      </w:tr>
    </w:tbl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a3c5e" w:val="clear"/>
        <w:spacing w:after="120" w:before="280" w:lineRule="auto"/>
        <w:ind w:left="17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1. Declaração de Ética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1.1 Princípios Éticos Aplicados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20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desenvolvimento do Sistema de Gestão de Consultório Médico está subordinado aos princípios fundamentais estabelecidos pelo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Código de Ética da IEEE/ACM</w:t>
      </w:r>
      <w:r w:rsidDel="00000000" w:rsidR="00000000" w:rsidRPr="00000000">
        <w:rPr>
          <w:rFonts w:ascii="Arial" w:cs="Arial" w:eastAsia="Arial" w:hAnsi="Arial"/>
          <w:rtl w:val="0"/>
        </w:rPr>
        <w:t xml:space="preserve">, adaptados para a criticidade do domínio clínico. Estes princípios orientam as decisões técnicas para garantir que o software construído seja seguro aos direitos dos titulares dos dados.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40" w:before="20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Princípio de Interesse Público: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software de gestão clínica deve atuar de forma a proteger a vida e a saúde dos pacientes, isso significa que a prioridade absoluta é a integridade e a disponibilidade dos dados clínicos. Um sistema indisponível ou com falhas de registro pode atrasar diagnósticos ou tratamentos, impactando diretamente o bem-estar do paciente. Portanto, a ética aplicada exige que priorizemos requisitos de alta disponibilidade e redundância de dados acima de funcionalidades de interface.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before="20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Princípio de Integridade e Qualidade: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Deve haver a aplicação rigorosa do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Privacy by Design</w:t>
      </w:r>
      <w:r w:rsidDel="00000000" w:rsidR="00000000" w:rsidRPr="00000000">
        <w:rPr>
          <w:rFonts w:ascii="Arial" w:cs="Arial" w:eastAsia="Arial" w:hAnsi="Arial"/>
          <w:rtl w:val="0"/>
        </w:rPr>
        <w:t xml:space="preserve">, pois a </w:t>
      </w:r>
      <w:r w:rsidDel="00000000" w:rsidR="00000000" w:rsidRPr="00000000">
        <w:rPr>
          <w:rFonts w:ascii="Arial" w:cs="Arial" w:eastAsia="Arial" w:hAnsi="Arial"/>
          <w:rtl w:val="0"/>
        </w:rPr>
        <w:t xml:space="preserve">integridade de um prontuário eletrônico é funcional e jurídica. A conformidade com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Resolução CFM nº 2.299/2021</w:t>
      </w:r>
      <w:r w:rsidDel="00000000" w:rsidR="00000000" w:rsidRPr="00000000">
        <w:rPr>
          <w:rFonts w:ascii="Arial" w:cs="Arial" w:eastAsia="Arial" w:hAnsi="Arial"/>
          <w:rtl w:val="0"/>
        </w:rPr>
        <w:t xml:space="preserve"> impõe que os registros clínicos sejam imutáveis e auditáveis. Qualquer funcionalidade de edição ou exclusão de dados deve ser rastreável, garantindo que o médico seja o guardião ético da informação clínica, sob supervisão técnica da equipe de desenvolvimento.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before="20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Princípio da Privacidade: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O princípio de privacidade da IEEE/ACM é reforçado pela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Lei Geral de Proteção de Dados (LGPD - Lei nº 13.709/2018)</w:t>
      </w:r>
      <w:r w:rsidDel="00000000" w:rsidR="00000000" w:rsidRPr="00000000">
        <w:rPr>
          <w:rFonts w:ascii="Arial" w:cs="Arial" w:eastAsia="Arial" w:hAnsi="Arial"/>
          <w:rtl w:val="0"/>
        </w:rPr>
        <w:t xml:space="preserve">. Dados de saúde são classificados como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dados sensíveis</w:t>
      </w:r>
      <w:r w:rsidDel="00000000" w:rsidR="00000000" w:rsidRPr="00000000">
        <w:rPr>
          <w:rFonts w:ascii="Arial" w:cs="Arial" w:eastAsia="Arial" w:hAnsi="Arial"/>
          <w:rtl w:val="0"/>
        </w:rPr>
        <w:t xml:space="preserve"> (Art. 5º, II), assim a ética profissional significa aplicar criptografia avançada em repouso e em trânsito, garantir que apenas o médico e a equipe autorizada </w:t>
      </w:r>
      <w:r w:rsidDel="00000000" w:rsidR="00000000" w:rsidRPr="00000000">
        <w:rPr>
          <w:rFonts w:ascii="Arial" w:cs="Arial" w:eastAsia="Arial" w:hAnsi="Arial"/>
          <w:rtl w:val="0"/>
        </w:rPr>
        <w:t xml:space="preserve">tenham</w:t>
      </w:r>
      <w:r w:rsidDel="00000000" w:rsidR="00000000" w:rsidRPr="00000000">
        <w:rPr>
          <w:rFonts w:ascii="Arial" w:cs="Arial" w:eastAsia="Arial" w:hAnsi="Arial"/>
          <w:rtl w:val="0"/>
        </w:rPr>
        <w:t xml:space="preserve"> acesso ao prontuário, e assegurar que o paciente tenha pleno controle sobre a portabilidade de suas informações, conforme exige a lei.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before="20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Princípio de Colaboração: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desenvolvimento acadêmico em grupo exige que o compromisso com a ética se estenda à colaboração interna. A transparência no registro de decisões arquiteturais, o cumprimento dos prazos para revisões por pares e a honestidade no reporte de dívida técnica são reflexos da ética na prática profissional, preparando o grupo para a responsabilidade que o mercado de engenharia de software exige em projetos de missão crítica.</w:t>
      </w:r>
    </w:p>
    <w:p w:rsidR="00000000" w:rsidDel="00000000" w:rsidP="00000000" w:rsidRDefault="00000000" w:rsidRPr="00000000" w14:paraId="0000003E">
      <w:pPr>
        <w:spacing w:after="4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1.2 Identificação dos Stakeholders e seus Interesses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identificação dos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stakeholders</w:t>
      </w:r>
      <w:r w:rsidDel="00000000" w:rsidR="00000000" w:rsidRPr="00000000">
        <w:rPr>
          <w:rFonts w:ascii="Arial" w:cs="Arial" w:eastAsia="Arial" w:hAnsi="Arial"/>
          <w:rtl w:val="0"/>
        </w:rPr>
        <w:t xml:space="preserve"> considera os usuários diretos e os agentes reguladores que ditam as restrições de segurança e conformidade legal, essenciais para a operação em produção. A tabela a seguir organiza os stakeholders de acordo com seus papéis, interesses centrais e a forma como suas necessidades foram integradas ao escopo do projeto, garantindo o alinhamento com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KA 14</w:t>
      </w:r>
      <w:r w:rsidDel="00000000" w:rsidR="00000000" w:rsidRPr="00000000">
        <w:rPr>
          <w:rFonts w:ascii="Arial" w:cs="Arial" w:eastAsia="Arial" w:hAnsi="Arial"/>
          <w:rtl w:val="0"/>
        </w:rPr>
        <w:t xml:space="preserve"> e as normativas vigentes.</w:t>
      </w:r>
    </w:p>
    <w:tbl>
      <w:tblPr>
        <w:tblStyle w:val="Table3"/>
        <w:tblW w:w="8850.0" w:type="dxa"/>
        <w:jc w:val="left"/>
        <w:tblLayout w:type="fixed"/>
        <w:tblLook w:val="0600"/>
      </w:tblPr>
      <w:tblGrid>
        <w:gridCol w:w="2025"/>
        <w:gridCol w:w="1545"/>
        <w:gridCol w:w="2595"/>
        <w:gridCol w:w="2685"/>
        <w:tblGridChange w:id="0">
          <w:tblGrid>
            <w:gridCol w:w="2025"/>
            <w:gridCol w:w="1545"/>
            <w:gridCol w:w="2595"/>
            <w:gridCol w:w="26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Interesse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Consideração no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Médico(a)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Usuário Primário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Agilidade no registro clínico e segurança na emissão de prescrições.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Implementação de prontuário com histórico clínico e suporte a prescrições digitais conforme normas do CFM.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Recepcionista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Usuário Primário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Eficiência no agendamento e organização das consultas.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Módulo de agenda com travas de conflito e gestão centralizada de cadastros.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Usuário Interno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Visibilidade gerencial e controle de acesso ao sistema.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Painel de relatórios de produtividade e gestão de perfis de acesso (RBAC).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Titular dos Dados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Privacidade das informações e confidencialidade do histórico.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Aplicação estrita do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Privacy by Design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e garantia dos direitos de titular previstos na LGPD.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ANPD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Regulador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Conformidade com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a Lei nº 13.709/2018 (LGPD).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Implementação de trilhas de auditoria imutáveis e mecanismos de portabilidade de dados.</w:t>
            </w:r>
          </w:p>
        </w:tc>
      </w:tr>
      <w:tr>
        <w:trPr>
          <w:cantSplit w:val="0"/>
          <w:trHeight w:val="2159.6264648437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CFM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Regulador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Conformidade com normas de prontuários eletrônicos (PEP).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Adesão à Resolução CFM nº 2.299/2021 quanto à integridade, segurança e guarda dos registros clínicos.</w:t>
            </w:r>
          </w:p>
        </w:tc>
      </w:tr>
    </w:tbl>
    <w:p w:rsidR="00000000" w:rsidDel="00000000" w:rsidP="00000000" w:rsidRDefault="00000000" w:rsidRPr="00000000" w14:paraId="0000005E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1.3 Análise de Dilemas Éticos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6499"/>
          <w:sz w:val="22"/>
          <w:szCs w:val="22"/>
          <w:rtl w:val="0"/>
        </w:rPr>
        <w:t xml:space="preserve">Dilema 1: Acesso ao histórico clínico por terceiros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Descrição do dilema: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necessidade de equilibrar o direito à privacidade do paciente com a eventual necessidade de familiares acessarem o histórico clínico, ou a pressão comercial de seguradoras de saúde para obterem acesso a dados detalhados de diagnósticos para precificação de risco.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br w:type="textWrapping"/>
        <w:br w:type="textWrapping"/>
        <w:t xml:space="preserve">Posições em conflito: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 um lado, o interesse de familiares (cuidado/urgência) e o interesse comercial das seguradoras (análise de risco). De outro, o direito constitucional à privacidade e o sigilo médico, que protege o paciente contra exposições desnecessárias ou discriminação.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br w:type="textWrapping"/>
        <w:t xml:space="preserve">Resolução adotada e justificativa: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implementará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o controle de acesso baseado em papéis (RBAC) rigoroso. O acesso a terceiros é estritamente proibido sem consentimento expresso e documentado do titular (Art. 7º, I da LGPD). A arquitetura de dados garantirá que apenas o médico responsável tenha acesso ao prontuário. Caso o paciente deseje compartilhar informações, o sistema oferecerá uma função de "exportação segura" de extrato clínico, controlada pelo paciente, minimizando a exposição (Princípio da Minimização - Art. 6º, III, LGPD). </w:t>
      </w:r>
    </w:p>
    <w:p w:rsidR="00000000" w:rsidDel="00000000" w:rsidP="00000000" w:rsidRDefault="00000000" w:rsidRPr="00000000" w14:paraId="00000064">
      <w:pPr>
        <w:spacing w:after="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seguradora terá acesso apenas ao necessário para o reembolso, jamais ao histórico clínico completo.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6499"/>
          <w:sz w:val="22"/>
          <w:szCs w:val="22"/>
          <w:rtl w:val="0"/>
        </w:rPr>
        <w:t xml:space="preserve">Dilema 2: Retenção de dados após fim do vínculo com o consultório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Descrição do dilema: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Qual deve ser o destino dos dados do paciente após o encerramento do contrato de prestação de serviço entre o consultório e a plataforma, ou após o paciente deixar de frequentar o consultório?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br w:type="textWrapping"/>
        <w:br w:type="textWrapping"/>
        <w:t xml:space="preserve">Posições em conflito: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necessidade de manter o histórico médico para fins de continuidade de cuidado e histórico legal (defesa em eventuais processos judiciais de erro médico) versus o direito ao esquecimento e à exclusão de dados desnecessários prevista na LGPD.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br w:type="textWrapping"/>
        <w:t xml:space="preserve">Resolução adotada e justificativa: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Adotaremos 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política de guarda obrigatória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Conforme 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Resolução CFM nº 2.299/2021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o prontuário deve ser guardado por, no mínimo, 20 anos após o último registro. Assim, o sistema manterá os dados anonimizados ou em modo de "arquivo morto" (acesso restrito) após o encerramento do vínculo por tempo determinado pela legislação, cumprindo o dever de guarda documental. Após esse prazo, o sistema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disparará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um alerta para a exclusão definitiva ou anonimização total dos dados (Art. 15 da LGPD). A justificativa técnica é a prevalência do dever legal de guarda sobre o direito de exclusão, mitigando riscos jurídicos para o médico enquanto protege o paciente de exposições indevidas.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1.4 Acessibilidade como Dimensão Ética (WCAG 2.1)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Descreva como a acessibilidade foi considerada no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before="20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Considerar a acessibilidade no design do SGCM é uma forma de garantir que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direito à saúde</w:t>
      </w:r>
      <w:r w:rsidDel="00000000" w:rsidR="00000000" w:rsidRPr="00000000">
        <w:rPr>
          <w:rFonts w:ascii="Arial" w:cs="Arial" w:eastAsia="Arial" w:hAnsi="Arial"/>
          <w:rtl w:val="0"/>
        </w:rPr>
        <w:t xml:space="preserve"> (art. 196 da Constituição Federal) seja exercido de maneira igualitária. Um sistema que é inacessível para um profissional com deficiência ou para um paciente cego que tenta acessar seus próprios resultados de exames é um sistema que falha em seu propósito social e ético. Integrar a WCAG 2.1 ao nosso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Definition of Done</w:t>
      </w:r>
      <w:r w:rsidDel="00000000" w:rsidR="00000000" w:rsidRPr="00000000">
        <w:rPr>
          <w:rFonts w:ascii="Arial" w:cs="Arial" w:eastAsia="Arial" w:hAnsi="Arial"/>
          <w:rtl w:val="0"/>
        </w:rPr>
        <w:t xml:space="preserve"> (KA 10) torna a acessibilidade uma métrica de qualidade inegociável, tal qual a conformidade com a LGPD.</w:t>
      </w:r>
    </w:p>
    <w:p w:rsidR="00000000" w:rsidDel="00000000" w:rsidP="00000000" w:rsidRDefault="00000000" w:rsidRPr="00000000" w14:paraId="0000006D">
      <w:pPr>
        <w:spacing w:after="200" w:before="20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isso, a implementação da acessibilidade é baseada em quatro pilares éticos e técnicos: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20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Perceptibilidade: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fornecer alternativas para todos os conteúdos não textuais. Isso inclui a obrigatoriedade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tags</w:t>
      </w:r>
      <w:r w:rsidDel="00000000" w:rsidR="00000000" w:rsidRPr="00000000">
        <w:rPr>
          <w:rFonts w:ascii="Arial" w:cs="Arial" w:eastAsia="Arial" w:hAnsi="Arial"/>
          <w:rtl w:val="0"/>
        </w:rPr>
        <w:t xml:space="preserve"> de texto alternativo para todos os elementos gráficos e ícones da interface. Além disso, o design de interface deve garantir um contraste de cores mínimo pelo padrão WCAG AA entre o texto e o fundo, evitando fadiga visual.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Operabilidade: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SGCM será totalmente navegável apenas por teclado, para contemplar profissionais que possuem limitações motoras e não utilizam mouse. Todos os fluxos essenciais devem ser alcançáveis através de atalhos e navegação lógica via teclas.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Compreensibilidade: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A interface deve ser consistente, a fim de reduzir a carga cognitiva durante procedimentos de emergência. Utilizamos formulários com etiquetas claramente vinculadas aos campos de entrada, garantindo que leitores de tela identifiquem corretamente o propósito de cada input. O sistema fornecerá mensagens de erro claras e sugestões de correção caso um usuário insira um dado inválido, reduzindo a frustração e evitando erros médicos.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Robustez: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ser interpretado de forma confiável por tecnologias assistivas atuais e futuras, como leitores de tela, por meio da utillização de marcação HTML semântica. </w:t>
      </w:r>
    </w:p>
    <w:p w:rsidR="00000000" w:rsidDel="00000000" w:rsidP="00000000" w:rsidRDefault="00000000" w:rsidRPr="00000000" w14:paraId="00000072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a3c5e" w:val="clear"/>
        <w:spacing w:after="120" w:before="280" w:lineRule="auto"/>
        <w:ind w:left="17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2. Análise Legal e de Conformidade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2.1 LGPD — Lei nº 13.709/2018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Princípio da Necessidade e Minimização (Art. 6º, III)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tratamento de dados deve limitar-se ao mínimo necessário para a realização de suas finalidades, com abrangência dos dados pertinentes e proporcionais.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nos Requisitos: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SGCM não deve solicitar informações irrelevantes para a prática médica. Isso se traduz no requisito de que campos de cadastro de pacientes sejam restritos ao essencial para o atendimento clínico e faturamento, com campos opcionais explicitamente marcados e justificados.</w:t>
      </w:r>
    </w:p>
    <w:p w:rsidR="00000000" w:rsidDel="00000000" w:rsidP="00000000" w:rsidRDefault="00000000" w:rsidRPr="00000000" w14:paraId="00000079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Segurança e Prevenção (Art. 6º, VII e Art. 46)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Os agentes de tratamento devem adotar medidas de segurança, técnicas e administrativas, aptas a proteger os dados pessoais de acessos não autorizados e de situações acidentais ou ilícitas de destruição, perda, alteração ou comunicação.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nos Requisitos: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Reflete-se nos Requisitos Não Funcionais (RNFs)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Segurança</w:t>
      </w:r>
      <w:r w:rsidDel="00000000" w:rsidR="00000000" w:rsidRPr="00000000">
        <w:rPr>
          <w:rFonts w:ascii="Arial" w:cs="Arial" w:eastAsia="Arial" w:hAnsi="Arial"/>
          <w:rtl w:val="0"/>
        </w:rPr>
        <w:t xml:space="preserve">. O sistema deve implementar criptografia de ponta a ponta (AES-256 em repouso e TLS 1.3 em trânsito) para todo o prontuário eletrônico. Adicionalmente, o controle de acesso (RBAC) garante que apenas o médico responsável tenha acesso ao conteúdo clínico.</w:t>
      </w:r>
    </w:p>
    <w:p w:rsidR="00000000" w:rsidDel="00000000" w:rsidP="00000000" w:rsidRDefault="00000000" w:rsidRPr="00000000" w14:paraId="0000007C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Direitos do Titular (Art. 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titular dos dados possui o direito de obter, mediante requisição, o acesso facilitado às informações sobre o tratamento de seus dados, bem como a portabilidade para outro fornecedor.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nos Requisitos: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Implementação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RF-10 (Solicitação de Portabilidade)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permite ao paciente exportar seu histórico clínico em formato estruturado (JSON ou PDF assinado) em um prazo máximo de 15 dias, garantindo a autonomia do paciente sobre seu histórico de saúde.</w:t>
      </w:r>
    </w:p>
    <w:p w:rsidR="00000000" w:rsidDel="00000000" w:rsidP="00000000" w:rsidRDefault="00000000" w:rsidRPr="00000000" w14:paraId="0000007F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Transparência e Finalidade (Art. 6º, I e II)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 </w:t>
      </w:r>
      <w:r w:rsidDel="00000000" w:rsidR="00000000" w:rsidRPr="00000000">
        <w:rPr>
          <w:rFonts w:ascii="Arial" w:cs="Arial" w:eastAsia="Arial" w:hAnsi="Arial"/>
          <w:rtl w:val="0"/>
        </w:rPr>
        <w:t xml:space="preserve">O tratamento deve ter propósitos legítimos, específicos e informados ao titular.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nos Requisitos: </w:t>
      </w:r>
      <w:r w:rsidDel="00000000" w:rsidR="00000000" w:rsidRPr="00000000">
        <w:rPr>
          <w:rFonts w:ascii="Arial" w:cs="Arial" w:eastAsia="Arial" w:hAnsi="Arial"/>
          <w:rtl w:val="0"/>
        </w:rPr>
        <w:t xml:space="preserve">No momento do cadastro do paciente, o sistema deve apresentar um termo de consentimento explícito, onde o paciente aceita o tratamento de seus dados especificamente para fins de atendimento médico, agendamento e emissão de receitas. Sem este aceite, o fluxo de agendamento é bloqueado.</w:t>
      </w:r>
    </w:p>
    <w:p w:rsidR="00000000" w:rsidDel="00000000" w:rsidP="00000000" w:rsidRDefault="00000000" w:rsidRPr="00000000" w14:paraId="00000082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Responsabilização e Prestação de Contas (Art. 6º, X)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 </w:t>
      </w:r>
      <w:r w:rsidDel="00000000" w:rsidR="00000000" w:rsidRPr="00000000">
        <w:rPr>
          <w:rFonts w:ascii="Arial" w:cs="Arial" w:eastAsia="Arial" w:hAnsi="Arial"/>
          <w:rtl w:val="0"/>
        </w:rPr>
        <w:t xml:space="preserve">Demonstração da adoção de medidas eficazes e capazes de comprovar a observância das normas de proteção de dados.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nos Requisitos: </w:t>
      </w:r>
      <w:r w:rsidDel="00000000" w:rsidR="00000000" w:rsidRPr="00000000">
        <w:rPr>
          <w:rFonts w:ascii="Arial" w:cs="Arial" w:eastAsia="Arial" w:hAnsi="Arial"/>
          <w:rtl w:val="0"/>
        </w:rPr>
        <w:t xml:space="preserve">O sistema deve manter um Log de Auditoria Imutável. Toda ação de leitura, inserção ou alteração em um prontuário eletrônico deve ser registrada com ID do usuário,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timestamp</w:t>
      </w:r>
      <w:r w:rsidDel="00000000" w:rsidR="00000000" w:rsidRPr="00000000">
        <w:rPr>
          <w:rFonts w:ascii="Arial" w:cs="Arial" w:eastAsia="Arial" w:hAnsi="Arial"/>
          <w:rtl w:val="0"/>
        </w:rPr>
        <w:t xml:space="preserve"> e tipo de operação. Este registro nunca pode ser apagado ou alterado, servindo como prova de conformidade em caso de auditorias da ANPD.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2.2 Resolução CFM nº 2.299/2021 — Prontuário Eletrônico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norma exige que sistemas de gestão clínica garantam a autenticidade, integridade, confidencialidade e rastreabilidade de toda a documentação médica digital. O sistema reflete esses requisitos através dos seguintes controles de engenharia:</w:t>
      </w:r>
    </w:p>
    <w:p w:rsidR="00000000" w:rsidDel="00000000" w:rsidP="00000000" w:rsidRDefault="00000000" w:rsidRPr="00000000" w14:paraId="00000088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Garantia da Autenticidade e Autoria (Certificação ICP-Brasil)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Exigência: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assegurar que a autoria dos documentos (prontuários, receitas) seja inquestionável.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implementa suporte nativo para assinaturas digitais baseadas em certificados emitidos pela ICP-Brasil. Cada entrada no PEP deve ser assinada digitalmente pelo médico responsável. O sistema armazena o hash da assinatura e a referência temporal, garantindo que o documento não possa ser repudiado.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Integridade e Imutabilidade (Trilha de Auditoria)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Exigência: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Os registros clínicos não podem ser alterados de forma a esconder a história do paciente. Correções devem ser feitas mediante um novo registro, mantendo o histórico original íntegro.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Implementação de um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Log de Auditoria Imutável</w:t>
      </w:r>
      <w:r w:rsidDel="00000000" w:rsidR="00000000" w:rsidRPr="00000000">
        <w:rPr>
          <w:rFonts w:ascii="Arial" w:cs="Arial" w:eastAsia="Arial" w:hAnsi="Arial"/>
          <w:rtl w:val="0"/>
        </w:rPr>
        <w:t xml:space="preserve">. Qualquer alteração em um registro clínico não sobrescreve o dado original; o sistema cria uma nova versão, vinculando-a à anterior através de uma cadeia de registros. O log registra o ID do profissional, a data/hora exata da alteração e o motivo, impedindo modificações sem o devido registro legal.</w:t>
      </w:r>
    </w:p>
    <w:p w:rsidR="00000000" w:rsidDel="00000000" w:rsidP="00000000" w:rsidRDefault="00000000" w:rsidRPr="00000000" w14:paraId="0000008E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Confidencialidade e Controle de Acesso (RBAC)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Exigência: </w:t>
      </w:r>
      <w:r w:rsidDel="00000000" w:rsidR="00000000" w:rsidRPr="00000000">
        <w:rPr>
          <w:rFonts w:ascii="Arial" w:cs="Arial" w:eastAsia="Arial" w:hAnsi="Arial"/>
          <w:rtl w:val="0"/>
        </w:rPr>
        <w:t xml:space="preserve">A norma exige que apenas profissionais de saúde e pessoas autorizadas tenham acesso aos dados sensíveis do prontuário.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 </w:t>
      </w:r>
      <w:r w:rsidDel="00000000" w:rsidR="00000000" w:rsidRPr="00000000">
        <w:rPr>
          <w:rFonts w:ascii="Arial" w:cs="Arial" w:eastAsia="Arial" w:hAnsi="Arial"/>
          <w:rtl w:val="0"/>
        </w:rPr>
        <w:t xml:space="preserve">Aplicação estrita do modelo RBAC. O sistema distingue, por design, as responsabilidades: o médico possui acesso total aos dados sensíveis do PEP, enquanto a recepção possui acesso restrito apenas aos dados administrativos (agenda, cadastro de contatos), respeitando o princípio do privilégio mínimo.</w:t>
      </w:r>
    </w:p>
    <w:p w:rsidR="00000000" w:rsidDel="00000000" w:rsidP="00000000" w:rsidRDefault="00000000" w:rsidRPr="00000000" w14:paraId="00000091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Backup e Recuperação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Exigência: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prontuário deve estar disponível por, no mínimo, 20 anos, e o sistema deve garantir a guarda segura dos dados contra perdas.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A arquitetura do SGCM prevê uma política de retenção de dados a longo prazo com redundância geográfica e backups diários criptografados. O sistema deve prever, na fase de encerramento do contrato de serviço (KA 07), mecanismos de migração ou extração completa dos dados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Data Portability</w:t>
      </w:r>
      <w:r w:rsidDel="00000000" w:rsidR="00000000" w:rsidRPr="00000000">
        <w:rPr>
          <w:rFonts w:ascii="Arial" w:cs="Arial" w:eastAsia="Arial" w:hAnsi="Arial"/>
          <w:rtl w:val="0"/>
        </w:rPr>
        <w:t xml:space="preserve">) para garantir que o consultório possa cumprir o prazo legal de guarda mesmo fora da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2.3 Lei nº 12.842/2013 — Exercício da Medicina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Aspectos relevantes para 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lei delimita o que constitui "ato médico", restringindo a prática de diagnósticos, prognósticos e prescrições terapêuticas exclusivamente aos médicos devidamente habilitados. </w:t>
      </w:r>
    </w:p>
    <w:p w:rsidR="00000000" w:rsidDel="00000000" w:rsidP="00000000" w:rsidRDefault="00000000" w:rsidRPr="00000000" w14:paraId="00000098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Delimitação de Competências Funcionais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Exigência: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Procedimentos como a indicação de tratamento, prescrição de medicamentos e o diagnóstico nosológico são atos privativos de médicos (Art. 4º).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garantir, via design de interface e permissões de sistema, que: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módulo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Prescrições (RF-005)</w:t>
      </w:r>
      <w:r w:rsidDel="00000000" w:rsidR="00000000" w:rsidRPr="00000000">
        <w:rPr>
          <w:rFonts w:ascii="Arial" w:cs="Arial" w:eastAsia="Arial" w:hAnsi="Arial"/>
          <w:rtl w:val="0"/>
        </w:rPr>
        <w:t xml:space="preserve"> seja acessível apenas ao perfil de usuário médico.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240" w:before="0" w:before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prontuário eletrônico possua trancas lógicas que impeçam que outros perfis (Administrador ou Recepcionista) alterem diagnósticos ou condutas terapêuticas.</w:t>
      </w:r>
    </w:p>
    <w:p w:rsidR="00000000" w:rsidDel="00000000" w:rsidP="00000000" w:rsidRDefault="00000000" w:rsidRPr="00000000" w14:paraId="0000009D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Responsabilidade sobre a Decisão Clínica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médico é o único responsável pela decisão diagnóstica e terapêutica. Sistemas de suporte à decisão são ferramentas de apoio, nunca substitutas.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Caso o sistema inclua funcionalidades de apoio à decisão, o design deve deixar claro que a responsabilidade final é do profissional médico. O sistema deve registrar, na auditoria (KA 13), que o médico validou e confirmou a conduta, protegendo o profissional contra a eventual falha do sistema ou má interpretação algorítmica.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pBdr>
          <w:left w:color="1a3c5e" w:space="4" w:sz="16" w:val="single"/>
        </w:pBdr>
        <w:spacing w:after="40" w:before="24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bookmarkStart w:colFirst="0" w:colLast="0" w:name="_s9cms5kmonsv" w:id="0"/>
      <w:bookmarkEnd w:id="0"/>
      <w:r w:rsidDel="00000000" w:rsidR="00000000" w:rsidRPr="00000000">
        <w:rPr>
          <w:rFonts w:ascii="Arial" w:cs="Arial" w:eastAsia="Arial" w:hAnsi="Arial"/>
          <w:color w:val="1a3c5e"/>
          <w:shd w:fill="d9d9d9" w:val="clear"/>
          <w:rtl w:val="0"/>
        </w:rPr>
        <w:t xml:space="preserve">3. Prescrição Terapêutica (Art. 4º, III, "a")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A prescrição terapêutica é um ato médico privativo.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módulo de prescrição deve exigir, por contrato de design, a vinculação de um CRM válido ao usuário logado para que qualquer receituário (simples ou especial) seja assinado e gerado. O sistema deve validar a integridade da assinatura, garantindo que o documento gerado seja juridicamente válido conforme os padrões de assinatura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a3c5e" w:val="clear"/>
        <w:spacing w:after="120" w:before="280" w:lineRule="auto"/>
        <w:ind w:left="17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3. Plano de Comunicação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3.1 Canais e Ferramentas Utilizados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estrutura de comunicação foi desenhada para separar o que é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síncrono</w:t>
      </w:r>
      <w:r w:rsidDel="00000000" w:rsidR="00000000" w:rsidRPr="00000000">
        <w:rPr>
          <w:rFonts w:ascii="Arial" w:cs="Arial" w:eastAsia="Arial" w:hAnsi="Arial"/>
          <w:rtl w:val="0"/>
        </w:rPr>
        <w:t xml:space="preserve"> (tomada de decisão urgente 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brainstorming</w:t>
      </w:r>
      <w:r w:rsidDel="00000000" w:rsidR="00000000" w:rsidRPr="00000000">
        <w:rPr>
          <w:rFonts w:ascii="Arial" w:cs="Arial" w:eastAsia="Arial" w:hAnsi="Arial"/>
          <w:rtl w:val="0"/>
        </w:rPr>
        <w:t xml:space="preserve">) do que é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assíncrono</w:t>
      </w:r>
      <w:r w:rsidDel="00000000" w:rsidR="00000000" w:rsidRPr="00000000">
        <w:rPr>
          <w:rFonts w:ascii="Arial" w:cs="Arial" w:eastAsia="Arial" w:hAnsi="Arial"/>
          <w:rtl w:val="0"/>
        </w:rPr>
        <w:t xml:space="preserve"> (registro técnico, histórico de decisões e documentação de longo prazo), garantindo que nada se perca ao longo das 16 semanas.</w:t>
      </w:r>
    </w:p>
    <w:p w:rsidR="00000000" w:rsidDel="00000000" w:rsidP="00000000" w:rsidRDefault="00000000" w:rsidRPr="00000000" w14:paraId="000000A7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35.0" w:type="dxa"/>
        <w:jc w:val="left"/>
        <w:tblLayout w:type="fixed"/>
        <w:tblLook w:val="0600"/>
      </w:tblPr>
      <w:tblGrid>
        <w:gridCol w:w="1845"/>
        <w:gridCol w:w="3345"/>
        <w:gridCol w:w="1950"/>
        <w:gridCol w:w="1695"/>
        <w:tblGridChange w:id="0">
          <w:tblGrid>
            <w:gridCol w:w="1845"/>
            <w:gridCol w:w="3345"/>
            <w:gridCol w:w="1950"/>
            <w:gridCol w:w="169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Canal / 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Frequência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WhatsApp / Discord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Comunicação síncrona, reuniões formais de alinhamento, retrospectivas e inspeção por pares..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Todos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Quinzenal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Repositório central de conhecimento, definição de DoD, registro de atas e rascunhos de KAs.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Todos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Sob demanda</w:t>
            </w:r>
          </w:p>
        </w:tc>
      </w:tr>
      <w:tr>
        <w:trPr>
          <w:cantSplit w:val="0"/>
          <w:trHeight w:val="1403.70117187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Versionamento de código, controle de documentação técnica e gestão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Pull Requests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Equipe de SCM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Contínua</w:t>
            </w:r>
          </w:p>
        </w:tc>
      </w:tr>
      <w:tr>
        <w:trPr>
          <w:cantSplit w:val="0"/>
          <w:trHeight w:val="1247.7758789062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Google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Guarda de arquivos brutos, planilhas orçamentárias e evidências de reuniões.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Equipe SQA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Contínua</w:t>
            </w:r>
          </w:p>
        </w:tc>
      </w:tr>
    </w:tbl>
    <w:p w:rsidR="00000000" w:rsidDel="00000000" w:rsidP="00000000" w:rsidRDefault="00000000" w:rsidRPr="00000000" w14:paraId="000000BC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3.2 Frequência e Formato das Reuniões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Reunião de Alinhamento Quinzenal:</w:t>
      </w:r>
      <w:r w:rsidDel="00000000" w:rsidR="00000000" w:rsidRPr="00000000">
        <w:rPr>
          <w:rFonts w:ascii="Arial" w:cs="Arial" w:eastAsia="Arial" w:hAnsi="Arial"/>
          <w:rtl w:val="0"/>
        </w:rPr>
        <w:t xml:space="preserve"> Realizada via  Discord, com duração máxima de 40 minutos. O objetivo é revisar 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rtl w:val="0"/>
        </w:rPr>
        <w:t xml:space="preserve"> das entregas, analisar o cronograma da KA 09 e identificar riscos que possam impactar o prazo final.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Reunião de Inspeção por Pares:</w:t>
      </w:r>
      <w:r w:rsidDel="00000000" w:rsidR="00000000" w:rsidRPr="00000000">
        <w:rPr>
          <w:rFonts w:ascii="Arial" w:cs="Arial" w:eastAsia="Arial" w:hAnsi="Arial"/>
          <w:rtl w:val="0"/>
        </w:rPr>
        <w:t xml:space="preserve"> Agendada conforme a conclusão de cada pacote de trabalho da EAP. É uma reunião de foco técnico, onde o autor do artefato apresenta o conteúdo e os revisores confrontam o documento com a checklist de qualidade (KA 12).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Retrospectivas:</w:t>
      </w:r>
      <w:r w:rsidDel="00000000" w:rsidR="00000000" w:rsidRPr="00000000">
        <w:rPr>
          <w:rFonts w:ascii="Arial" w:cs="Arial" w:eastAsia="Arial" w:hAnsi="Arial"/>
          <w:rtl w:val="0"/>
        </w:rPr>
        <w:t xml:space="preserve"> Realizadas obrigatoriamente a cada 4 semanas (conforme o cronograma de macrociclos), visando a análise de causa raiz de problemas no processo de engenharia e a melhoria contínua dos artefatos.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3.3 Atas de Reunião</w:t>
      </w:r>
      <w:r w:rsidDel="00000000" w:rsidR="00000000" w:rsidRPr="00000000">
        <w:rPr>
          <w:rtl w:val="0"/>
        </w:rPr>
      </w:r>
    </w:p>
    <w:tbl>
      <w:tblPr>
        <w:tblStyle w:val="Table5"/>
        <w:tblW w:w="8820.0" w:type="dxa"/>
        <w:jc w:val="left"/>
        <w:tblLayout w:type="fixed"/>
        <w:tblLook w:val="0600"/>
      </w:tblPr>
      <w:tblGrid>
        <w:gridCol w:w="2145"/>
        <w:gridCol w:w="6675"/>
        <w:tblGridChange w:id="0">
          <w:tblGrid>
            <w:gridCol w:w="2145"/>
            <w:gridCol w:w="66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 e 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07/03/2026, às 20:00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Local /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DIscord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 Alves, Ana Viganó, Lucas Heydt, Elian Baldasso, Davi Minati, Vitoria Vendausen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Definição do escopo (KA 01); </w:t>
            </w:r>
          </w:p>
          <w:p w:rsidR="00000000" w:rsidDel="00000000" w:rsidP="00000000" w:rsidRDefault="00000000" w:rsidRPr="00000000" w14:paraId="000000CE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Atribuição de papéis e responsabilidades (Matriz RACI); </w:t>
            </w:r>
          </w:p>
          <w:p w:rsidR="00000000" w:rsidDel="00000000" w:rsidP="00000000" w:rsidRDefault="00000000" w:rsidRPr="00000000" w14:paraId="000000CF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Conversa inicial sobre o fluxo de versionamento; </w:t>
            </w:r>
          </w:p>
          <w:p w:rsidR="00000000" w:rsidDel="00000000" w:rsidP="00000000" w:rsidRDefault="00000000" w:rsidRPr="00000000" w14:paraId="000000D0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Definição do cronograma inicial e riscos (KA 09).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Decisões Tomadas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O sistema será uma aplicação Web Responsiva focada em PEP, sem telemedicina nativa. </w:t>
            </w:r>
          </w:p>
          <w:p w:rsidR="00000000" w:rsidDel="00000000" w:rsidP="00000000" w:rsidRDefault="00000000" w:rsidRPr="00000000" w14:paraId="000000D3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 equipe adotou o rodízio de autores e revisores para todas as KAs para garantir domínio técnico coletivo. </w:t>
            </w:r>
          </w:p>
          <w:p w:rsidR="00000000" w:rsidDel="00000000" w:rsidP="00000000" w:rsidRDefault="00000000" w:rsidRPr="00000000" w14:paraId="000000D4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O versionamento seguirá o padrão v1.0, com versão final v2.0.</w:t>
            </w:r>
          </w:p>
          <w:p w:rsidR="00000000" w:rsidDel="00000000" w:rsidP="00000000" w:rsidRDefault="00000000" w:rsidRPr="00000000" w14:paraId="000000D5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O cronograma foi fixado em 16 semanas.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Pendências / Próximos 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Jasmine deve consolidar o Plano de Projeto (KA 09) e a EAP. </w:t>
            </w:r>
          </w:p>
          <w:p w:rsidR="00000000" w:rsidDel="00000000" w:rsidP="00000000" w:rsidRDefault="00000000" w:rsidRPr="00000000" w14:paraId="000000D8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Ana deve iniciar o levantamento dos RFs (KA 01). </w:t>
            </w:r>
          </w:p>
          <w:p w:rsidR="00000000" w:rsidDel="00000000" w:rsidP="00000000" w:rsidRDefault="00000000" w:rsidRPr="00000000" w14:paraId="000000D9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Elian deve estruturar o esboço inicial da Arquitetura (SAD/KA 02).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Próxima Reunião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15/03/2026, às 19:00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Assinatura do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Jasmine Masson Alves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jc w:val="both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20.0" w:type="dxa"/>
        <w:jc w:val="left"/>
        <w:tblLayout w:type="fixed"/>
        <w:tblLook w:val="0600"/>
      </w:tblPr>
      <w:tblGrid>
        <w:gridCol w:w="2145"/>
        <w:gridCol w:w="6675"/>
        <w:tblGridChange w:id="0">
          <w:tblGrid>
            <w:gridCol w:w="2145"/>
            <w:gridCol w:w="66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 e 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15/03/2026, às 19:00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Local /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DIscord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 Alves, Ana Viganó, Lucas Heydt, Elian Baldasso, Davi Minati, Vitoria Vendausen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Revisão do levantamento inicial de requisitos (KA 01);</w:t>
            </w:r>
          </w:p>
          <w:p w:rsidR="00000000" w:rsidDel="00000000" w:rsidP="00000000" w:rsidRDefault="00000000" w:rsidRPr="00000000" w14:paraId="000000EA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Definição dos principais atores e casos de uso;</w:t>
            </w:r>
          </w:p>
          <w:p w:rsidR="00000000" w:rsidDel="00000000" w:rsidP="00000000" w:rsidRDefault="00000000" w:rsidRPr="00000000" w14:paraId="000000EB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Planejamento da arquitetura inicial (KA 02);</w:t>
            </w:r>
          </w:p>
          <w:p w:rsidR="00000000" w:rsidDel="00000000" w:rsidP="00000000" w:rsidRDefault="00000000" w:rsidRPr="00000000" w14:paraId="000000EC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Definição do padrão de documentação do projeto.</w:t>
            </w:r>
          </w:p>
        </w:tc>
      </w:tr>
      <w:tr>
        <w:trPr>
          <w:cantSplit w:val="0"/>
          <w:trHeight w:val="2310.820312499999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Decisões Tomadas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Foram aprovados os requisitos funcionais prioritários para autenticação, pacientes e agendamento.</w:t>
            </w:r>
          </w:p>
          <w:p w:rsidR="00000000" w:rsidDel="00000000" w:rsidP="00000000" w:rsidRDefault="00000000" w:rsidRPr="00000000" w14:paraId="000000EF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Definiu-se a utilização de UML para modelagem de casos de uso, classes e sequência.</w:t>
            </w:r>
          </w:p>
          <w:p w:rsidR="00000000" w:rsidDel="00000000" w:rsidP="00000000" w:rsidRDefault="00000000" w:rsidRPr="00000000" w14:paraId="000000F0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A arquitetura seguirá o padrão em camadas, priorizando modularização e segurança.</w:t>
            </w:r>
          </w:p>
          <w:p w:rsidR="00000000" w:rsidDel="00000000" w:rsidP="00000000" w:rsidRDefault="00000000" w:rsidRPr="00000000" w14:paraId="000000F1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Todos os documentos utilizarão um modelo padronizado contendo histórico de versões, referências e rastreabilidade.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Pendências / Próximos 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Finalizar a especificação dos requisitos.</w:t>
            </w:r>
          </w:p>
          <w:p w:rsidR="00000000" w:rsidDel="00000000" w:rsidP="00000000" w:rsidRDefault="00000000" w:rsidRPr="00000000" w14:paraId="000000F4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Iniciar os diagramas C4 e o SAD.</w:t>
            </w:r>
          </w:p>
          <w:p w:rsidR="00000000" w:rsidDel="00000000" w:rsidP="00000000" w:rsidRDefault="00000000" w:rsidRPr="00000000" w14:paraId="000000F5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Modelagem dos diagramas UML.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Próxima Reunião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12/04/2026, às 19:30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Assinatura do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Jasmine Masson Alves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20.0" w:type="dxa"/>
        <w:jc w:val="left"/>
        <w:tblLayout w:type="fixed"/>
        <w:tblLook w:val="0600"/>
      </w:tblPr>
      <w:tblGrid>
        <w:gridCol w:w="2145"/>
        <w:gridCol w:w="6675"/>
        <w:tblGridChange w:id="0">
          <w:tblGrid>
            <w:gridCol w:w="2145"/>
            <w:gridCol w:w="66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 e 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12/04/2026, às 19:30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Local /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DIscord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 Alves, Ana Viganó, Lucas Heydt, Elian Baldasso, Davi Minati, Vitoria Vendausen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Revisão da arquitetura proposta (KA 02);</w:t>
            </w:r>
          </w:p>
          <w:p w:rsidR="00000000" w:rsidDel="00000000" w:rsidP="00000000" w:rsidRDefault="00000000" w:rsidRPr="00000000" w14:paraId="00000106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Apresentação dos diagramas UML (KA 03);</w:t>
            </w:r>
          </w:p>
          <w:p w:rsidR="00000000" w:rsidDel="00000000" w:rsidP="00000000" w:rsidRDefault="00000000" w:rsidRPr="00000000" w14:paraId="00000107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Discussão do backlog, épicos e histórias de usuário (KA 11);</w:t>
            </w:r>
          </w:p>
          <w:p w:rsidR="00000000" w:rsidDel="00000000" w:rsidP="00000000" w:rsidRDefault="00000000" w:rsidRPr="00000000" w14:paraId="00000108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Planejamento do processo de desenvolvimento (KA 10).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Decisões Tomadas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Foi aprovada a arquitetura lógica do sistema e seus principais componentes.</w:t>
            </w:r>
          </w:p>
          <w:p w:rsidR="00000000" w:rsidDel="00000000" w:rsidP="00000000" w:rsidRDefault="00000000" w:rsidRPr="00000000" w14:paraId="0000010B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Os diagramas de classes e casos de uso serão refinados conforme os requisitos finais.</w:t>
            </w:r>
          </w:p>
          <w:p w:rsidR="00000000" w:rsidDel="00000000" w:rsidP="00000000" w:rsidRDefault="00000000" w:rsidRPr="00000000" w14:paraId="0000010C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A equipe adotará Scrum com Sprints de duas semanas.</w:t>
            </w:r>
          </w:p>
          <w:p w:rsidR="00000000" w:rsidDel="00000000" w:rsidP="00000000" w:rsidRDefault="00000000" w:rsidRPr="00000000" w14:paraId="0000010D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As histórias de usuário serão priorizadas utilizando a técnica MoSCoW e estimadas por Story Points utilizando Fibonacci.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Pendências / Próximos 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1.Diagramas UML.</w:t>
            </w:r>
          </w:p>
          <w:p w:rsidR="00000000" w:rsidDel="00000000" w:rsidP="00000000" w:rsidRDefault="00000000" w:rsidRPr="00000000" w14:paraId="00000110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2.Backlog do produto.</w:t>
            </w:r>
          </w:p>
          <w:p w:rsidR="00000000" w:rsidDel="00000000" w:rsidP="00000000" w:rsidRDefault="00000000" w:rsidRPr="00000000" w14:paraId="00000111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3.Modelagem BPMN do processo de desenvolvimento.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Próxima Reunião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17/05/2026, às 20:00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Assinatura do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Jasmine Masson Alves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20.0" w:type="dxa"/>
        <w:jc w:val="left"/>
        <w:tblLayout w:type="fixed"/>
        <w:tblLook w:val="0600"/>
      </w:tblPr>
      <w:tblGrid>
        <w:gridCol w:w="2145"/>
        <w:gridCol w:w="6675"/>
        <w:tblGridChange w:id="0">
          <w:tblGrid>
            <w:gridCol w:w="2145"/>
            <w:gridCol w:w="66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 e 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17/05/2026, às 20:00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Local /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DIscord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 Alves, Ana Viganó, Lucas Heydt, Elian Baldasso, Davi Minati, Vitoria Vendausen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Acompanhamento do andamento dos artefatos técnicos;</w:t>
            </w:r>
          </w:p>
          <w:p w:rsidR="00000000" w:rsidDel="00000000" w:rsidP="00000000" w:rsidRDefault="00000000" w:rsidRPr="00000000" w14:paraId="00000122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Revisão do Plano de Testes (KA 05);</w:t>
            </w:r>
          </w:p>
          <w:p w:rsidR="00000000" w:rsidDel="00000000" w:rsidP="00000000" w:rsidRDefault="00000000" w:rsidRPr="00000000" w14:paraId="00000123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Revisão do Plano de Qualidade (KA 12);</w:t>
            </w:r>
          </w:p>
          <w:p w:rsidR="00000000" w:rsidDel="00000000" w:rsidP="00000000" w:rsidRDefault="00000000" w:rsidRPr="00000000" w14:paraId="00000124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Avaliação da documentação de Segurança (KA 13) e Gerência de Configuração (KA 08).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Decisões Tomadas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Foi aprovada a estrutura inicial do Master Test Plan e da matriz de rastreabilidade.</w:t>
            </w:r>
          </w:p>
          <w:p w:rsidR="00000000" w:rsidDel="00000000" w:rsidP="00000000" w:rsidRDefault="00000000" w:rsidRPr="00000000" w14:paraId="00000127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Definiu-se a utilização do modelo GQM para definição das métricas de qualidade.</w:t>
            </w:r>
          </w:p>
          <w:p w:rsidR="00000000" w:rsidDel="00000000" w:rsidP="00000000" w:rsidRDefault="00000000" w:rsidRPr="00000000" w14:paraId="00000128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A equipe adotará a metodologia STRIDE para identificação de ameaças e os controles da OWASP ASVS como referência.</w:t>
            </w:r>
          </w:p>
          <w:p w:rsidR="00000000" w:rsidDel="00000000" w:rsidP="00000000" w:rsidRDefault="00000000" w:rsidRPr="00000000" w14:paraId="00000129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Foi validada a estratégia de versionamento baseada em Git Flow e baselines documentais.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Pendências / Próximos 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Finalizar os casos de teste.</w:t>
            </w:r>
          </w:p>
          <w:p w:rsidR="00000000" w:rsidDel="00000000" w:rsidP="00000000" w:rsidRDefault="00000000" w:rsidRPr="00000000" w14:paraId="0000012C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Concluir a análise de segurança.</w:t>
            </w:r>
          </w:p>
          <w:p w:rsidR="00000000" w:rsidDel="00000000" w:rsidP="00000000" w:rsidRDefault="00000000" w:rsidRPr="00000000" w14:paraId="0000012D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Revisar a documentação de configuração e implantação.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Próxima Reunião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17/05/2026, às 20:00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Assinatura do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Jasmine Masson Alves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Observações e Referências Consultadas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IEEE COMPUTER SOCIETY.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Guide to the Software Engineering Body of Knowledge (SWEBOK v4.0)</w:t>
      </w:r>
      <w:r w:rsidDel="00000000" w:rsidR="00000000" w:rsidRPr="00000000">
        <w:rPr>
          <w:rFonts w:ascii="Arial" w:cs="Arial" w:eastAsia="Arial" w:hAnsi="Arial"/>
          <w:rtl w:val="0"/>
        </w:rPr>
        <w:t xml:space="preserve">. Piscataway: IEEE Computer Society, 2024.</w:t>
      </w:r>
    </w:p>
    <w:p w:rsidR="00000000" w:rsidDel="00000000" w:rsidP="00000000" w:rsidRDefault="00000000" w:rsidRPr="00000000" w14:paraId="00000135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ISO/IEC/IEEE 12207:2017.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Systems and software engineering — Software life cycle processes</w:t>
      </w:r>
      <w:r w:rsidDel="00000000" w:rsidR="00000000" w:rsidRPr="00000000">
        <w:rPr>
          <w:rFonts w:ascii="Arial" w:cs="Arial" w:eastAsia="Arial" w:hAnsi="Arial"/>
          <w:rtl w:val="0"/>
        </w:rPr>
        <w:t xml:space="preserve">. Genebra: International Organization for Standardization, 2017.</w:t>
      </w:r>
    </w:p>
    <w:p w:rsidR="00000000" w:rsidDel="00000000" w:rsidP="00000000" w:rsidRDefault="00000000" w:rsidRPr="00000000" w14:paraId="00000136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 25010:2023.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Systems and software Quality Requirements and Evaluation (SQuaRE) — Product quality 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. Genebra: International Organization for Standardization, 2023.</w:t>
      </w:r>
    </w:p>
    <w:p w:rsidR="00000000" w:rsidDel="00000000" w:rsidP="00000000" w:rsidRDefault="00000000" w:rsidRPr="00000000" w14:paraId="00000137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IEEE Std 1028-2008.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IEEE Standard for Software Reviews and Audits</w:t>
      </w:r>
      <w:r w:rsidDel="00000000" w:rsidR="00000000" w:rsidRPr="00000000">
        <w:rPr>
          <w:rFonts w:ascii="Arial" w:cs="Arial" w:eastAsia="Arial" w:hAnsi="Arial"/>
          <w:rtl w:val="0"/>
        </w:rPr>
        <w:t xml:space="preserve">. Nova York: IEEE, 2008.</w:t>
      </w:r>
    </w:p>
    <w:p w:rsidR="00000000" w:rsidDel="00000000" w:rsidP="00000000" w:rsidRDefault="00000000" w:rsidRPr="00000000" w14:paraId="00000138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W3C (World Wide Web Consortium).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Web Content Accessibility Guidelines (WCAG) 2.1</w:t>
      </w:r>
      <w:r w:rsidDel="00000000" w:rsidR="00000000" w:rsidRPr="00000000">
        <w:rPr>
          <w:rFonts w:ascii="Arial" w:cs="Arial" w:eastAsia="Arial" w:hAnsi="Arial"/>
          <w:rtl w:val="0"/>
        </w:rPr>
        <w:t xml:space="preserve">. Disponível em:</w:t>
      </w:r>
      <w:hyperlink r:id="rId6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https://www.w3.org/TR/WCAG21/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39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BRASIL.</w:t>
      </w:r>
      <w:r w:rsidDel="00000000" w:rsidR="00000000" w:rsidRPr="00000000">
        <w:rPr>
          <w:rFonts w:ascii="Arial" w:cs="Arial" w:eastAsia="Arial" w:hAnsi="Arial"/>
          <w:rtl w:val="0"/>
        </w:rPr>
        <w:t xml:space="preserve"> Lei nº 13.709, de 14 de agosto de 2018.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Lei Geral de Proteção de Dados Pessoais (LGPD)</w:t>
      </w:r>
      <w:r w:rsidDel="00000000" w:rsidR="00000000" w:rsidRPr="00000000">
        <w:rPr>
          <w:rFonts w:ascii="Arial" w:cs="Arial" w:eastAsia="Arial" w:hAnsi="Arial"/>
          <w:rtl w:val="0"/>
        </w:rPr>
        <w:t xml:space="preserve">. Brasília, DF: Presidência da República. Disponível em:</w:t>
      </w:r>
      <w:hyperlink r:id="rId8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http://www.planalto.gov.br/ccivil_03/_ato2015-2018/2018/lei/l13709.htm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3A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CONSELHO FEDERAL DE MEDICINA (CFM).</w:t>
      </w:r>
      <w:r w:rsidDel="00000000" w:rsidR="00000000" w:rsidRPr="00000000">
        <w:rPr>
          <w:rFonts w:ascii="Arial" w:cs="Arial" w:eastAsia="Arial" w:hAnsi="Arial"/>
          <w:rtl w:val="0"/>
        </w:rPr>
        <w:t xml:space="preserve"> Resolução CFM nº 2.299/2021. Brasília, DF: CFM, 2021.</w:t>
      </w:r>
    </w:p>
    <w:p w:rsidR="00000000" w:rsidDel="00000000" w:rsidP="00000000" w:rsidRDefault="00000000" w:rsidRPr="00000000" w14:paraId="0000013B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BRASIL.</w:t>
      </w:r>
      <w:r w:rsidDel="00000000" w:rsidR="00000000" w:rsidRPr="00000000">
        <w:rPr>
          <w:rFonts w:ascii="Arial" w:cs="Arial" w:eastAsia="Arial" w:hAnsi="Arial"/>
          <w:rtl w:val="0"/>
        </w:rPr>
        <w:t xml:space="preserve"> Lei nº 12.842, de 10 de julho de 2013.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Dispõe sobre o exercício da Medicina</w:t>
      </w:r>
      <w:r w:rsidDel="00000000" w:rsidR="00000000" w:rsidRPr="00000000">
        <w:rPr>
          <w:rFonts w:ascii="Arial" w:cs="Arial" w:eastAsia="Arial" w:hAnsi="Arial"/>
          <w:rtl w:val="0"/>
        </w:rPr>
        <w:t xml:space="preserve">. Brasília, DF: Presidência da República.</w:t>
      </w:r>
    </w:p>
    <w:p w:rsidR="00000000" w:rsidDel="00000000" w:rsidP="00000000" w:rsidRDefault="00000000" w:rsidRPr="00000000" w14:paraId="0000013C">
      <w:pPr>
        <w:spacing w:after="40" w:before="2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planalto.gov.br/ccivil_03/_ato2015-2018/2018/lei/l13709.ht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w3.org/TR/WCAG21/" TargetMode="External"/><Relationship Id="rId7" Type="http://schemas.openxmlformats.org/officeDocument/2006/relationships/hyperlink" Target="https://www.w3.org/TR/WCAG21/" TargetMode="External"/><Relationship Id="rId8" Type="http://schemas.openxmlformats.org/officeDocument/2006/relationships/hyperlink" Target="http://www.planalto.gov.br/ccivil_03/_ato2015-2018/2018/lei/l13709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