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14 — Prática Profissional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Professional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Declaração de Ética, Análise Legal e Plano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  <w:tr>
        <w:trPr>
          <w:cantSplit w:val="0"/>
          <w:trHeight w:val="47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Ética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Princípios Éticos Aplicados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Sistema de Gestão de Consultório Médico está subordinado aos princípios fundamentais estabelecidos pelo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de Ética da IEEE/ACM</w:t>
      </w:r>
      <w:r w:rsidDel="00000000" w:rsidR="00000000" w:rsidRPr="00000000">
        <w:rPr>
          <w:rFonts w:ascii="Arial" w:cs="Arial" w:eastAsia="Arial" w:hAnsi="Arial"/>
          <w:rtl w:val="0"/>
        </w:rPr>
        <w:t xml:space="preserve">, adaptados para a criticidade do domínio clínico. Estes princípios orientam as decisões técnicas para garantir que o software construído seja seguro aos direitos dos titulares dos dados.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4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Interesse Público: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software de gestão clínica deve atuar de forma a proteger a vida e a saúde dos pacientes, isso significa que a prioridade absoluta é a integridade e a disponibilidade dos dados clínicos. Um sistema indisponível ou com falhas de registro pode atrasar diagnósticos ou tratamentos, impactando diretamente o bem-estar do paciente. Portanto, a ética aplicada exige que priorizemos requisitos de alta disponibilidade e redundância de dados acima de funcionalidades de interface.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Integridade 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haver a aplicação rigorosa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a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integridade de um prontuário eletrônico é funcional e jurídica. A conformidade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 impõe que os registros clínicos sejam imutáveis e auditáveis. Qualquer funcionalidade de edição ou exclusão de dados deve ser rastreável, garantindo que o médico seja o guardião ético da informação clínica, sob supervisão técnica da equipe de desenvolvimento.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da Privacidade: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princípio de privacidade da IEEE/ACM é reforçado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Geral de Proteção de Dados (LGPD - Lei nº 13.709/2018)</w:t>
      </w:r>
      <w:r w:rsidDel="00000000" w:rsidR="00000000" w:rsidRPr="00000000">
        <w:rPr>
          <w:rFonts w:ascii="Arial" w:cs="Arial" w:eastAsia="Arial" w:hAnsi="Arial"/>
          <w:rtl w:val="0"/>
        </w:rPr>
        <w:t xml:space="preserve">. Dados de saúde são classificados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5º, II), assim a ética profissional significa aplicar criptografia avançada em repouso e em trânsito, garantir que apenas o médico e a equipe autorizada </w:t>
      </w:r>
      <w:r w:rsidDel="00000000" w:rsidR="00000000" w:rsidRPr="00000000">
        <w:rPr>
          <w:rFonts w:ascii="Arial" w:cs="Arial" w:eastAsia="Arial" w:hAnsi="Arial"/>
          <w:rtl w:val="0"/>
        </w:rPr>
        <w:t xml:space="preserve">tenham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ao prontuário, e assegurar que o paciente tenha pleno controle sobre a portabilidade de suas informações, conforme exige a lei.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Colaboração: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acadêmico em grupo exige que o compromisso com a ética se estenda à colaboração interna. A transparência no registro de decisões arquiteturais, o cumprimento dos prazos para revisões por pares e a honestidade no reporte de dívida técnica são reflexos da ética na prática profissional, preparando o grupo para a responsabilidade que o mercado de engenharia de software exige em projetos de missão crítica.</w:t>
      </w:r>
    </w:p>
    <w:p w:rsidR="00000000" w:rsidDel="00000000" w:rsidP="00000000" w:rsidRDefault="00000000" w:rsidRPr="00000000" w14:paraId="00000043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Identificação dos Stakeholders e seus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 os usuários diretos e os agentes reguladores que ditam as restrições de segurança e conformidade legal, essenciais para a operação em produção. A tabela a seguir organiza os stakeholders de acordo com seus papéis, interesses centrais e a forma como suas necessidades foram integradas ao escopo do projeto, garantindo o alinhamento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e as normativas vigentes.</w:t>
      </w:r>
    </w:p>
    <w:tbl>
      <w:tblPr>
        <w:tblStyle w:val="Table3"/>
        <w:tblW w:w="8850.0" w:type="dxa"/>
        <w:jc w:val="left"/>
        <w:tblLayout w:type="fixed"/>
        <w:tblLook w:val="0600"/>
      </w:tblPr>
      <w:tblGrid>
        <w:gridCol w:w="2025"/>
        <w:gridCol w:w="1545"/>
        <w:gridCol w:w="2595"/>
        <w:gridCol w:w="2685"/>
        <w:tblGridChange w:id="0">
          <w:tblGrid>
            <w:gridCol w:w="2025"/>
            <w:gridCol w:w="1545"/>
            <w:gridCol w:w="2595"/>
            <w:gridCol w:w="26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Consideração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Médico(a)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Agilidade no registro clínico e segurança na emissão de prescrições.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prontuário com histórico clínico e suporte a prescrições digitais conforme normas do CFM.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Eficiência no agendamento e organização das consultas.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Módulo de agenda com travas de conflito e gestão centralizada de cadastros.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Interno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Visibilidade gerencial e controle de acesso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Painel de relatórios de produtividade e gestão de perfis de acesso (RBAC).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Titular dos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Privacidade das informações e confidencialidade do histórico.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Aplicação estrita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garantia dos direitos de titular previstos na LGPD.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Lei nº 13.709/2018 (LGPD).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trilhas de auditoria imutáveis e mecanismos de portabilidade de dados.</w:t>
            </w:r>
          </w:p>
        </w:tc>
      </w:tr>
      <w:tr>
        <w:trPr>
          <w:cantSplit w:val="0"/>
          <w:trHeight w:val="2159.626464843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 normas de prontuários eletrônicos (PEP).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Adesão à Resolução CFM nº 2.299/2021 quanto à integridade, segurança e guarda dos registros clínicos.</w:t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Análise de Dilemas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1: Acesso ao histórico clínico por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equilibrar o direito à privacidade do paciente com a eventual necessidade de familiares acessarem o histórico clínico, ou a pressão comercial de seguradoras de saúde para obterem acesso a dados detalhados de diagnósticos para precificação de risco.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um lado, o interesse de familiares (cuidado/urgência) e o interesse comercial das seguradoras (análise de risco). De outro, o direito constitucional à privacidade e o sigilo médico, que protege o paciente contra exposições desnecessárias ou discriminação.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 controle de acesso baseado em papéis (RBAC) rigoroso. O acesso a terceiros é estritamente proibido sem consentimento expresso e documentado do titular (Art. 7º, I da LGPD). A arquitetura de dados garantirá que apenas o médico responsável tenha acesso ao prontuário. Caso o paciente deseje compartilhar informações, o sistema oferecerá uma função de "exportação segura" de extrato clínico, controlada pelo paciente, minimizando a exposição (Princípio da Minimização - Art. 6º, III, LGPD). </w:t>
      </w:r>
    </w:p>
    <w:p w:rsidR="00000000" w:rsidDel="00000000" w:rsidP="00000000" w:rsidRDefault="00000000" w:rsidRPr="00000000" w14:paraId="00000069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seguradora terá acesso apenas ao necessário para o reembolso, jamais ao histórico clínico completo.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2: Retenção de dados após fim do vínculo com o consultório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deve ser o destino dos dados do paciente após o encerramento do contrato de prestação de serviço entre o consultório e a plataforma, ou após o paciente deixar de frequentar o consultório?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manter o histórico médico para fins de continuidade de cuidado e histórico legal (defesa em eventuais processos judiciais de erro médico) versus o direito ao esquecimento e à exclusão de dados desnecessários prevista na LGPD.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Adotaremos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política de guarda obrigatória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Conforme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o prontuário deve ser guardado por, no mínimo, 20 anos após o último registro. Assim, o sistema manterá os dados anonimizados ou em modo de "arquivo morto" (acesso restrito) após o encerramento do vínculo por tempo determinado pela legislação, cumprindo o dever de guarda documental. Após esse prazo, 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disparará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um alerta para a exclusão definitiva ou anonimização total dos dados (Art. 15 da LGPD). A justificativa técnica é a prevalência do dever legal de guarda sobre o direito de exclusão, mitigando riscos jurídicos para o médico enquanto protege o paciente de exposições indevidas.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Acessibilidade como Dimensão Ética (WCAG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Descreva como a acessibilidade foi considerada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Considerar a acessibilidade no design do SGCM é uma forma de garantir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direito à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196 da Constituição Federal) seja exercido de maneira igualitária. Um sistema que é inacessível para um profissional com deficiência ou para um paciente cego que tenta acessar seus próprios resultados de exames é um sistema que falha em seu propósito social e ético. Integrar a WCAG 2.1 ao nosso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rtl w:val="0"/>
        </w:rPr>
        <w:t xml:space="preserve"> (KA 10) torna a acessibilidade uma métrica de qualidade inegociável, tal qual a conformidade com a LGPD.</w:t>
      </w:r>
    </w:p>
    <w:p w:rsidR="00000000" w:rsidDel="00000000" w:rsidP="00000000" w:rsidRDefault="00000000" w:rsidRPr="00000000" w14:paraId="00000072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isso, a implementação da acessibilidade é baseada em quatro pilares éticos e técnicos: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Perceptibilidade: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fornecer alternativas para todos os conteúdos não textuais. Isso inclui a obrigatoriedade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texto alternativo para todos os elementos gráficos e ícones da interface. Além disso, o design de interface deve garantir um contraste de cores mínimo pelo padrão WCAG AA entre o texto e o fundo, evitando fadiga visual.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será totalmente navegável apenas por teclado, para contemplar profissionais que possuem limitações motoras e não utilizam mouse. Todos os fluxos essenciais devem ser alcançáveis através de atalhos e navegação lógica via teclas.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Compreensibilidade: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ser consistente, a fim de reduzir a carga cognitiva durante procedimentos de emergência. Utilizamos formulários com etiquetas claramente vinculadas aos campos de entrada, garantindo que leitores de tela identifiquem corretamente o propósito de cada input. O sistema fornecerá mensagens de erro claras e sugestões de correção caso um usuário insira um dado inválido, reduzindo a frustração e evitando erros médicos.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Robustez: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interpretado de forma confiável por tecnologias assistivas atuais e futuras, como leitores de tela, por meio da utillização de marcação HTML semântica. </w:t>
      </w:r>
    </w:p>
    <w:p w:rsidR="00000000" w:rsidDel="00000000" w:rsidP="00000000" w:rsidRDefault="00000000" w:rsidRPr="00000000" w14:paraId="0000007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Legal e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LGPD — Lei nº 13.709/2018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Princípio da Necessidade e Minimização (Art. 6º, 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deve limitar-se ao mínimo necessário para a realização de suas finalidades, com abrangência dos dados pertinentes e proporcionais.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não deve solicitar informações irrelevantes para a prática médica. Isso se traduz no requisito de que campos de cadastro de pacientes sejam restritos ao essencial para o atendimento clínico e faturamento, com campos opcionais explicitamente marcados e justificados.</w:t>
      </w:r>
    </w:p>
    <w:p w:rsidR="00000000" w:rsidDel="00000000" w:rsidP="00000000" w:rsidRDefault="00000000" w:rsidRPr="00000000" w14:paraId="0000007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Segurança e Prevenção (Art. 6º, VII e Art. 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agentes de tratamento devem adotar medidas de segurança, técnicas e administrativas, aptas a proteger os dados pessoais de acessos não autorizados e de situações acidentais ou ilícitas de destruição, perda, alteração ou comunicação.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Reflete-se nos Requisitos Não Funcionais (RNFs)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O sistema deve implementar criptografia de ponta a ponta (AES-256 em repouso e TLS 1.3 em trânsito) para todo o prontuário eletrônico. Adicionalmente, o controle de acesso (RBAC) garante que apenas o médico responsável tenha acesso ao conteúdo clínico.</w:t>
      </w:r>
    </w:p>
    <w:p w:rsidR="00000000" w:rsidDel="00000000" w:rsidP="00000000" w:rsidRDefault="00000000" w:rsidRPr="00000000" w14:paraId="0000008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Direitos do Titular (Art.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titular dos dados possui o direito de obter, mediante requisição, o acesso facilitado às informações sobre o tratamento de seus dados, bem como a portabilidade para outro fornecedor.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RF-10 (Solicitação de Portabilidade)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permite ao paciente exportar seu histórico clínico em formato estruturado (JSON ou PDF assinado) em um prazo máximo de 15 dias, garantindo a autonomia do paciente sobre seu histórico de saúde.</w:t>
      </w:r>
    </w:p>
    <w:p w:rsidR="00000000" w:rsidDel="00000000" w:rsidP="00000000" w:rsidRDefault="00000000" w:rsidRPr="00000000" w14:paraId="0000008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Transparência e Finalidade (Art. 6º, I e II)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O tratamento deve ter propósitos legítimos, específicos e informados ao titular.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No momento do cadastro do paciente, o sistema deve apresentar um termo de consentimento explícito, onde o paciente aceita o tratamento de seus dados especificamente para fins de atendimento médico, agendamento e emissão de receitas. Sem este aceite, o fluxo de agendamento é bloqueado.</w:t>
      </w:r>
    </w:p>
    <w:p w:rsidR="00000000" w:rsidDel="00000000" w:rsidP="00000000" w:rsidRDefault="00000000" w:rsidRPr="00000000" w14:paraId="0000008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Responsabilização e Prestação de Contas (Art. 6º, X)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Demonstração da adoção de medidas eficazes e capazes de comprovar a observância das normas de proteção de dados.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um Log de Auditoria Imutável. Toda ação de leitura, inserção ou alteração em um prontuário eletrônico deve ser registrada com ID do usuário,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 e tipo de operação. Este registro nunca pode ser apagado ou alterado, servindo como prova de conformidade em caso de auditorias da ANPD.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Resolução CFM nº 2.299/2021 — Prontuário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exige que sistemas de gestão clínica garantam a autenticidade, integridade, confidencialidade e rastreabilidade de toda a documentação médica digital. O sistema reflete esses requisitos através dos seguintes controles de engenharia:</w:t>
      </w:r>
    </w:p>
    <w:p w:rsidR="00000000" w:rsidDel="00000000" w:rsidP="00000000" w:rsidRDefault="00000000" w:rsidRPr="00000000" w14:paraId="0000008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Garantia da Autenticidade e Autoria (Certificação ICP-Brasil)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assegurar que a autoria dos documentos (prontuários, receitas) seja inquestionável.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implementa suporte nativo para assinaturas digitais baseadas em certificados emitidos pela ICP-Brasil. Cada entrada no PEP deve ser assinada digitalmente pelo médico responsável. O sistema armazena o hash da assinatura e a referência temporal, garantindo que o documento não possa ser repudiado.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Integridade e Imutabilidade (Trilha de Auditoria)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registros clínicos não podem ser alterados de forma a esconder a história do paciente. Correções devem ser feitas mediante um novo registro, mantendo o histórico original íntegro.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 de Auditoria Imutável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. Qualquer alteração em um registro clínico não sobrescreve o dado original; o sistema cria uma nova versão, vinculando-a à anterior através de uma cadeia de registros. O log registra o ID do profissional, a data/hora exata da alteração e o motivo, impedindo modificações sem o devido registro legal.</w:t>
      </w:r>
    </w:p>
    <w:p w:rsidR="00000000" w:rsidDel="00000000" w:rsidP="00000000" w:rsidRDefault="00000000" w:rsidRPr="00000000" w14:paraId="0000009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Confidencialidade e Controle de Acesso (RBAC)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 </w:t>
      </w:r>
      <w:r w:rsidDel="00000000" w:rsidR="00000000" w:rsidRPr="00000000">
        <w:rPr>
          <w:rFonts w:ascii="Arial" w:cs="Arial" w:eastAsia="Arial" w:hAnsi="Arial"/>
          <w:rtl w:val="0"/>
        </w:rPr>
        <w:t xml:space="preserve">A norma exige que apenas profissionais de saúde e pessoas autorizadas tenham acesso aos dados sensíveis do prontuário.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Aplicação estrita do modelo RBAC. O sistema distingue, por design, as responsabilidades: o médico possui acesso total aos dados sensíveis do PEP, enquanto a recepção possui acesso restrito apenas aos dados administrativos (agenda, cadastro de contatos), respeitando o princípio do privilégio mínimo.</w:t>
      </w:r>
    </w:p>
    <w:p w:rsidR="00000000" w:rsidDel="00000000" w:rsidP="00000000" w:rsidRDefault="00000000" w:rsidRPr="00000000" w14:paraId="0000009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Backup e Recuperação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prontuário deve estar disponível por, no mínimo, 20 anos, e o sistema deve garantir a guarda segura dos dados contra perdas.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arquitetura do SGCM prevê uma política de retenção de dados a longo prazo com redundância geográfica e backups diários criptografados. O sistema deve prever, na fase de encerramento do contrato de serviço (KA 07), mecanismos de migração ou extração completa dos dados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Portability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garantir que o consultório possa cumprir o prazo legal de guarda mesmo fora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Lei nº 12.842/2013 — Exercício da Medicina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Aspectos relevantes para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lei delimita o que constitui "ato médico", restringindo a prática de diagnósticos, prognósticos e prescrições terapêuticas exclusivamente aos médicos devidamente habilitados. </w:t>
      </w:r>
    </w:p>
    <w:p w:rsidR="00000000" w:rsidDel="00000000" w:rsidP="00000000" w:rsidRDefault="00000000" w:rsidRPr="00000000" w14:paraId="0000009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Delimitação de Competências Funcionais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Procedimentos como a indicação de tratamento, prescrição de medicamentos e o diagnóstico nosológico são atos privativos de médicos (Art. 4º).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garantir, via design de interface e permissões de sistema, que: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Prescrições (RF-005)</w:t>
      </w:r>
      <w:r w:rsidDel="00000000" w:rsidR="00000000" w:rsidRPr="00000000">
        <w:rPr>
          <w:rFonts w:ascii="Arial" w:cs="Arial" w:eastAsia="Arial" w:hAnsi="Arial"/>
          <w:rtl w:val="0"/>
        </w:rPr>
        <w:t xml:space="preserve"> seja acessível apenas ao perfil de usuário médico.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prontuário eletrônico possua trancas lógicas que impeçam que outros perfis (Administrador ou Recepcionista) alterem diagnósticos ou condutas terapêuticas.</w:t>
      </w:r>
    </w:p>
    <w:p w:rsidR="00000000" w:rsidDel="00000000" w:rsidP="00000000" w:rsidRDefault="00000000" w:rsidRPr="00000000" w14:paraId="000000A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Responsabilidade sobre a Decisão Clínica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médico é o único responsável pela decisão diagnóstica e terapêutica. Sistemas de suporte à decisão são ferramentas de apoio, nunca substitutas.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Caso o sistema inclua funcionalidades de apoio à decisão, o design deve deixar claro que a responsabilidade final é do profissional médico. O sistema deve registrar, na auditoria (KA 13), que o médico validou e confirmou a conduta, protegendo o profissional contra a eventual falha do sistema ou má interpretação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pBdr>
          <w:left w:color="1a3c5e" w:space="4" w:sz="16" w:val="single"/>
        </w:pBdr>
        <w:spacing w:after="40" w:before="24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bookmarkStart w:colFirst="0" w:colLast="0" w:name="_s9cms5kmonsv" w:id="0"/>
      <w:bookmarkEnd w:id="0"/>
      <w:r w:rsidDel="00000000" w:rsidR="00000000" w:rsidRPr="00000000">
        <w:rPr>
          <w:rFonts w:ascii="Arial" w:cs="Arial" w:eastAsia="Arial" w:hAnsi="Arial"/>
          <w:color w:val="1a3c5e"/>
          <w:shd w:fill="d9d9d9" w:val="clear"/>
          <w:rtl w:val="0"/>
        </w:rPr>
        <w:t xml:space="preserve">3. Prescrição Terapêutica (Art. 4º, III, 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prescrição terapêutica é um ato médico privativo.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prescrição deve exigir, por contrato de design, a vinculação de um CRM válido ao usuário logado para que qualquer receituário (simples ou especial) seja assinado e gerado. O sistema deve validar a integridade da assinatura, garantindo que o documento gerado seja juridicamente válido conforme os padrões de assinatura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Plano de Comunicação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Canais e Ferramentas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de comunicação foi desenhada para separar 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(tomada de decisão urgente 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brainstorming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do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(registro técnico, histórico de decisões e documentação de longo prazo), garantindo que nada se perca ao longo das 16 semanas.</w:t>
      </w:r>
    </w:p>
    <w:p w:rsidR="00000000" w:rsidDel="00000000" w:rsidP="00000000" w:rsidRDefault="00000000" w:rsidRPr="00000000" w14:paraId="000000A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Layout w:type="fixed"/>
        <w:tblLook w:val="0600"/>
      </w:tblPr>
      <w:tblGrid>
        <w:gridCol w:w="1845"/>
        <w:gridCol w:w="3345"/>
        <w:gridCol w:w="1950"/>
        <w:gridCol w:w="1695"/>
        <w:tblGridChange w:id="0">
          <w:tblGrid>
            <w:gridCol w:w="1845"/>
            <w:gridCol w:w="3345"/>
            <w:gridCol w:w="1950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Canal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WhatsApp / 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Comunicação síncrona, reuniões formais de alinhamento, retrospectivas e inspeção por pares..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Quinzenal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Repositório central de conhecimento, definição de DoD, registro de atas e rascunhos de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Sob demanda</w:t>
            </w:r>
          </w:p>
        </w:tc>
      </w:tr>
      <w:tr>
        <w:trPr>
          <w:cantSplit w:val="0"/>
          <w:trHeight w:val="1403.701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Versionamento de código, controle de documentação técnica e gestão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Pull Requests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de SCM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  <w:tr>
        <w:trPr>
          <w:cantSplit w:val="0"/>
          <w:trHeight w:val="1247.775878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Guarda de arquivos brutos, planilhas orçamentárias e evidências de reuniões.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SQA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</w:tbl>
    <w:p w:rsidR="00000000" w:rsidDel="00000000" w:rsidP="00000000" w:rsidRDefault="00000000" w:rsidRPr="00000000" w14:paraId="000000C1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Frequência e Formato das Reuniões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Alinhamento Quinzenal: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 via  Discord, com duração máxima de 40 minutos. O objetivo é revisar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entregas, analisar o cronograma da KA 09 e identificar riscos que possam impactar o prazo final.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Inspeção por Pares: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Agendada conforme a conclusão de cada pacote de trabalho da EAP. É uma reunião de foco técnico, onde o autor do artefato apresenta o conteúdo e os revisores confrontam o documento com a checklist de qualidade (KA 12).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Retrospectivas: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Realizadas obrigatoriamente a cada 4 semanas (conforme o cronograma de macrociclos), visando a análise de causa raiz de problemas no processo de engenharia e a melhoria contínua dos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Atas de Reunião</w:t>
      </w: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07/03/2026,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Definição do escopo (KA 01); </w:t>
            </w:r>
          </w:p>
          <w:p w:rsidR="00000000" w:rsidDel="00000000" w:rsidP="00000000" w:rsidRDefault="00000000" w:rsidRPr="00000000" w14:paraId="000000D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Atribuição de papéis e responsabilidades (Matriz RACI); </w:t>
            </w:r>
          </w:p>
          <w:p w:rsidR="00000000" w:rsidDel="00000000" w:rsidP="00000000" w:rsidRDefault="00000000" w:rsidRPr="00000000" w14:paraId="000000D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Conversa inicial sobre o fluxo de versionamento; </w:t>
            </w:r>
          </w:p>
          <w:p w:rsidR="00000000" w:rsidDel="00000000" w:rsidP="00000000" w:rsidRDefault="00000000" w:rsidRPr="00000000" w14:paraId="000000D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cronograma inicial e riscos (KA 09).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sistema será uma aplicação Web Responsiva focada em PEP, sem telemedicina nativa. </w:t>
            </w:r>
          </w:p>
          <w:p w:rsidR="00000000" w:rsidDel="00000000" w:rsidP="00000000" w:rsidRDefault="00000000" w:rsidRPr="00000000" w14:paraId="000000D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equipe adotou o rodízio de autores e revisores para todas as KAs para garantir domínio técnico coletivo. </w:t>
            </w:r>
          </w:p>
          <w:p w:rsidR="00000000" w:rsidDel="00000000" w:rsidP="00000000" w:rsidRDefault="00000000" w:rsidRPr="00000000" w14:paraId="000000D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versionamento seguirá o padrão v1.0, com versão final v2.0.</w:t>
            </w:r>
          </w:p>
          <w:p w:rsidR="00000000" w:rsidDel="00000000" w:rsidP="00000000" w:rsidRDefault="00000000" w:rsidRPr="00000000" w14:paraId="000000D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O cronograma foi fixado em 16 semanas.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Jasmine deve consolidar o Plano de Projeto (KA 09) e a EAP. </w:t>
            </w:r>
          </w:p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Ana deve iniciar o levantamento dos RFs (KA 01). </w:t>
            </w:r>
          </w:p>
          <w:p w:rsidR="00000000" w:rsidDel="00000000" w:rsidP="00000000" w:rsidRDefault="00000000" w:rsidRPr="00000000" w14:paraId="000000D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Elian deve estruturar o esboço inicial da Arquitetura (SAD/KA 02).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do levantamento inicial de requisitos (KA 01);</w:t>
            </w:r>
          </w:p>
          <w:p w:rsidR="00000000" w:rsidDel="00000000" w:rsidP="00000000" w:rsidRDefault="00000000" w:rsidRPr="00000000" w14:paraId="000000E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Definição dos principais atores e casos de uso;</w:t>
            </w:r>
          </w:p>
          <w:p w:rsidR="00000000" w:rsidDel="00000000" w:rsidP="00000000" w:rsidRDefault="00000000" w:rsidRPr="00000000" w14:paraId="000000F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Planejamento da arquitetura inicial (KA 02);</w:t>
            </w:r>
          </w:p>
          <w:p w:rsidR="00000000" w:rsidDel="00000000" w:rsidP="00000000" w:rsidRDefault="00000000" w:rsidRPr="00000000" w14:paraId="000000F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padrão de documentação do projeto.</w:t>
            </w:r>
          </w:p>
        </w:tc>
      </w:tr>
      <w:tr>
        <w:trPr>
          <w:cantSplit w:val="0"/>
          <w:trHeight w:val="2310.820312499999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Foram aprovados os requisitos funcionais prioritários para autenticação, pacientes e agendamento.</w:t>
            </w:r>
          </w:p>
          <w:p w:rsidR="00000000" w:rsidDel="00000000" w:rsidP="00000000" w:rsidRDefault="00000000" w:rsidRPr="00000000" w14:paraId="000000F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Definiu-se a utilização de UML para modelagem de casos de uso, classes e sequência.</w:t>
            </w:r>
          </w:p>
          <w:p w:rsidR="00000000" w:rsidDel="00000000" w:rsidP="00000000" w:rsidRDefault="00000000" w:rsidRPr="00000000" w14:paraId="000000F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arquitetura seguirá o padrão em camadas, priorizando modularização e segurança.</w:t>
            </w:r>
          </w:p>
          <w:p w:rsidR="00000000" w:rsidDel="00000000" w:rsidP="00000000" w:rsidRDefault="00000000" w:rsidRPr="00000000" w14:paraId="000000F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Todos os documentos utilizarão um modelo padronizado contendo histórico de versões, referências e rastreabilidade.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Finalizar a especificação dos requisitos.</w:t>
            </w:r>
          </w:p>
          <w:p w:rsidR="00000000" w:rsidDel="00000000" w:rsidP="00000000" w:rsidRDefault="00000000" w:rsidRPr="00000000" w14:paraId="000000F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Iniciar os diagramas C4 e o SAD.</w:t>
            </w:r>
          </w:p>
          <w:p w:rsidR="00000000" w:rsidDel="00000000" w:rsidP="00000000" w:rsidRDefault="00000000" w:rsidRPr="00000000" w14:paraId="000000F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Modelagem dos diagramas UML.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da arquitetura proposta (KA 02);</w:t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Apresentação dos diagramas UML (KA 03);</w:t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Discussão do backlog, épicos e histórias de usuário (KA 11);</w:t>
            </w:r>
          </w:p>
          <w:p w:rsidR="00000000" w:rsidDel="00000000" w:rsidP="00000000" w:rsidRDefault="00000000" w:rsidRPr="00000000" w14:paraId="0000010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Planejamento do processo de desenvolvimento (KA 10).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Foi aprovada a arquitetura lógica do sistema e seus principais componentes.</w:t>
            </w:r>
          </w:p>
          <w:p w:rsidR="00000000" w:rsidDel="00000000" w:rsidP="00000000" w:rsidRDefault="00000000" w:rsidRPr="00000000" w14:paraId="0000011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Os diagramas de classes e casos de uso serão refinados conforme os requisitos finais.</w:t>
            </w:r>
          </w:p>
          <w:p w:rsidR="00000000" w:rsidDel="00000000" w:rsidP="00000000" w:rsidRDefault="00000000" w:rsidRPr="00000000" w14:paraId="0000011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equipe adotará Scrum com Sprints de duas semanas.</w:t>
            </w:r>
          </w:p>
          <w:p w:rsidR="00000000" w:rsidDel="00000000" w:rsidP="00000000" w:rsidRDefault="00000000" w:rsidRPr="00000000" w14:paraId="0000011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As histórias de usuário serão priorizadas utilizando a técnica MoSCoW e estimadas por Story Points utilizando Fibonacci.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1.Diagramas UML.</w:t>
            </w:r>
          </w:p>
          <w:p w:rsidR="00000000" w:rsidDel="00000000" w:rsidP="00000000" w:rsidRDefault="00000000" w:rsidRPr="00000000" w14:paraId="0000011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2.Backlog do produto.</w:t>
            </w:r>
          </w:p>
          <w:p w:rsidR="00000000" w:rsidDel="00000000" w:rsidP="00000000" w:rsidRDefault="00000000" w:rsidRPr="00000000" w14:paraId="0000011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3.Modelagem BPMN do processo de desenvolvimento.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Acompanhamento do andamento dos artefatos técnicos;</w:t>
            </w:r>
          </w:p>
          <w:p w:rsidR="00000000" w:rsidDel="00000000" w:rsidP="00000000" w:rsidRDefault="00000000" w:rsidRPr="00000000" w14:paraId="0000012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Revisão do Plano de Testes (KA 05);</w:t>
            </w:r>
          </w:p>
          <w:p w:rsidR="00000000" w:rsidDel="00000000" w:rsidP="00000000" w:rsidRDefault="00000000" w:rsidRPr="00000000" w14:paraId="0000012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Revisão do Plano de Qualidade (KA 12);</w:t>
            </w:r>
          </w:p>
          <w:p w:rsidR="00000000" w:rsidDel="00000000" w:rsidP="00000000" w:rsidRDefault="00000000" w:rsidRPr="00000000" w14:paraId="0000012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Avaliação da documentação de Segurança (KA 13) e Gerência de Configuração (KA 08).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Foi aprovada a estrutura inicial do Master Test Plan e da matriz de rastreabilidade.</w:t>
            </w:r>
          </w:p>
          <w:p w:rsidR="00000000" w:rsidDel="00000000" w:rsidP="00000000" w:rsidRDefault="00000000" w:rsidRPr="00000000" w14:paraId="0000012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Definiu-se a utilização do modelo GQM para definição das métricas de qualidade.</w:t>
            </w:r>
          </w:p>
          <w:p w:rsidR="00000000" w:rsidDel="00000000" w:rsidP="00000000" w:rsidRDefault="00000000" w:rsidRPr="00000000" w14:paraId="0000012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equipe adotará a metodologia STRIDE para identificação de ameaças e os controles da OWASP ASVS como referência.</w:t>
            </w:r>
          </w:p>
          <w:p w:rsidR="00000000" w:rsidDel="00000000" w:rsidP="00000000" w:rsidRDefault="00000000" w:rsidRPr="00000000" w14:paraId="0000012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Foi validada a estratégia de versionamento baseada em Git Flow e baselines documentais.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Finalizar os casos de teste.</w:t>
            </w:r>
          </w:p>
          <w:p w:rsidR="00000000" w:rsidDel="00000000" w:rsidP="00000000" w:rsidRDefault="00000000" w:rsidRPr="00000000" w14:paraId="0000013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Concluir a análise de segurança.</w:t>
            </w:r>
          </w:p>
          <w:p w:rsidR="00000000" w:rsidDel="00000000" w:rsidP="00000000" w:rsidRDefault="00000000" w:rsidRPr="00000000" w14:paraId="0000013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Revisar a documentação de configuração e implantação.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Piscataway: IEEE Computer Society, 2024.</w:t>
      </w:r>
    </w:p>
    <w:p w:rsidR="00000000" w:rsidDel="00000000" w:rsidP="00000000" w:rsidRDefault="00000000" w:rsidRPr="00000000" w14:paraId="0000013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 12207:2017.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engineering — Software life cycle 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2017.</w:t>
      </w:r>
    </w:p>
    <w:p w:rsidR="00000000" w:rsidDel="00000000" w:rsidP="00000000" w:rsidRDefault="00000000" w:rsidRPr="00000000" w14:paraId="0000013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25010:2023.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2023.</w:t>
      </w:r>
    </w:p>
    <w:p w:rsidR="00000000" w:rsidDel="00000000" w:rsidP="00000000" w:rsidRDefault="00000000" w:rsidRPr="00000000" w14:paraId="0000013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Std 1028-2008.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IEEE Standard for Software Reviews and Audits</w:t>
      </w:r>
      <w:r w:rsidDel="00000000" w:rsidR="00000000" w:rsidRPr="00000000">
        <w:rPr>
          <w:rFonts w:ascii="Arial" w:cs="Arial" w:eastAsia="Arial" w:hAnsi="Arial"/>
          <w:rtl w:val="0"/>
        </w:rPr>
        <w:t xml:space="preserve">. Nova York: IEEE, 2008.</w:t>
      </w:r>
    </w:p>
    <w:p w:rsidR="00000000" w:rsidDel="00000000" w:rsidP="00000000" w:rsidRDefault="00000000" w:rsidRPr="00000000" w14:paraId="0000013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 (World Wide Web Consortium).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13.709, de 14 de agosto de 2018.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Resolução CFM nº 2.299/2021. Brasília, DF: CFM, 2021.</w:t>
      </w:r>
    </w:p>
    <w:p w:rsidR="00000000" w:rsidDel="00000000" w:rsidP="00000000" w:rsidRDefault="00000000" w:rsidRPr="00000000" w14:paraId="00000140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12.842, de 10 de julho de 2013.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Dispõe sobre o exercício da Medicina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</w:t>
      </w:r>
    </w:p>
    <w:p w:rsidR="00000000" w:rsidDel="00000000" w:rsidP="00000000" w:rsidRDefault="00000000" w:rsidRPr="00000000" w14:paraId="00000141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alto.gov.br/ccivil_03/_ato2015-2018/2018/lei/l13709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.org/TR/WCAG21/" TargetMode="External"/><Relationship Id="rId7" Type="http://schemas.openxmlformats.org/officeDocument/2006/relationships/hyperlink" Target="https://www.w3.org/TR/WCAG21/" TargetMode="External"/><Relationship Id="rId8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