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To enhance security at Botium Toys and safeguard sensitive information, multiple measures should be implemented, including Least Privilege, disaster recovery plans, password policies, separation of duties, an IDS, ongoing management of legacy systems, encryption, and a password management system. To meet compliance requirements, Botium Toys should focus on implementing Least Privilege, separation of duties, and encryption. Additionally, the company should classify assets properly to identify further necessary controls for enhancing security and protecting sensitive data.</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