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37565">
      <w:pPr>
        <w:spacing w:after="160"/>
        <w:jc w:val="center"/>
      </w:pPr>
      <w:r>
        <w:rPr>
          <w:rFonts w:ascii="Times New Roman" w:hAnsi="Times New Roman" w:eastAsia="黑体"/>
          <w:b/>
          <w:i w:val="0"/>
          <w:sz w:val="32"/>
        </w:rPr>
        <w:t>面向变电运维技能培训的规则增强个性化 Agent 方法研究</w:t>
      </w:r>
    </w:p>
    <w:p w14:paraId="0F4AC634">
      <w:pPr>
        <w:spacing w:before="0" w:after="80" w:line="259" w:lineRule="auto"/>
        <w:rPr>
          <w:rFonts w:ascii="Times New Roman" w:hAnsi="Times New Roman" w:eastAsia="黑体"/>
          <w:b/>
          <w:i w:val="0"/>
          <w:sz w:val="21"/>
        </w:rPr>
      </w:pPr>
    </w:p>
    <w:p w14:paraId="6CB84AEF">
      <w:pPr>
        <w:spacing w:before="0" w:after="80" w:line="259" w:lineRule="auto"/>
        <w:jc w:val="center"/>
        <w:rPr>
          <w:rFonts w:ascii="Times New Roman" w:hAnsi="Times New Roman" w:eastAsia="黑体"/>
          <w:b/>
          <w:i w:val="0"/>
          <w:sz w:val="32"/>
          <w:szCs w:val="32"/>
        </w:rPr>
      </w:pPr>
      <w:r>
        <w:rPr>
          <w:rFonts w:ascii="Times New Roman" w:hAnsi="Times New Roman" w:eastAsia="黑体"/>
          <w:b/>
          <w:i w:val="0"/>
          <w:sz w:val="32"/>
          <w:szCs w:val="32"/>
        </w:rPr>
        <w:t>摘要</w:t>
      </w:r>
    </w:p>
    <w:p w14:paraId="49412B00">
      <w:pPr>
        <w:pStyle w:val="30"/>
        <w:keepNext w:val="0"/>
        <w:keepLines w:val="0"/>
        <w:widowControl/>
        <w:suppressLineNumbers w:val="0"/>
        <w:ind w:firstLine="720" w:firstLineChars="0"/>
      </w:pPr>
      <w:r>
        <w:t>随着新型电力系统建设和智能运维技术的发展，变电运维人员需要同时具备专业技能、现场实践、数据分析和智能工具应用等多方面能力，传统基于统一课程和固定周期的培训方式已难以满足差异化、持续化的人才培养需求。本文提出一种面向变电运维技能培训的规则增强个性化 Agent 方法，旨在提升员工能力差距识别和学习路径规划的准确性，促进复合型技能人才培养。首先，分析变电运维中心现有培训管理流程以及员工岗位、技能等级、考试成绩、实操任务、证书状态和安全记录等数据特征，构建面向员工能力画像的多维事实集合。其次，设计基于数据库 JSON 规则的技能差距识别与建议生成机制，将岗位要求、个人现状、考试表现和现场任务进行关联，并结合课程学习、师傅带教、模拟考试和实操复盘等方式生成个性化培训路径。此外，通过规则引擎与大模型协同机制，对复杂文本信息进行综合分析，同时利用统一 Agent 契约、结果校验和人工确认机制保证建议的可解释性、安全性和可追溯性。该方法能够为不同岗位和不同能力基础的员工动态生成个性化成长建议，为变电运维人员由单一专业技能向专业能力、数字化能力和智能应用能力融合的复合型人才发展提供技术支持。</w:t>
      </w:r>
    </w:p>
    <w:p w14:paraId="3D0C12E5">
      <w:pPr>
        <w:pStyle w:val="30"/>
        <w:keepNext w:val="0"/>
        <w:keepLines w:val="0"/>
        <w:widowControl/>
        <w:suppressLineNumbers w:val="0"/>
      </w:pPr>
      <w:r>
        <w:rPr>
          <w:rFonts w:hint="eastAsia" w:ascii="Times New Roman" w:hAnsi="Times New Roman" w:eastAsia="黑体" w:cstheme="majorBidi"/>
          <w:b/>
          <w:bCs/>
          <w:i w:val="0"/>
          <w:color w:val="000000"/>
          <w:kern w:val="0"/>
          <w:sz w:val="24"/>
          <w:szCs w:val="28"/>
          <w:lang w:val="en-US" w:eastAsia="zh-CN" w:bidi="ar-SA"/>
        </w:rPr>
        <w:t>关键词</w:t>
      </w:r>
      <w:r>
        <w:t>：变电运维；个性化 Agent；规则增强；能力画像；复合型人才；智能培训</w:t>
      </w:r>
    </w:p>
    <w:p w14:paraId="2FD9C501">
      <w:pPr>
        <w:spacing w:before="0" w:after="160" w:line="259" w:lineRule="auto"/>
        <w:rPr>
          <w:rFonts w:ascii="Times New Roman" w:hAnsi="Times New Roman" w:eastAsia="宋体"/>
          <w:b w:val="0"/>
          <w:i w:val="0"/>
          <w:sz w:val="21"/>
        </w:rPr>
      </w:pPr>
    </w:p>
    <w:p w14:paraId="6535BB36">
      <w:pPr>
        <w:pStyle w:val="3"/>
        <w:keepNext/>
        <w:numPr>
          <w:ilvl w:val="0"/>
          <w:numId w:val="7"/>
        </w:numPr>
        <w:spacing w:before="200" w:after="120"/>
        <w:jc w:val="center"/>
      </w:pPr>
      <w:r>
        <w:rPr>
          <w:rFonts w:ascii="Times New Roman" w:hAnsi="Times New Roman" w:eastAsia="黑体"/>
          <w:b/>
          <w:i w:val="0"/>
          <w:sz w:val="24"/>
        </w:rPr>
        <w:t>引言</w:t>
      </w:r>
    </w:p>
    <w:p w14:paraId="4F54395C">
      <w:pPr>
        <w:pStyle w:val="3"/>
        <w:keepNext/>
        <w:numPr>
          <w:numId w:val="0"/>
        </w:numPr>
        <w:spacing w:before="200" w:after="120"/>
        <w:jc w:val="both"/>
      </w:pPr>
      <w:r>
        <w:t xml:space="preserve"> 研究背景</w:t>
      </w:r>
      <w:bookmarkStart w:id="0" w:name="_GoBack"/>
      <w:bookmarkEnd w:id="0"/>
    </w:p>
    <w:p w14:paraId="42E9AD30">
      <w:pPr>
        <w:pStyle w:val="30"/>
        <w:keepNext w:val="0"/>
        <w:keepLines w:val="0"/>
        <w:widowControl/>
        <w:suppressLineNumbers w:val="0"/>
        <w:ind w:firstLine="480" w:firstLineChars="200"/>
      </w:pPr>
      <w:r>
        <w:t>随着新型电力系统建设持续推进，电力系统运行呈现出清洁低碳、安全充裕、经济高效、供需协同和灵活智能等特征。国家相关文件提出，应推动电力技术与先进信息通信技术深度融合，建设具备全景感知、全网监视、全局分析、智能决策和协同控制能力的新型电网调度与运行体系。电力系统的运行维护模式正在由传统的经验驱动逐步转向数据驱动、模型辅助和智能决策。(</w:t>
      </w:r>
      <w:r>
        <w:fldChar w:fldCharType="begin"/>
      </w:r>
      <w:r>
        <w:instrText xml:space="preserve"> HYPERLINK "https://www.ndrc.gov.cn/xxgk/jd/jd/202408/t20240808_1392309.html?utm_source=openai" </w:instrText>
      </w:r>
      <w:r>
        <w:fldChar w:fldCharType="separate"/>
      </w:r>
      <w:r>
        <w:rPr>
          <w:rStyle w:val="136"/>
        </w:rPr>
        <w:t>ndrc.gov.cn</w:t>
      </w:r>
      <w:r>
        <w:fldChar w:fldCharType="end"/>
      </w:r>
      <w:r>
        <w:t>)</w:t>
      </w:r>
    </w:p>
    <w:p w14:paraId="52D2C4F8">
      <w:pPr>
        <w:pStyle w:val="30"/>
        <w:keepNext w:val="0"/>
        <w:keepLines w:val="0"/>
        <w:widowControl/>
        <w:suppressLineNumbers w:val="0"/>
        <w:ind w:firstLine="480" w:firstLineChars="200"/>
      </w:pPr>
      <w:r>
        <w:t>在这一转型过程中，变电运维人员所面临的工作要求已经发生变化。运维人员不仅需要掌握继电保护、倒闸操作、高压试验、故障处理等传统专业技能，还需要具备数据分析、智能工具应用、跨岗位协作、异常研判和安全风险控制等综合能力。其能力评价也不能仅依据培训课时或单次考试成绩，而应综合考虑岗位要求、技能等级、考试表现、实操任务、证书状态、安全记录、学习过程和师傅评价等多维信息。</w:t>
      </w:r>
    </w:p>
    <w:p w14:paraId="642E0F34">
      <w:pPr>
        <w:pStyle w:val="30"/>
        <w:keepNext w:val="0"/>
        <w:keepLines w:val="0"/>
        <w:widowControl/>
        <w:suppressLineNumbers w:val="0"/>
        <w:ind w:firstLine="480" w:firstLineChars="200"/>
      </w:pPr>
      <w:r>
        <w:t>当前，人工智能正在从单一问答工具逐步发展为能够感知任务、调用知识、生成方案并参与业务协同的智能体。相关政策已经将智能体、工业人工智能和复合型产业人才培养作为推动产业智能化发展的重要方向，强调培养既理解行业机理、生产流程和岗位标准，又掌握人工智能工具和数字化方法的复合型人才。(</w:t>
      </w:r>
      <w:r>
        <w:fldChar w:fldCharType="begin"/>
      </w:r>
      <w:r>
        <w:instrText xml:space="preserve"> HYPERLINK "https://sheitc.sh.gov.cn/cmsres/4b/4bf0ac35db3844a483df3f1cedf931ec/cb045d06d407f5b61e035f9cab34bbd1.pdf?utm_source=openai" </w:instrText>
      </w:r>
      <w:r>
        <w:fldChar w:fldCharType="separate"/>
      </w:r>
      <w:r>
        <w:rPr>
          <w:rStyle w:val="136"/>
        </w:rPr>
        <w:t>sheitc.sh.gov.cn</w:t>
      </w:r>
      <w:r>
        <w:fldChar w:fldCharType="end"/>
      </w:r>
      <w:r>
        <w:t>)</w:t>
      </w:r>
    </w:p>
    <w:p w14:paraId="4ECFAB43">
      <w:pPr>
        <w:pStyle w:val="30"/>
        <w:keepNext w:val="0"/>
        <w:keepLines w:val="0"/>
        <w:widowControl/>
        <w:suppressLineNumbers w:val="0"/>
        <w:ind w:firstLine="480" w:firstLineChars="200"/>
      </w:pPr>
      <w:r>
        <w:t>然而，传统培训管理系统通常主要承担人员档案、课程安排、考试记录和培训结果存储等功能，难以回答“员工当前最需要补足什么能力”“推荐某项课程的依据是什么”“培训建议是否适合该员工的岗位和安全边界”等问题。尤其是在变电运维场景中，员工之间在岗位、技能等级、学习基础、实操经验和发展目标方面存在明显差异，采用统一课程和统一培训周期容易造成培训内容与个人实际需求不匹配。</w:t>
      </w:r>
    </w:p>
    <w:p w14:paraId="4E141DAE">
      <w:pPr>
        <w:pStyle w:val="30"/>
        <w:keepNext w:val="0"/>
        <w:keepLines w:val="0"/>
        <w:widowControl/>
        <w:suppressLineNumbers w:val="0"/>
        <w:ind w:firstLine="480" w:firstLineChars="200"/>
      </w:pPr>
      <w:r>
        <w:t>因此，本项目面向变电运维中心建设个性化技能培训 Agent，将员工能力画像、岗位技能要求、考试成绩、实操任务、证书状态和安全记录等数据进行关联分析，形成从“能力识别、差距诊断、学习推荐到人工确认”的闭环。该系统不是简单生成培训文本，而是试图将企业已有的岗位标准、技能规则和培训资源转化为可执行、可解释、可追踪的个性化培养方案。</w:t>
      </w:r>
    </w:p>
    <w:p w14:paraId="250DE6C2">
      <w:pPr>
        <w:pStyle w:val="4"/>
        <w:keepNext w:val="0"/>
        <w:keepLines w:val="0"/>
        <w:widowControl/>
        <w:suppressLineNumbers w:val="0"/>
      </w:pPr>
      <w:r>
        <w:t>研究目的</w:t>
      </w:r>
    </w:p>
    <w:p w14:paraId="209E5965">
      <w:pPr>
        <w:pStyle w:val="3"/>
        <w:keepNext/>
        <w:spacing w:before="200" w:after="120"/>
        <w:rPr>
          <w:rFonts w:ascii="Times New Roman" w:hAnsi="Times New Roman" w:eastAsia="黑体"/>
          <w:b/>
          <w:i w:val="0"/>
          <w:sz w:val="24"/>
        </w:rPr>
      </w:pPr>
      <w:r>
        <w:rPr>
          <w:rFonts w:ascii="宋体" w:hAnsi="宋体" w:eastAsia="宋体" w:cstheme="minorBidi"/>
          <w:b w:val="0"/>
          <w:bCs w:val="0"/>
          <w:color w:val="auto"/>
          <w:kern w:val="0"/>
          <w:sz w:val="24"/>
          <w:szCs w:val="22"/>
          <w:lang w:val="en-US" w:eastAsia="zh-CN" w:bidi="ar"/>
        </w:rPr>
        <w:t>本研究旨在探索一种面向变电运维技能培训的规则增强个性化 Agent，以提升培训资源利用效率、提高员工能力诊断和学习路径规划的准确性，并促进专业技能与数字化智能应用能力相结合的复合型人才培养。随着新型电力系统建设和智能运维技术的发展，传统按照统一岗位、统一课程和统一周期开展培训的方式，已难以满足不同员工在技能基础、岗位要求、实操经验和职业发展目标方面的差异化需求。因此，研究个性化 Agent 能够基于员工能力画像、岗位技能要求、考试成绩、实操任务、证书状态和安全记录等信息，实现员工能力差距的动态识别和培训方案的智能生成。通过引入规则引擎与大模型协同机制，系统能够在保证建议可解释、可审计和符合安全边界的基础上，为员工提供课程学习、岗位实践、师傅带教、模拟考试和复盘改进等综合性成长建议，从而推动员工由单一专业技能发展为兼具专业知识、现场实践、数据分析、智能工具应用和协同管理能力的复合型人才。本研究不仅能够为变电运维人员的个性化培养和企业培训管理提供技术支持，也能够为电力行业智能化人才梯队建设、岗位能力评价和培训体系优化提供参考。</w:t>
      </w:r>
    </w:p>
    <w:p w14:paraId="6970AD51">
      <w:pPr>
        <w:pStyle w:val="3"/>
        <w:keepNext/>
        <w:spacing w:before="200" w:after="120"/>
      </w:pPr>
      <w:r>
        <w:rPr>
          <w:rFonts w:ascii="Times New Roman" w:hAnsi="Times New Roman" w:eastAsia="黑体"/>
          <w:b/>
          <w:i w:val="0"/>
          <w:sz w:val="24"/>
        </w:rPr>
        <w:t>相关研究</w:t>
      </w:r>
    </w:p>
    <w:p w14:paraId="166788D4">
      <w:pPr>
        <w:pStyle w:val="4"/>
        <w:keepNext/>
        <w:spacing w:before="120" w:after="120"/>
      </w:pPr>
      <w:r>
        <w:rPr>
          <w:rFonts w:ascii="Times New Roman" w:hAnsi="Times New Roman" w:eastAsia="黑体"/>
          <w:b/>
          <w:i w:val="0"/>
          <w:sz w:val="22"/>
        </w:rPr>
        <w:t>2.1 个性化学习推荐与能力画像</w:t>
      </w:r>
    </w:p>
    <w:p w14:paraId="2E95E69D">
      <w:pPr>
        <w:spacing w:before="0" w:after="120" w:line="259" w:lineRule="auto"/>
        <w:ind w:firstLine="420"/>
      </w:pPr>
      <w:r>
        <w:rPr>
          <w:rFonts w:ascii="Times New Roman" w:hAnsi="Times New Roman" w:eastAsia="宋体"/>
          <w:b w:val="0"/>
          <w:i w:val="0"/>
          <w:sz w:val="21"/>
        </w:rPr>
        <w:t>个性化学习推荐通常依赖学习者画像、知识点掌握度、行为日志和目标约束。与通用在线教育不同，变电运维培训具有岗位强约束、安全底线明确、证书有效期和现场任务耦合紧密等特点。因此，推荐结果不能只追求点击率或内容相似度，还需要解释其与岗位要求、风险控制和组织人才储备之间的关系。</w:t>
      </w:r>
    </w:p>
    <w:p w14:paraId="2590DC50">
      <w:pPr>
        <w:pStyle w:val="4"/>
        <w:keepNext/>
        <w:spacing w:before="120" w:after="120"/>
      </w:pPr>
      <w:r>
        <w:rPr>
          <w:rFonts w:ascii="Times New Roman" w:hAnsi="Times New Roman" w:eastAsia="黑体"/>
          <w:b/>
          <w:i w:val="0"/>
          <w:sz w:val="22"/>
        </w:rPr>
        <w:t>2.2 规则增强智能体</w:t>
      </w:r>
    </w:p>
    <w:p w14:paraId="0D7527CB">
      <w:pPr>
        <w:spacing w:before="0" w:after="120" w:line="259" w:lineRule="auto"/>
        <w:ind w:firstLine="420"/>
      </w:pPr>
      <w:r>
        <w:rPr>
          <w:rFonts w:ascii="Times New Roman" w:hAnsi="Times New Roman" w:eastAsia="宋体"/>
          <w:b w:val="0"/>
          <w:i w:val="0"/>
          <w:sz w:val="21"/>
        </w:rPr>
        <w:t>规则增强方法通过显式规则约束模型输出，使系统在关键业务场景中具备稳定性和可解释性。对于电力培训场景，规则可用于处理安全一票否决、岗位等级缺口、考试低分、关键岗位备份不足等确定性判断；模型则更适合处理自然语言报告、综合建议生成和多因素权衡。二者结合可以降低纯模型方案在数据不足、幻觉输出和责任归属方面的风险。</w:t>
      </w:r>
    </w:p>
    <w:p w14:paraId="247F58F8">
      <w:pPr>
        <w:pStyle w:val="4"/>
        <w:keepNext/>
        <w:spacing w:before="120" w:after="120"/>
      </w:pPr>
      <w:r>
        <w:rPr>
          <w:rFonts w:ascii="Times New Roman" w:hAnsi="Times New Roman" w:eastAsia="黑体"/>
          <w:b/>
          <w:i w:val="0"/>
          <w:sz w:val="22"/>
        </w:rPr>
        <w:t>2.3 工业领域大模型应用</w:t>
      </w:r>
    </w:p>
    <w:p w14:paraId="0F13CA9F">
      <w:pPr>
        <w:spacing w:before="0" w:after="120" w:line="259" w:lineRule="auto"/>
        <w:ind w:firstLine="420"/>
      </w:pPr>
      <w:r>
        <w:rPr>
          <w:rFonts w:ascii="Times New Roman" w:hAnsi="Times New Roman" w:eastAsia="宋体"/>
          <w:b w:val="0"/>
          <w:i w:val="0"/>
          <w:sz w:val="21"/>
        </w:rPr>
        <w:t>工业领域大模型应用通常面临样本规模有限、数据敏感、术语专业和评价困难的问题。监督微调数据需要从真实业务字段出发，保持输入事实、输出结论、推荐动作和安全边界的一致性。本文选择先构造可解析、可验证、可回放的训练样本，再将模型输出纳入系统契约校验，以减少模型上线对现有业务接口和权限边界的扰动。</w:t>
      </w:r>
    </w:p>
    <w:p w14:paraId="0023FB52">
      <w:pPr>
        <w:pStyle w:val="3"/>
        <w:keepNext/>
        <w:spacing w:before="200" w:after="120"/>
      </w:pPr>
      <w:r>
        <w:rPr>
          <w:rFonts w:ascii="Times New Roman" w:hAnsi="Times New Roman" w:eastAsia="黑体"/>
          <w:b/>
          <w:i w:val="0"/>
          <w:sz w:val="24"/>
        </w:rPr>
        <w:t>3 系统场景与问题定义</w:t>
      </w:r>
    </w:p>
    <w:p w14:paraId="49290182">
      <w:pPr>
        <w:pStyle w:val="4"/>
        <w:keepNext/>
        <w:spacing w:before="120" w:after="120"/>
      </w:pPr>
      <w:r>
        <w:rPr>
          <w:rFonts w:ascii="Times New Roman" w:hAnsi="Times New Roman" w:eastAsia="黑体"/>
          <w:b/>
          <w:i w:val="0"/>
          <w:sz w:val="22"/>
        </w:rPr>
        <w:t>3.1 业务场景</w:t>
      </w:r>
    </w:p>
    <w:p w14:paraId="6F41487D">
      <w:pPr>
        <w:spacing w:before="0" w:after="120" w:line="259" w:lineRule="auto"/>
        <w:ind w:firstLine="420"/>
      </w:pPr>
      <w:r>
        <w:rPr>
          <w:rFonts w:ascii="Times New Roman" w:hAnsi="Times New Roman" w:eastAsia="宋体"/>
          <w:b w:val="0"/>
          <w:i w:val="0"/>
          <w:sz w:val="21"/>
        </w:rPr>
        <w:t>研究对象为变电运维中心三层人才技能培训与考试管理系统。系统覆盖员工、组长、老总和管理员四类角色。员工侧关注个人能力画像、技能雷达、成长轨迹、差距与建议、学习资源和考试任务；组长侧关注本班组人员能力、实操任务和报告归因；老总侧关注公司人才缺口、关键岗位备份、培训效果和运行风险；管理员侧负责主数据、规则、课程、题库、材料审核和审计。</w:t>
      </w:r>
    </w:p>
    <w:p w14:paraId="713F09BC">
      <w:pPr>
        <w:pStyle w:val="4"/>
        <w:keepNext/>
        <w:spacing w:before="120" w:after="120"/>
      </w:pPr>
      <w:r>
        <w:rPr>
          <w:rFonts w:ascii="Times New Roman" w:hAnsi="Times New Roman" w:eastAsia="黑体"/>
          <w:b/>
          <w:i w:val="0"/>
          <w:sz w:val="22"/>
        </w:rPr>
        <w:t>3.2 问题定义</w:t>
      </w:r>
    </w:p>
    <w:p w14:paraId="1D38FE5A">
      <w:pPr>
        <w:spacing w:before="0" w:after="120" w:line="259" w:lineRule="auto"/>
        <w:ind w:firstLine="420"/>
      </w:pPr>
      <w:r>
        <w:rPr>
          <w:rFonts w:ascii="Times New Roman" w:hAnsi="Times New Roman" w:eastAsia="宋体"/>
          <w:b w:val="0"/>
          <w:i w:val="0"/>
          <w:sz w:val="21"/>
        </w:rPr>
        <w:t>给定员工画像事实集合 F，包括岗位、技能等级、岗位要求、未来需求、考试成绩、错题知识点、实操任务、计划与实际工时、证书、安全记录、学习记录和评价信息，目标是生成个性化建议 S。建议 S 应同时满足四类约束：一是与岗位和技能事实一致；二是给出可执行的学习路径；三是能够解释命中的规则或依据的数据点；四是不得越过角色权限和安全边界。</w:t>
      </w:r>
    </w:p>
    <w:p w14:paraId="59D9E7F2">
      <w:pPr>
        <w:pStyle w:val="4"/>
        <w:keepNext/>
        <w:spacing w:before="120" w:after="120"/>
      </w:pPr>
      <w:r>
        <w:rPr>
          <w:rFonts w:ascii="Times New Roman" w:hAnsi="Times New Roman" w:eastAsia="黑体"/>
          <w:b/>
          <w:i w:val="0"/>
          <w:sz w:val="22"/>
        </w:rPr>
        <w:t>3.3 论文当前边界</w:t>
      </w:r>
    </w:p>
    <w:p w14:paraId="693FF7FB">
      <w:pPr>
        <w:spacing w:before="0" w:after="120" w:line="259" w:lineRule="auto"/>
        <w:ind w:firstLine="420"/>
      </w:pPr>
      <w:r>
        <w:rPr>
          <w:rFonts w:ascii="Times New Roman" w:hAnsi="Times New Roman" w:eastAsia="宋体"/>
          <w:b w:val="0"/>
          <w:i w:val="0"/>
          <w:sz w:val="21"/>
        </w:rPr>
        <w:t>当前稿件聚焦方法、系统架构和评价设计。由于真实训练日志、模型版本、实验样本划分和现场对照结果尚未补齐，本文不宣称模型已经达到某一准确率、召回率或业务降本比例。所有定量结果均以占位表保留，待完成实验后统一补充。</w:t>
      </w:r>
    </w:p>
    <w:p w14:paraId="667C8AAD">
      <w:pPr>
        <w:pStyle w:val="3"/>
        <w:keepNext/>
        <w:spacing w:before="200" w:after="120"/>
      </w:pPr>
      <w:r>
        <w:rPr>
          <w:rFonts w:ascii="Times New Roman" w:hAnsi="Times New Roman" w:eastAsia="黑体"/>
          <w:b/>
          <w:i w:val="0"/>
          <w:sz w:val="24"/>
        </w:rPr>
        <w:t>4 规则增强个性化 Agent 方法</w:t>
      </w:r>
    </w:p>
    <w:p w14:paraId="56ED4493">
      <w:pPr>
        <w:pStyle w:val="4"/>
        <w:keepNext/>
        <w:spacing w:before="120" w:after="120"/>
      </w:pPr>
      <w:r>
        <w:rPr>
          <w:rFonts w:ascii="Times New Roman" w:hAnsi="Times New Roman" w:eastAsia="黑体"/>
          <w:b/>
          <w:i w:val="0"/>
          <w:sz w:val="22"/>
        </w:rPr>
        <w:t>4.1 总体架构</w:t>
      </w:r>
    </w:p>
    <w:p w14:paraId="7649ABAC">
      <w:pPr>
        <w:spacing w:before="0" w:after="120" w:line="259" w:lineRule="auto"/>
        <w:ind w:firstLine="420"/>
      </w:pPr>
      <w:r>
        <w:rPr>
          <w:rFonts w:ascii="Times New Roman" w:hAnsi="Times New Roman" w:eastAsia="宋体"/>
          <w:b w:val="0"/>
          <w:i w:val="0"/>
          <w:sz w:val="21"/>
        </w:rPr>
        <w:t>总体架构由事实采集层、规则推理层、模型生成层、契约校验层、建议留痕层和人工确认层组成。事实采集层从人员、岗位、技能、考试、课程、任务报告、证书和安全记录中抽取结构化事实。规则推理层使用数据库 JSON 规则表进行匹配，并输出命中规则、原因、动作和置信度。模型生成层在具备配置和有效返回时生成更自然的诊断与学习路径。契约校验层校验字段、枚举、数组、证据数量和未验证数字。建议留痕层将结果写入 agent_suggestion，人工确认层记录 accept、reject、modify、execute 和 rollback 等状态。</w:t>
      </w:r>
    </w:p>
    <w:p w14:paraId="697F6C8A">
      <w:pPr>
        <w:spacing w:before="80" w:after="80"/>
        <w:jc w:val="center"/>
      </w:pPr>
      <w:r>
        <w:rPr>
          <w:rFonts w:ascii="Times New Roman" w:hAnsi="Times New Roman" w:eastAsia="黑体"/>
          <w:b/>
          <w:i w:val="0"/>
          <w:sz w:val="19"/>
        </w:rPr>
        <w:t>表1 规则增强个性化 Agent 架构模块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268"/>
        <w:gridCol w:w="2268"/>
        <w:gridCol w:w="2268"/>
      </w:tblGrid>
      <w:tr w14:paraId="7536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771D4760">
            <w:pPr>
              <w:spacing w:after="0" w:line="240" w:lineRule="auto"/>
              <w:jc w:val="center"/>
            </w:pPr>
            <w:r>
              <w:rPr>
                <w:rFonts w:ascii="Times New Roman" w:hAnsi="Times New Roman" w:eastAsia="宋体"/>
                <w:b/>
                <w:i w:val="0"/>
                <w:sz w:val="19"/>
              </w:rPr>
              <w:t>模块</w:t>
            </w:r>
          </w:p>
        </w:tc>
        <w:tc>
          <w:tcPr>
            <w:tcW w:w="2268" w:type="dxa"/>
            <w:shd w:val="clear" w:color="auto" w:fill="D9EAF7"/>
            <w:vAlign w:val="center"/>
          </w:tcPr>
          <w:p w14:paraId="3AB9C8B9">
            <w:pPr>
              <w:spacing w:after="0" w:line="240" w:lineRule="auto"/>
              <w:jc w:val="center"/>
            </w:pPr>
            <w:r>
              <w:rPr>
                <w:rFonts w:ascii="Times New Roman" w:hAnsi="Times New Roman" w:eastAsia="宋体"/>
                <w:b/>
                <w:i w:val="0"/>
                <w:sz w:val="19"/>
              </w:rPr>
              <w:t>输入</w:t>
            </w:r>
          </w:p>
        </w:tc>
        <w:tc>
          <w:tcPr>
            <w:tcW w:w="2268" w:type="dxa"/>
            <w:shd w:val="clear" w:color="auto" w:fill="D9EAF7"/>
            <w:vAlign w:val="center"/>
          </w:tcPr>
          <w:p w14:paraId="0DE4EA74">
            <w:pPr>
              <w:spacing w:after="0" w:line="240" w:lineRule="auto"/>
              <w:jc w:val="center"/>
            </w:pPr>
            <w:r>
              <w:rPr>
                <w:rFonts w:ascii="Times New Roman" w:hAnsi="Times New Roman" w:eastAsia="宋体"/>
                <w:b/>
                <w:i w:val="0"/>
                <w:sz w:val="19"/>
              </w:rPr>
              <w:t>输出</w:t>
            </w:r>
          </w:p>
        </w:tc>
        <w:tc>
          <w:tcPr>
            <w:tcW w:w="2268" w:type="dxa"/>
            <w:shd w:val="clear" w:color="auto" w:fill="D9EAF7"/>
            <w:vAlign w:val="center"/>
          </w:tcPr>
          <w:p w14:paraId="40F63079">
            <w:pPr>
              <w:spacing w:after="0" w:line="240" w:lineRule="auto"/>
              <w:jc w:val="center"/>
            </w:pPr>
            <w:r>
              <w:rPr>
                <w:rFonts w:ascii="Times New Roman" w:hAnsi="Times New Roman" w:eastAsia="宋体"/>
                <w:b/>
                <w:i w:val="0"/>
                <w:sz w:val="19"/>
              </w:rPr>
              <w:t>当前状态</w:t>
            </w:r>
          </w:p>
        </w:tc>
      </w:tr>
      <w:tr w14:paraId="68D0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A6D2B2A">
            <w:pPr>
              <w:spacing w:after="0" w:line="240" w:lineRule="auto"/>
              <w:jc w:val="center"/>
            </w:pPr>
            <w:r>
              <w:rPr>
                <w:rFonts w:ascii="Times New Roman" w:hAnsi="Times New Roman" w:eastAsia="宋体"/>
                <w:b w:val="0"/>
                <w:i w:val="0"/>
                <w:sz w:val="19"/>
              </w:rPr>
              <w:t>事实采集层</w:t>
            </w:r>
          </w:p>
        </w:tc>
        <w:tc>
          <w:tcPr>
            <w:tcW w:w="2268" w:type="dxa"/>
            <w:vAlign w:val="center"/>
          </w:tcPr>
          <w:p w14:paraId="3DD65D39">
            <w:pPr>
              <w:spacing w:after="0" w:line="240" w:lineRule="auto"/>
              <w:jc w:val="left"/>
            </w:pPr>
            <w:r>
              <w:rPr>
                <w:rFonts w:ascii="Times New Roman" w:hAnsi="Times New Roman" w:eastAsia="宋体"/>
                <w:b w:val="0"/>
                <w:i w:val="0"/>
                <w:sz w:val="19"/>
              </w:rPr>
              <w:t>岗位、技能、考试、任务、证书、安全记录</w:t>
            </w:r>
          </w:p>
        </w:tc>
        <w:tc>
          <w:tcPr>
            <w:tcW w:w="2268" w:type="dxa"/>
            <w:vAlign w:val="center"/>
          </w:tcPr>
          <w:p w14:paraId="5708807F">
            <w:pPr>
              <w:spacing w:after="0" w:line="240" w:lineRule="auto"/>
              <w:jc w:val="center"/>
            </w:pPr>
            <w:r>
              <w:rPr>
                <w:rFonts w:ascii="Times New Roman" w:hAnsi="Times New Roman" w:eastAsia="宋体"/>
                <w:b w:val="0"/>
                <w:i w:val="0"/>
                <w:sz w:val="19"/>
              </w:rPr>
              <w:t>结构化事实 F</w:t>
            </w:r>
          </w:p>
        </w:tc>
        <w:tc>
          <w:tcPr>
            <w:tcW w:w="2268" w:type="dxa"/>
            <w:vAlign w:val="center"/>
          </w:tcPr>
          <w:p w14:paraId="6238503F">
            <w:pPr>
              <w:spacing w:after="0" w:line="240" w:lineRule="auto"/>
              <w:jc w:val="center"/>
            </w:pPr>
            <w:r>
              <w:rPr>
                <w:rFonts w:ascii="Times New Roman" w:hAnsi="Times New Roman" w:eastAsia="宋体"/>
                <w:b w:val="0"/>
                <w:i w:val="0"/>
                <w:sz w:val="19"/>
              </w:rPr>
              <w:t>待按真实库补充字段统计</w:t>
            </w:r>
          </w:p>
        </w:tc>
      </w:tr>
      <w:tr w14:paraId="5F3B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11BDC66">
            <w:pPr>
              <w:spacing w:after="0" w:line="240" w:lineRule="auto"/>
              <w:jc w:val="center"/>
            </w:pPr>
            <w:r>
              <w:rPr>
                <w:rFonts w:ascii="Times New Roman" w:hAnsi="Times New Roman" w:eastAsia="宋体"/>
                <w:b w:val="0"/>
                <w:i w:val="0"/>
                <w:sz w:val="19"/>
              </w:rPr>
              <w:t>规则推理层</w:t>
            </w:r>
          </w:p>
        </w:tc>
        <w:tc>
          <w:tcPr>
            <w:tcW w:w="2268" w:type="dxa"/>
            <w:vAlign w:val="center"/>
          </w:tcPr>
          <w:p w14:paraId="4A0D4B07">
            <w:pPr>
              <w:spacing w:after="0" w:line="240" w:lineRule="auto"/>
              <w:jc w:val="center"/>
            </w:pPr>
            <w:r>
              <w:rPr>
                <w:rFonts w:ascii="Times New Roman" w:hAnsi="Times New Roman" w:eastAsia="宋体"/>
                <w:b w:val="0"/>
                <w:i w:val="0"/>
                <w:sz w:val="19"/>
              </w:rPr>
              <w:t>F 与 rule 表</w:t>
            </w:r>
          </w:p>
        </w:tc>
        <w:tc>
          <w:tcPr>
            <w:tcW w:w="2268" w:type="dxa"/>
            <w:vAlign w:val="center"/>
          </w:tcPr>
          <w:p w14:paraId="74AA9134">
            <w:pPr>
              <w:spacing w:after="0" w:line="240" w:lineRule="auto"/>
              <w:jc w:val="center"/>
            </w:pPr>
            <w:r>
              <w:rPr>
                <w:rFonts w:ascii="Times New Roman" w:hAnsi="Times New Roman" w:eastAsia="宋体"/>
                <w:b w:val="0"/>
                <w:i w:val="0"/>
                <w:sz w:val="19"/>
              </w:rPr>
              <w:t>命中规则、动作、解释</w:t>
            </w:r>
          </w:p>
        </w:tc>
        <w:tc>
          <w:tcPr>
            <w:tcW w:w="2268" w:type="dxa"/>
            <w:vAlign w:val="center"/>
          </w:tcPr>
          <w:p w14:paraId="3A8F3E64">
            <w:pPr>
              <w:spacing w:after="0" w:line="240" w:lineRule="auto"/>
              <w:jc w:val="center"/>
            </w:pPr>
            <w:r>
              <w:rPr>
                <w:rFonts w:ascii="Times New Roman" w:hAnsi="Times New Roman" w:eastAsia="宋体"/>
                <w:b w:val="0"/>
                <w:i w:val="0"/>
                <w:sz w:val="19"/>
              </w:rPr>
              <w:t>已具备规则引擎基础</w:t>
            </w:r>
          </w:p>
        </w:tc>
      </w:tr>
      <w:tr w14:paraId="45EF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D4D014E">
            <w:pPr>
              <w:spacing w:after="0" w:line="240" w:lineRule="auto"/>
              <w:jc w:val="center"/>
            </w:pPr>
            <w:r>
              <w:rPr>
                <w:rFonts w:ascii="Times New Roman" w:hAnsi="Times New Roman" w:eastAsia="宋体"/>
                <w:b w:val="0"/>
                <w:i w:val="0"/>
                <w:sz w:val="19"/>
              </w:rPr>
              <w:t>模型生成层</w:t>
            </w:r>
          </w:p>
        </w:tc>
        <w:tc>
          <w:tcPr>
            <w:tcW w:w="2268" w:type="dxa"/>
            <w:vAlign w:val="center"/>
          </w:tcPr>
          <w:p w14:paraId="07154D6D">
            <w:pPr>
              <w:spacing w:after="0" w:line="240" w:lineRule="auto"/>
              <w:jc w:val="center"/>
            </w:pPr>
            <w:r>
              <w:rPr>
                <w:rFonts w:ascii="Times New Roman" w:hAnsi="Times New Roman" w:eastAsia="宋体"/>
                <w:b w:val="0"/>
                <w:i w:val="0"/>
                <w:sz w:val="19"/>
              </w:rPr>
              <w:t>F、规则输出、上下文</w:t>
            </w:r>
          </w:p>
        </w:tc>
        <w:tc>
          <w:tcPr>
            <w:tcW w:w="2268" w:type="dxa"/>
            <w:vAlign w:val="center"/>
          </w:tcPr>
          <w:p w14:paraId="349D7253">
            <w:pPr>
              <w:spacing w:after="0" w:line="240" w:lineRule="auto"/>
              <w:jc w:val="center"/>
            </w:pPr>
            <w:r>
              <w:rPr>
                <w:rFonts w:ascii="Times New Roman" w:hAnsi="Times New Roman" w:eastAsia="宋体"/>
                <w:b w:val="0"/>
                <w:i w:val="0"/>
                <w:sz w:val="19"/>
              </w:rPr>
              <w:t>个性化诊断文本与路径</w:t>
            </w:r>
          </w:p>
        </w:tc>
        <w:tc>
          <w:tcPr>
            <w:tcW w:w="2268" w:type="dxa"/>
            <w:vAlign w:val="center"/>
          </w:tcPr>
          <w:p w14:paraId="66308091">
            <w:pPr>
              <w:spacing w:after="0" w:line="240" w:lineRule="auto"/>
              <w:jc w:val="center"/>
            </w:pPr>
            <w:r>
              <w:rPr>
                <w:rFonts w:ascii="Times New Roman" w:hAnsi="Times New Roman" w:eastAsia="宋体"/>
                <w:b w:val="0"/>
                <w:i w:val="0"/>
                <w:sz w:val="19"/>
              </w:rPr>
              <w:t>待补充训练与推理日志</w:t>
            </w:r>
          </w:p>
        </w:tc>
      </w:tr>
      <w:tr w14:paraId="46FC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ADC2FF5">
            <w:pPr>
              <w:spacing w:after="0" w:line="240" w:lineRule="auto"/>
              <w:jc w:val="center"/>
            </w:pPr>
            <w:r>
              <w:rPr>
                <w:rFonts w:ascii="Times New Roman" w:hAnsi="Times New Roman" w:eastAsia="宋体"/>
                <w:b w:val="0"/>
                <w:i w:val="0"/>
                <w:sz w:val="19"/>
              </w:rPr>
              <w:t>契约校验层</w:t>
            </w:r>
          </w:p>
        </w:tc>
        <w:tc>
          <w:tcPr>
            <w:tcW w:w="2268" w:type="dxa"/>
            <w:vAlign w:val="center"/>
          </w:tcPr>
          <w:p w14:paraId="110ED229">
            <w:pPr>
              <w:spacing w:after="0" w:line="240" w:lineRule="auto"/>
              <w:jc w:val="center"/>
            </w:pPr>
            <w:r>
              <w:rPr>
                <w:rFonts w:ascii="Times New Roman" w:hAnsi="Times New Roman" w:eastAsia="宋体"/>
                <w:b w:val="0"/>
                <w:i w:val="0"/>
                <w:sz w:val="19"/>
              </w:rPr>
              <w:t>模型或规则输出</w:t>
            </w:r>
          </w:p>
        </w:tc>
        <w:tc>
          <w:tcPr>
            <w:tcW w:w="2268" w:type="dxa"/>
            <w:vAlign w:val="center"/>
          </w:tcPr>
          <w:p w14:paraId="0DCB3AD6">
            <w:pPr>
              <w:spacing w:after="0" w:line="240" w:lineRule="auto"/>
              <w:jc w:val="center"/>
            </w:pPr>
            <w:r>
              <w:rPr>
                <w:rFonts w:ascii="Times New Roman" w:hAnsi="Times New Roman" w:eastAsia="宋体"/>
                <w:b w:val="0"/>
                <w:i w:val="0"/>
                <w:sz w:val="19"/>
              </w:rPr>
              <w:t>合格响应或回退说明</w:t>
            </w:r>
          </w:p>
        </w:tc>
        <w:tc>
          <w:tcPr>
            <w:tcW w:w="2268" w:type="dxa"/>
            <w:vAlign w:val="center"/>
          </w:tcPr>
          <w:p w14:paraId="0D4BAB23">
            <w:pPr>
              <w:spacing w:after="0" w:line="240" w:lineRule="auto"/>
              <w:jc w:val="left"/>
            </w:pPr>
            <w:r>
              <w:rPr>
                <w:rFonts w:ascii="Times New Roman" w:hAnsi="Times New Roman" w:eastAsia="宋体"/>
                <w:b w:val="0"/>
                <w:i w:val="0"/>
                <w:sz w:val="19"/>
              </w:rPr>
              <w:t>已有契约思路，需补充测试结果</w:t>
            </w:r>
          </w:p>
        </w:tc>
      </w:tr>
      <w:tr w14:paraId="230F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5460C08">
            <w:pPr>
              <w:spacing w:after="0" w:line="240" w:lineRule="auto"/>
              <w:jc w:val="center"/>
            </w:pPr>
            <w:r>
              <w:rPr>
                <w:rFonts w:ascii="Times New Roman" w:hAnsi="Times New Roman" w:eastAsia="宋体"/>
                <w:b w:val="0"/>
                <w:i w:val="0"/>
                <w:sz w:val="19"/>
              </w:rPr>
              <w:t>建议留痕层</w:t>
            </w:r>
          </w:p>
        </w:tc>
        <w:tc>
          <w:tcPr>
            <w:tcW w:w="2268" w:type="dxa"/>
            <w:vAlign w:val="center"/>
          </w:tcPr>
          <w:p w14:paraId="53AF56C1">
            <w:pPr>
              <w:spacing w:after="0" w:line="240" w:lineRule="auto"/>
              <w:jc w:val="center"/>
            </w:pPr>
            <w:r>
              <w:rPr>
                <w:rFonts w:ascii="Times New Roman" w:hAnsi="Times New Roman" w:eastAsia="宋体"/>
                <w:b w:val="0"/>
                <w:i w:val="0"/>
                <w:sz w:val="19"/>
              </w:rPr>
              <w:t>Agent 响应</w:t>
            </w:r>
          </w:p>
        </w:tc>
        <w:tc>
          <w:tcPr>
            <w:tcW w:w="2268" w:type="dxa"/>
            <w:vAlign w:val="center"/>
          </w:tcPr>
          <w:p w14:paraId="4C80DC92">
            <w:pPr>
              <w:spacing w:after="0" w:line="240" w:lineRule="auto"/>
              <w:jc w:val="center"/>
            </w:pPr>
            <w:r>
              <w:rPr>
                <w:rFonts w:ascii="Times New Roman" w:hAnsi="Times New Roman" w:eastAsia="宋体"/>
                <w:b w:val="0"/>
                <w:i w:val="0"/>
                <w:sz w:val="19"/>
              </w:rPr>
              <w:t>建议编号和状态</w:t>
            </w:r>
          </w:p>
        </w:tc>
        <w:tc>
          <w:tcPr>
            <w:tcW w:w="2268" w:type="dxa"/>
            <w:vAlign w:val="center"/>
          </w:tcPr>
          <w:p w14:paraId="0FFB806C">
            <w:pPr>
              <w:spacing w:after="0" w:line="240" w:lineRule="auto"/>
              <w:jc w:val="center"/>
            </w:pPr>
            <w:r>
              <w:rPr>
                <w:rFonts w:ascii="Times New Roman" w:hAnsi="Times New Roman" w:eastAsia="宋体"/>
                <w:b w:val="0"/>
                <w:i w:val="0"/>
                <w:sz w:val="19"/>
              </w:rPr>
              <w:t>待补充端到端样例</w:t>
            </w:r>
          </w:p>
        </w:tc>
      </w:tr>
      <w:tr w14:paraId="796A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C32027">
            <w:pPr>
              <w:spacing w:after="0" w:line="240" w:lineRule="auto"/>
              <w:jc w:val="center"/>
            </w:pPr>
            <w:r>
              <w:rPr>
                <w:rFonts w:ascii="Times New Roman" w:hAnsi="Times New Roman" w:eastAsia="宋体"/>
                <w:b w:val="0"/>
                <w:i w:val="0"/>
                <w:sz w:val="19"/>
              </w:rPr>
              <w:t>人工确认层</w:t>
            </w:r>
          </w:p>
        </w:tc>
        <w:tc>
          <w:tcPr>
            <w:tcW w:w="2268" w:type="dxa"/>
            <w:vAlign w:val="center"/>
          </w:tcPr>
          <w:p w14:paraId="428A717B">
            <w:pPr>
              <w:spacing w:after="0" w:line="240" w:lineRule="auto"/>
              <w:jc w:val="center"/>
            </w:pPr>
            <w:r>
              <w:rPr>
                <w:rFonts w:ascii="Times New Roman" w:hAnsi="Times New Roman" w:eastAsia="宋体"/>
                <w:b w:val="0"/>
                <w:i w:val="0"/>
                <w:sz w:val="19"/>
              </w:rPr>
              <w:t>建议与操作者动作</w:t>
            </w:r>
          </w:p>
        </w:tc>
        <w:tc>
          <w:tcPr>
            <w:tcW w:w="2268" w:type="dxa"/>
            <w:vAlign w:val="center"/>
          </w:tcPr>
          <w:p w14:paraId="5104F3DE">
            <w:pPr>
              <w:spacing w:after="0" w:line="240" w:lineRule="auto"/>
              <w:jc w:val="center"/>
            </w:pPr>
            <w:r>
              <w:rPr>
                <w:rFonts w:ascii="Times New Roman" w:hAnsi="Times New Roman" w:eastAsia="宋体"/>
                <w:b w:val="0"/>
                <w:i w:val="0"/>
                <w:sz w:val="19"/>
              </w:rPr>
              <w:t>决策日志</w:t>
            </w:r>
          </w:p>
        </w:tc>
        <w:tc>
          <w:tcPr>
            <w:tcW w:w="2268" w:type="dxa"/>
            <w:vAlign w:val="center"/>
          </w:tcPr>
          <w:p w14:paraId="7612015A">
            <w:pPr>
              <w:spacing w:after="0" w:line="240" w:lineRule="auto"/>
              <w:jc w:val="left"/>
            </w:pPr>
            <w:r>
              <w:rPr>
                <w:rFonts w:ascii="Times New Roman" w:hAnsi="Times New Roman" w:eastAsia="宋体"/>
                <w:b w:val="0"/>
                <w:i w:val="0"/>
                <w:sz w:val="19"/>
              </w:rPr>
              <w:t>待补充流程截图或数据库记录</w:t>
            </w:r>
          </w:p>
        </w:tc>
      </w:tr>
    </w:tbl>
    <w:p w14:paraId="6CC4A06E">
      <w:pPr>
        <w:spacing w:after="40"/>
      </w:pPr>
    </w:p>
    <w:p w14:paraId="0C42F58F">
      <w:pPr>
        <w:pStyle w:val="4"/>
        <w:keepNext/>
        <w:spacing w:before="120" w:after="120"/>
      </w:pPr>
      <w:r>
        <w:rPr>
          <w:rFonts w:ascii="Times New Roman" w:hAnsi="Times New Roman" w:eastAsia="黑体"/>
          <w:b/>
          <w:i w:val="0"/>
          <w:sz w:val="22"/>
        </w:rPr>
        <w:t>4.2 规则表达与推理机制</w:t>
      </w:r>
    </w:p>
    <w:p w14:paraId="67FDC3BC">
      <w:pPr>
        <w:spacing w:before="0" w:after="120" w:line="259" w:lineRule="auto"/>
        <w:ind w:firstLine="420"/>
      </w:pPr>
      <w:r>
        <w:rPr>
          <w:rFonts w:ascii="Times New Roman" w:hAnsi="Times New Roman" w:eastAsia="宋体"/>
          <w:b w:val="0"/>
          <w:i w:val="0"/>
          <w:sz w:val="21"/>
        </w:rPr>
        <w:t>规则采用数据库表存储，核心字段包括 rule_code、scene、rule_group、condition_json、action_json、priority、enabled、stop_on_match、max_hits 和 status。条件算子覆盖比较、集合、文本和布尔判断，不使用脚本执行、表达式求值或拼接 SQL。规则按照场景和优先级匹配，同一分组内可通过 stop_on_match 和 max_hits 控制命中数量。输出阶段对 actions、causes 和 rule_refs 去重保序，并以最严重命中作为 severity。</w:t>
      </w:r>
    </w:p>
    <w:p w14:paraId="32DED888">
      <w:pPr>
        <w:spacing w:before="0" w:after="120" w:line="259" w:lineRule="auto"/>
        <w:ind w:firstLine="420"/>
      </w:pPr>
      <w:r>
        <w:rPr>
          <w:rFonts w:ascii="Times New Roman" w:hAnsi="Times New Roman" w:eastAsia="宋体"/>
          <w:b w:val="0"/>
          <w:i w:val="0"/>
          <w:sz w:val="21"/>
        </w:rPr>
        <w:t>对于个人差距场景，规则可表达“当前技能等级低于岗位要求”“考试低于及格线”“证书即将过期”“安全记录触发一票否决”等条件；对于组织人才场景，规则可表达“关键岗位备份不足”“未来需求高于现有人才”等条件。规则结果不仅给出建议，还保留命中编号和解释，为后续审计和论文实验复现提供依据。</w:t>
      </w:r>
    </w:p>
    <w:p w14:paraId="67AE135B">
      <w:pPr>
        <w:pStyle w:val="4"/>
        <w:keepNext/>
        <w:spacing w:before="120" w:after="120"/>
      </w:pPr>
      <w:r>
        <w:rPr>
          <w:rFonts w:ascii="Times New Roman" w:hAnsi="Times New Roman" w:eastAsia="黑体"/>
          <w:b/>
          <w:i w:val="0"/>
          <w:sz w:val="22"/>
        </w:rPr>
        <w:t>4.3 模型增强与回退策略</w:t>
      </w:r>
    </w:p>
    <w:p w14:paraId="7189F8ED">
      <w:pPr>
        <w:spacing w:before="0" w:after="120" w:line="259" w:lineRule="auto"/>
        <w:ind w:firstLine="420"/>
      </w:pPr>
      <w:r>
        <w:rPr>
          <w:rFonts w:ascii="Times New Roman" w:hAnsi="Times New Roman" w:eastAsia="宋体"/>
          <w:b w:val="0"/>
          <w:i w:val="0"/>
          <w:sz w:val="21"/>
        </w:rPr>
        <w:t>模型增强路径在规则结果基础上生成更具可读性的结论、学习路径、阶段目标和复合型人才路线。为了避免模型输出越界，系统保持统一响应字段，并通过契约校验确保 source、agent_type、target_id、suggestions、confidence、need_human_confirm 和 status 等字段稳定。当模型未配置、调用失败或输出不符合契约时，系统自动回退到规则或内置基线结论，并记录 fallback_note。</w:t>
      </w:r>
    </w:p>
    <w:p w14:paraId="15A8595B">
      <w:pPr>
        <w:pStyle w:val="4"/>
        <w:keepNext/>
        <w:spacing w:before="120" w:after="120"/>
      </w:pPr>
      <w:r>
        <w:rPr>
          <w:rFonts w:ascii="Times New Roman" w:hAnsi="Times New Roman" w:eastAsia="黑体"/>
          <w:b/>
          <w:i w:val="0"/>
          <w:sz w:val="22"/>
        </w:rPr>
        <w:t>4.4 安全与权限边界</w:t>
      </w:r>
    </w:p>
    <w:p w14:paraId="35BA8742">
      <w:pPr>
        <w:spacing w:before="0" w:after="120" w:line="259" w:lineRule="auto"/>
        <w:ind w:firstLine="420"/>
      </w:pPr>
      <w:r>
        <w:rPr>
          <w:rFonts w:ascii="Times New Roman" w:hAnsi="Times New Roman" w:eastAsia="宋体"/>
          <w:b w:val="0"/>
          <w:i w:val="0"/>
          <w:sz w:val="21"/>
        </w:rPr>
        <w:t>个性化 Agent 只生成建议，不直接改写员工技能等级、考试成绩或业务决策。员工只能查看本人画像，组长只能查看本人和本班组，老总查看公司汇总，管理员负责平台配置和审计。心理与关怀数据默认本人可见，管理侧只可使用脱敏聚合。涉及安全不合格的场景，应在建议中保持最高优先级并触发人工确认。</w:t>
      </w:r>
    </w:p>
    <w:p w14:paraId="5AEE14FE">
      <w:pPr>
        <w:pStyle w:val="3"/>
        <w:keepNext/>
        <w:spacing w:before="200" w:after="120"/>
      </w:pPr>
      <w:r>
        <w:rPr>
          <w:rFonts w:ascii="Times New Roman" w:hAnsi="Times New Roman" w:eastAsia="黑体"/>
          <w:b/>
          <w:i w:val="0"/>
          <w:sz w:val="24"/>
        </w:rPr>
        <w:t>5 个性化训练数据构造</w:t>
      </w:r>
    </w:p>
    <w:p w14:paraId="75A27572">
      <w:pPr>
        <w:pStyle w:val="4"/>
        <w:keepNext/>
        <w:spacing w:before="120" w:after="120"/>
      </w:pPr>
      <w:r>
        <w:rPr>
          <w:rFonts w:ascii="Times New Roman" w:hAnsi="Times New Roman" w:eastAsia="黑体"/>
          <w:b/>
          <w:i w:val="0"/>
          <w:sz w:val="22"/>
        </w:rPr>
        <w:t>5.1 样本格式</w:t>
      </w:r>
    </w:p>
    <w:p w14:paraId="27A41D76">
      <w:pPr>
        <w:spacing w:before="0" w:after="120" w:line="259" w:lineRule="auto"/>
        <w:ind w:firstLine="420"/>
      </w:pPr>
      <w:r>
        <w:rPr>
          <w:rFonts w:ascii="Times New Roman" w:hAnsi="Times New Roman" w:eastAsia="宋体"/>
          <w:b w:val="0"/>
          <w:i w:val="0"/>
          <w:sz w:val="21"/>
        </w:rPr>
        <w:t>训练样本采用指令、输入和输出三段式组织。输入包含员工角色、岗位、技能等级、岗位要求、团队平均、考试成绩、学习时长、软技能弱项、盲点、证书状态和查询场景等事实。输出为 JSON 字符串，包含 conclusion、gaps、learning_path、roadmap、level_mapping、skill_dependencies、safety_boundary、quantitative_baseline 和 personalization_basis 等字段。该格式有利于自动校验、去重、统计和后续监督微调。</w:t>
      </w:r>
    </w:p>
    <w:p w14:paraId="05110029">
      <w:pPr>
        <w:spacing w:before="80" w:after="80"/>
        <w:jc w:val="center"/>
      </w:pPr>
      <w:r>
        <w:rPr>
          <w:rFonts w:ascii="Times New Roman" w:hAnsi="Times New Roman" w:eastAsia="黑体"/>
          <w:b/>
          <w:i w:val="0"/>
          <w:sz w:val="19"/>
        </w:rPr>
        <w:t>表2 训练样本字段设计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005"/>
        <w:gridCol w:w="3798"/>
      </w:tblGrid>
      <w:tr w14:paraId="5754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69034488">
            <w:pPr>
              <w:spacing w:after="0" w:line="240" w:lineRule="auto"/>
              <w:jc w:val="center"/>
            </w:pPr>
            <w:r>
              <w:rPr>
                <w:rFonts w:ascii="Times New Roman" w:hAnsi="Times New Roman" w:eastAsia="宋体"/>
                <w:b/>
                <w:i w:val="0"/>
                <w:sz w:val="19"/>
              </w:rPr>
              <w:t>字段</w:t>
            </w:r>
          </w:p>
        </w:tc>
        <w:tc>
          <w:tcPr>
            <w:tcW w:w="3005" w:type="dxa"/>
            <w:shd w:val="clear" w:color="auto" w:fill="D9EAF7"/>
            <w:vAlign w:val="center"/>
          </w:tcPr>
          <w:p w14:paraId="1B425D82">
            <w:pPr>
              <w:spacing w:after="0" w:line="240" w:lineRule="auto"/>
              <w:jc w:val="center"/>
            </w:pPr>
            <w:r>
              <w:rPr>
                <w:rFonts w:ascii="Times New Roman" w:hAnsi="Times New Roman" w:eastAsia="宋体"/>
                <w:b/>
                <w:i w:val="0"/>
                <w:sz w:val="19"/>
              </w:rPr>
              <w:t>含义</w:t>
            </w:r>
          </w:p>
        </w:tc>
        <w:tc>
          <w:tcPr>
            <w:tcW w:w="3798" w:type="dxa"/>
            <w:shd w:val="clear" w:color="auto" w:fill="D9EAF7"/>
            <w:vAlign w:val="center"/>
          </w:tcPr>
          <w:p w14:paraId="5EE3004D">
            <w:pPr>
              <w:spacing w:after="0" w:line="240" w:lineRule="auto"/>
              <w:jc w:val="center"/>
            </w:pPr>
            <w:r>
              <w:rPr>
                <w:rFonts w:ascii="Times New Roman" w:hAnsi="Times New Roman" w:eastAsia="宋体"/>
                <w:b/>
                <w:i w:val="0"/>
                <w:sz w:val="19"/>
              </w:rPr>
              <w:t>示例或占位</w:t>
            </w:r>
          </w:p>
        </w:tc>
      </w:tr>
      <w:tr w14:paraId="7A78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15F02C0">
            <w:pPr>
              <w:spacing w:after="0" w:line="240" w:lineRule="auto"/>
              <w:jc w:val="center"/>
            </w:pPr>
            <w:r>
              <w:rPr>
                <w:rFonts w:ascii="Times New Roman" w:hAnsi="Times New Roman" w:eastAsia="宋体"/>
                <w:b w:val="0"/>
                <w:i w:val="0"/>
                <w:sz w:val="19"/>
              </w:rPr>
              <w:t>instruction</w:t>
            </w:r>
          </w:p>
        </w:tc>
        <w:tc>
          <w:tcPr>
            <w:tcW w:w="3005" w:type="dxa"/>
            <w:vAlign w:val="center"/>
          </w:tcPr>
          <w:p w14:paraId="2FC62036">
            <w:pPr>
              <w:spacing w:after="0" w:line="240" w:lineRule="auto"/>
              <w:jc w:val="center"/>
            </w:pPr>
            <w:r>
              <w:rPr>
                <w:rFonts w:ascii="Times New Roman" w:hAnsi="Times New Roman" w:eastAsia="宋体"/>
                <w:b w:val="0"/>
                <w:i w:val="0"/>
                <w:sz w:val="19"/>
              </w:rPr>
              <w:t>固定任务指令</w:t>
            </w:r>
          </w:p>
        </w:tc>
        <w:tc>
          <w:tcPr>
            <w:tcW w:w="3798" w:type="dxa"/>
            <w:vAlign w:val="center"/>
          </w:tcPr>
          <w:p w14:paraId="3077CD16">
            <w:pPr>
              <w:spacing w:after="0" w:line="240" w:lineRule="auto"/>
              <w:jc w:val="left"/>
            </w:pPr>
            <w:r>
              <w:rPr>
                <w:rFonts w:ascii="Times New Roman" w:hAnsi="Times New Roman" w:eastAsia="宋体"/>
                <w:b w:val="0"/>
                <w:i w:val="0"/>
                <w:sz w:val="19"/>
              </w:rPr>
              <w:t>根据员工画像生成个性化技能诊断与学习建议</w:t>
            </w:r>
          </w:p>
        </w:tc>
      </w:tr>
      <w:tr w14:paraId="11E4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9343BB">
            <w:pPr>
              <w:spacing w:after="0" w:line="240" w:lineRule="auto"/>
              <w:jc w:val="center"/>
            </w:pPr>
            <w:r>
              <w:rPr>
                <w:rFonts w:ascii="Times New Roman" w:hAnsi="Times New Roman" w:eastAsia="宋体"/>
                <w:b w:val="0"/>
                <w:i w:val="0"/>
                <w:sz w:val="19"/>
              </w:rPr>
              <w:t>input</w:t>
            </w:r>
          </w:p>
        </w:tc>
        <w:tc>
          <w:tcPr>
            <w:tcW w:w="3005" w:type="dxa"/>
            <w:vAlign w:val="center"/>
          </w:tcPr>
          <w:p w14:paraId="6A7D300E">
            <w:pPr>
              <w:spacing w:after="0" w:line="240" w:lineRule="auto"/>
              <w:jc w:val="center"/>
            </w:pPr>
            <w:r>
              <w:rPr>
                <w:rFonts w:ascii="Times New Roman" w:hAnsi="Times New Roman" w:eastAsia="宋体"/>
                <w:b w:val="0"/>
                <w:i w:val="0"/>
                <w:sz w:val="19"/>
              </w:rPr>
              <w:t>员工画像与事实</w:t>
            </w:r>
          </w:p>
        </w:tc>
        <w:tc>
          <w:tcPr>
            <w:tcW w:w="3798" w:type="dxa"/>
            <w:vAlign w:val="center"/>
          </w:tcPr>
          <w:p w14:paraId="71810FE9">
            <w:pPr>
              <w:spacing w:after="0" w:line="240" w:lineRule="auto"/>
              <w:jc w:val="left"/>
            </w:pPr>
            <w:r>
              <w:rPr>
                <w:rFonts w:ascii="Times New Roman" w:hAnsi="Times New Roman" w:eastAsia="宋体"/>
                <w:b w:val="0"/>
                <w:i w:val="0"/>
                <w:sz w:val="19"/>
              </w:rPr>
              <w:t>岗位、分数、技能、证书、学习时长等</w:t>
            </w:r>
          </w:p>
        </w:tc>
      </w:tr>
      <w:tr w14:paraId="5321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C7A6D45">
            <w:pPr>
              <w:spacing w:after="0" w:line="240" w:lineRule="auto"/>
              <w:jc w:val="left"/>
            </w:pPr>
            <w:r>
              <w:rPr>
                <w:rFonts w:ascii="Times New Roman" w:hAnsi="Times New Roman" w:eastAsia="宋体"/>
                <w:b w:val="0"/>
                <w:i w:val="0"/>
                <w:sz w:val="19"/>
              </w:rPr>
              <w:t>output.conclusion</w:t>
            </w:r>
          </w:p>
        </w:tc>
        <w:tc>
          <w:tcPr>
            <w:tcW w:w="3005" w:type="dxa"/>
            <w:vAlign w:val="center"/>
          </w:tcPr>
          <w:p w14:paraId="2BA6E340">
            <w:pPr>
              <w:spacing w:after="0" w:line="240" w:lineRule="auto"/>
              <w:jc w:val="center"/>
            </w:pPr>
            <w:r>
              <w:rPr>
                <w:rFonts w:ascii="Times New Roman" w:hAnsi="Times New Roman" w:eastAsia="宋体"/>
                <w:b w:val="0"/>
                <w:i w:val="0"/>
                <w:sz w:val="19"/>
              </w:rPr>
              <w:t>总体结论</w:t>
            </w:r>
          </w:p>
        </w:tc>
        <w:tc>
          <w:tcPr>
            <w:tcW w:w="3798" w:type="dxa"/>
            <w:vAlign w:val="center"/>
          </w:tcPr>
          <w:p w14:paraId="650B0C27">
            <w:pPr>
              <w:spacing w:after="0" w:line="240" w:lineRule="auto"/>
              <w:jc w:val="left"/>
            </w:pPr>
            <w:r>
              <w:rPr>
                <w:rFonts w:ascii="Times New Roman" w:hAnsi="Times New Roman" w:eastAsia="宋体"/>
                <w:b w:val="0"/>
                <w:i w:val="0"/>
                <w:sz w:val="19"/>
              </w:rPr>
              <w:t>［待由样本生成器或模型输出补充］</w:t>
            </w:r>
          </w:p>
        </w:tc>
      </w:tr>
      <w:tr w14:paraId="04C2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1FF46BF">
            <w:pPr>
              <w:spacing w:after="0" w:line="240" w:lineRule="auto"/>
              <w:jc w:val="center"/>
            </w:pPr>
            <w:r>
              <w:rPr>
                <w:rFonts w:ascii="Times New Roman" w:hAnsi="Times New Roman" w:eastAsia="宋体"/>
                <w:b w:val="0"/>
                <w:i w:val="0"/>
                <w:sz w:val="19"/>
              </w:rPr>
              <w:t>output.gaps</w:t>
            </w:r>
          </w:p>
        </w:tc>
        <w:tc>
          <w:tcPr>
            <w:tcW w:w="3005" w:type="dxa"/>
            <w:vAlign w:val="center"/>
          </w:tcPr>
          <w:p w14:paraId="12084C4B">
            <w:pPr>
              <w:spacing w:after="0" w:line="240" w:lineRule="auto"/>
              <w:jc w:val="center"/>
            </w:pPr>
            <w:r>
              <w:rPr>
                <w:rFonts w:ascii="Times New Roman" w:hAnsi="Times New Roman" w:eastAsia="宋体"/>
                <w:b w:val="0"/>
                <w:i w:val="0"/>
                <w:sz w:val="19"/>
              </w:rPr>
              <w:t>差距数组</w:t>
            </w:r>
          </w:p>
        </w:tc>
        <w:tc>
          <w:tcPr>
            <w:tcW w:w="3798" w:type="dxa"/>
            <w:vAlign w:val="center"/>
          </w:tcPr>
          <w:p w14:paraId="0EEBB45A">
            <w:pPr>
              <w:spacing w:after="0" w:line="240" w:lineRule="auto"/>
              <w:jc w:val="left"/>
            </w:pPr>
            <w:r>
              <w:rPr>
                <w:rFonts w:ascii="Times New Roman" w:hAnsi="Times New Roman" w:eastAsia="宋体"/>
                <w:b w:val="0"/>
                <w:i w:val="0"/>
                <w:sz w:val="19"/>
              </w:rPr>
              <w:t>技能缺口、知识缺口、经验缺口等</w:t>
            </w:r>
          </w:p>
        </w:tc>
      </w:tr>
      <w:tr w14:paraId="7FDE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4E1B26C">
            <w:pPr>
              <w:spacing w:after="0" w:line="240" w:lineRule="auto"/>
              <w:jc w:val="left"/>
            </w:pPr>
            <w:r>
              <w:rPr>
                <w:rFonts w:ascii="Times New Roman" w:hAnsi="Times New Roman" w:eastAsia="宋体"/>
                <w:b w:val="0"/>
                <w:i w:val="0"/>
                <w:sz w:val="19"/>
              </w:rPr>
              <w:t>output.learning_path</w:t>
            </w:r>
          </w:p>
        </w:tc>
        <w:tc>
          <w:tcPr>
            <w:tcW w:w="3005" w:type="dxa"/>
            <w:vAlign w:val="center"/>
          </w:tcPr>
          <w:p w14:paraId="2484D3C7">
            <w:pPr>
              <w:spacing w:after="0" w:line="240" w:lineRule="auto"/>
              <w:jc w:val="center"/>
            </w:pPr>
            <w:r>
              <w:rPr>
                <w:rFonts w:ascii="Times New Roman" w:hAnsi="Times New Roman" w:eastAsia="宋体"/>
                <w:b w:val="0"/>
                <w:i w:val="0"/>
                <w:sz w:val="19"/>
              </w:rPr>
              <w:t>学习路径</w:t>
            </w:r>
          </w:p>
        </w:tc>
        <w:tc>
          <w:tcPr>
            <w:tcW w:w="3798" w:type="dxa"/>
            <w:vAlign w:val="center"/>
          </w:tcPr>
          <w:p w14:paraId="5464ACBA">
            <w:pPr>
              <w:spacing w:after="0" w:line="240" w:lineRule="auto"/>
              <w:jc w:val="left"/>
            </w:pPr>
            <w:r>
              <w:rPr>
                <w:rFonts w:ascii="Times New Roman" w:hAnsi="Times New Roman" w:eastAsia="宋体"/>
                <w:b w:val="0"/>
                <w:i w:val="0"/>
                <w:sz w:val="19"/>
              </w:rPr>
              <w:t>课程、带教、模拟考、复盘任务</w:t>
            </w:r>
          </w:p>
        </w:tc>
      </w:tr>
      <w:tr w14:paraId="407B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D9E8C9F">
            <w:pPr>
              <w:spacing w:after="0" w:line="240" w:lineRule="auto"/>
              <w:jc w:val="left"/>
            </w:pPr>
            <w:r>
              <w:rPr>
                <w:rFonts w:ascii="Times New Roman" w:hAnsi="Times New Roman" w:eastAsia="宋体"/>
                <w:b w:val="0"/>
                <w:i w:val="0"/>
                <w:sz w:val="19"/>
              </w:rPr>
              <w:t>output.safety_boundary</w:t>
            </w:r>
          </w:p>
        </w:tc>
        <w:tc>
          <w:tcPr>
            <w:tcW w:w="3005" w:type="dxa"/>
            <w:vAlign w:val="center"/>
          </w:tcPr>
          <w:p w14:paraId="39678743">
            <w:pPr>
              <w:spacing w:after="0" w:line="240" w:lineRule="auto"/>
              <w:jc w:val="center"/>
            </w:pPr>
            <w:r>
              <w:rPr>
                <w:rFonts w:ascii="Times New Roman" w:hAnsi="Times New Roman" w:eastAsia="宋体"/>
                <w:b w:val="0"/>
                <w:i w:val="0"/>
                <w:sz w:val="19"/>
              </w:rPr>
              <w:t>安全和权限边界</w:t>
            </w:r>
          </w:p>
        </w:tc>
        <w:tc>
          <w:tcPr>
            <w:tcW w:w="3798" w:type="dxa"/>
            <w:vAlign w:val="center"/>
          </w:tcPr>
          <w:p w14:paraId="3921BCAB">
            <w:pPr>
              <w:spacing w:after="0" w:line="240" w:lineRule="auto"/>
              <w:jc w:val="left"/>
            </w:pPr>
            <w:r>
              <w:rPr>
                <w:rFonts w:ascii="Times New Roman" w:hAnsi="Times New Roman" w:eastAsia="宋体"/>
                <w:b w:val="0"/>
                <w:i w:val="0"/>
                <w:sz w:val="19"/>
              </w:rPr>
              <w:t>不得替代人工确认，不得越权下发决策</w:t>
            </w:r>
          </w:p>
        </w:tc>
      </w:tr>
    </w:tbl>
    <w:p w14:paraId="575311F3">
      <w:pPr>
        <w:spacing w:after="40"/>
      </w:pPr>
    </w:p>
    <w:p w14:paraId="2ECEA659">
      <w:pPr>
        <w:pStyle w:val="4"/>
        <w:keepNext/>
        <w:spacing w:before="120" w:after="120"/>
      </w:pPr>
      <w:r>
        <w:rPr>
          <w:rFonts w:ascii="Times New Roman" w:hAnsi="Times New Roman" w:eastAsia="黑体"/>
          <w:b/>
          <w:i w:val="0"/>
          <w:sz w:val="22"/>
        </w:rPr>
        <w:t>5.2 数据清洗与校验</w:t>
      </w:r>
    </w:p>
    <w:p w14:paraId="44FA357C">
      <w:pPr>
        <w:spacing w:before="0" w:after="120" w:line="259" w:lineRule="auto"/>
        <w:ind w:firstLine="420"/>
      </w:pPr>
      <w:r>
        <w:rPr>
          <w:rFonts w:ascii="Times New Roman" w:hAnsi="Times New Roman" w:eastAsia="宋体"/>
          <w:b w:val="0"/>
          <w:i w:val="0"/>
          <w:sz w:val="21"/>
        </w:rPr>
        <w:t>数据构造阶段应先扫描原始样本，再进行修复、扩展和独立校验。校验内容包括字段完整性、JSON 可解析性、数组类型、重复姓名、角色频次、软技能重复、安全边界重复、等级映射、依赖关系、团队分数差距和加班范围等。对于单行压缩画像，应使用标签和数值锚点解析，避免行式解析导致角色、分数和时长被默认为空。</w:t>
      </w:r>
    </w:p>
    <w:p w14:paraId="0833E181">
      <w:pPr>
        <w:pStyle w:val="4"/>
        <w:keepNext/>
        <w:spacing w:before="120" w:after="120"/>
      </w:pPr>
      <w:r>
        <w:rPr>
          <w:rFonts w:ascii="Times New Roman" w:hAnsi="Times New Roman" w:eastAsia="黑体"/>
          <w:b/>
          <w:i w:val="0"/>
          <w:sz w:val="22"/>
        </w:rPr>
        <w:t>5.3 数据规模占位</w:t>
      </w:r>
    </w:p>
    <w:p w14:paraId="36A1D9E8">
      <w:pPr>
        <w:spacing w:before="80" w:after="80"/>
        <w:jc w:val="center"/>
      </w:pPr>
      <w:r>
        <w:rPr>
          <w:rFonts w:ascii="Times New Roman" w:hAnsi="Times New Roman" w:eastAsia="黑体"/>
          <w:b/>
          <w:i w:val="0"/>
          <w:sz w:val="19"/>
        </w:rPr>
        <w:t>表3 数据集划分与规模占位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1134"/>
        <w:gridCol w:w="1417"/>
        <w:gridCol w:w="2041"/>
        <w:gridCol w:w="1361"/>
      </w:tblGrid>
      <w:tr w14:paraId="6C3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13BAE278">
            <w:pPr>
              <w:spacing w:after="0" w:line="240" w:lineRule="auto"/>
              <w:jc w:val="center"/>
            </w:pPr>
            <w:r>
              <w:rPr>
                <w:rFonts w:ascii="Times New Roman" w:hAnsi="Times New Roman" w:eastAsia="宋体"/>
                <w:b/>
                <w:i w:val="0"/>
                <w:sz w:val="19"/>
              </w:rPr>
              <w:t>数据集</w:t>
            </w:r>
          </w:p>
        </w:tc>
        <w:tc>
          <w:tcPr>
            <w:tcW w:w="1134" w:type="dxa"/>
            <w:shd w:val="clear" w:color="auto" w:fill="D9EAF7"/>
            <w:vAlign w:val="center"/>
          </w:tcPr>
          <w:p w14:paraId="0A85ED57">
            <w:pPr>
              <w:spacing w:after="0" w:line="240" w:lineRule="auto"/>
              <w:jc w:val="center"/>
            </w:pPr>
            <w:r>
              <w:rPr>
                <w:rFonts w:ascii="Times New Roman" w:hAnsi="Times New Roman" w:eastAsia="宋体"/>
                <w:b/>
                <w:i w:val="0"/>
                <w:sz w:val="19"/>
              </w:rPr>
              <w:t>样本数</w:t>
            </w:r>
          </w:p>
        </w:tc>
        <w:tc>
          <w:tcPr>
            <w:tcW w:w="1134" w:type="dxa"/>
            <w:shd w:val="clear" w:color="auto" w:fill="D9EAF7"/>
            <w:vAlign w:val="center"/>
          </w:tcPr>
          <w:p w14:paraId="682847E1">
            <w:pPr>
              <w:spacing w:after="0" w:line="240" w:lineRule="auto"/>
              <w:jc w:val="center"/>
            </w:pPr>
            <w:r>
              <w:rPr>
                <w:rFonts w:ascii="Times New Roman" w:hAnsi="Times New Roman" w:eastAsia="宋体"/>
                <w:b/>
                <w:i w:val="0"/>
                <w:sz w:val="19"/>
              </w:rPr>
              <w:t>角色数</w:t>
            </w:r>
          </w:p>
        </w:tc>
        <w:tc>
          <w:tcPr>
            <w:tcW w:w="1417" w:type="dxa"/>
            <w:shd w:val="clear" w:color="auto" w:fill="D9EAF7"/>
            <w:vAlign w:val="center"/>
          </w:tcPr>
          <w:p w14:paraId="333EA033">
            <w:pPr>
              <w:spacing w:after="0" w:line="240" w:lineRule="auto"/>
              <w:jc w:val="center"/>
            </w:pPr>
            <w:r>
              <w:rPr>
                <w:rFonts w:ascii="Times New Roman" w:hAnsi="Times New Roman" w:eastAsia="宋体"/>
                <w:b/>
                <w:i w:val="0"/>
                <w:sz w:val="19"/>
              </w:rPr>
              <w:t>技能类型</w:t>
            </w:r>
          </w:p>
        </w:tc>
        <w:tc>
          <w:tcPr>
            <w:tcW w:w="2041" w:type="dxa"/>
            <w:shd w:val="clear" w:color="auto" w:fill="D9EAF7"/>
            <w:vAlign w:val="center"/>
          </w:tcPr>
          <w:p w14:paraId="6A3DC764">
            <w:pPr>
              <w:spacing w:after="0" w:line="240" w:lineRule="auto"/>
              <w:jc w:val="center"/>
            </w:pPr>
            <w:r>
              <w:rPr>
                <w:rFonts w:ascii="Times New Roman" w:hAnsi="Times New Roman" w:eastAsia="宋体"/>
                <w:b/>
                <w:i w:val="0"/>
                <w:sz w:val="19"/>
              </w:rPr>
              <w:t>用途</w:t>
            </w:r>
          </w:p>
        </w:tc>
        <w:tc>
          <w:tcPr>
            <w:tcW w:w="1361" w:type="dxa"/>
            <w:shd w:val="clear" w:color="auto" w:fill="D9EAF7"/>
            <w:vAlign w:val="center"/>
          </w:tcPr>
          <w:p w14:paraId="534BB038">
            <w:pPr>
              <w:spacing w:after="0" w:line="240" w:lineRule="auto"/>
              <w:jc w:val="center"/>
            </w:pPr>
            <w:r>
              <w:rPr>
                <w:rFonts w:ascii="Times New Roman" w:hAnsi="Times New Roman" w:eastAsia="宋体"/>
                <w:b/>
                <w:i w:val="0"/>
                <w:sz w:val="19"/>
              </w:rPr>
              <w:t>状态</w:t>
            </w:r>
          </w:p>
        </w:tc>
      </w:tr>
      <w:tr w14:paraId="6636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00F512">
            <w:pPr>
              <w:spacing w:after="0" w:line="240" w:lineRule="auto"/>
              <w:jc w:val="center"/>
            </w:pPr>
            <w:r>
              <w:rPr>
                <w:rFonts w:ascii="Times New Roman" w:hAnsi="Times New Roman" w:eastAsia="宋体"/>
                <w:b w:val="0"/>
                <w:i w:val="0"/>
                <w:sz w:val="19"/>
              </w:rPr>
              <w:t>训练集</w:t>
            </w:r>
          </w:p>
        </w:tc>
        <w:tc>
          <w:tcPr>
            <w:tcW w:w="1134" w:type="dxa"/>
            <w:vAlign w:val="center"/>
          </w:tcPr>
          <w:p w14:paraId="4414A323">
            <w:pPr>
              <w:spacing w:after="0" w:line="240" w:lineRule="auto"/>
              <w:jc w:val="center"/>
            </w:pPr>
            <w:r>
              <w:rPr>
                <w:rFonts w:ascii="Times New Roman" w:hAnsi="Times New Roman" w:eastAsia="宋体"/>
                <w:b w:val="0"/>
                <w:i w:val="0"/>
                <w:sz w:val="19"/>
              </w:rPr>
              <w:t>［待补充］</w:t>
            </w:r>
          </w:p>
        </w:tc>
        <w:tc>
          <w:tcPr>
            <w:tcW w:w="1134" w:type="dxa"/>
            <w:vAlign w:val="center"/>
          </w:tcPr>
          <w:p w14:paraId="58B9A593">
            <w:pPr>
              <w:spacing w:after="0" w:line="240" w:lineRule="auto"/>
              <w:jc w:val="center"/>
            </w:pPr>
            <w:r>
              <w:rPr>
                <w:rFonts w:ascii="Times New Roman" w:hAnsi="Times New Roman" w:eastAsia="宋体"/>
                <w:b w:val="0"/>
                <w:i w:val="0"/>
                <w:sz w:val="19"/>
              </w:rPr>
              <w:t>［待补充］</w:t>
            </w:r>
          </w:p>
        </w:tc>
        <w:tc>
          <w:tcPr>
            <w:tcW w:w="1417" w:type="dxa"/>
            <w:vAlign w:val="center"/>
          </w:tcPr>
          <w:p w14:paraId="2B3914A7">
            <w:pPr>
              <w:spacing w:after="0" w:line="240" w:lineRule="auto"/>
              <w:jc w:val="center"/>
            </w:pPr>
            <w:r>
              <w:rPr>
                <w:rFonts w:ascii="Times New Roman" w:hAnsi="Times New Roman" w:eastAsia="宋体"/>
                <w:b w:val="0"/>
                <w:i w:val="0"/>
                <w:sz w:val="19"/>
              </w:rPr>
              <w:t>［待补充］</w:t>
            </w:r>
          </w:p>
        </w:tc>
        <w:tc>
          <w:tcPr>
            <w:tcW w:w="2041" w:type="dxa"/>
            <w:vAlign w:val="center"/>
          </w:tcPr>
          <w:p w14:paraId="353EB87A">
            <w:pPr>
              <w:spacing w:after="0" w:line="240" w:lineRule="auto"/>
              <w:jc w:val="center"/>
            </w:pPr>
            <w:r>
              <w:rPr>
                <w:rFonts w:ascii="Times New Roman" w:hAnsi="Times New Roman" w:eastAsia="宋体"/>
                <w:b w:val="0"/>
                <w:i w:val="0"/>
                <w:sz w:val="19"/>
              </w:rPr>
              <w:t>监督微调</w:t>
            </w:r>
          </w:p>
        </w:tc>
        <w:tc>
          <w:tcPr>
            <w:tcW w:w="1361" w:type="dxa"/>
            <w:vAlign w:val="center"/>
          </w:tcPr>
          <w:p w14:paraId="30D9B633">
            <w:pPr>
              <w:spacing w:after="0" w:line="240" w:lineRule="auto"/>
              <w:jc w:val="center"/>
            </w:pPr>
            <w:r>
              <w:rPr>
                <w:rFonts w:ascii="Times New Roman" w:hAnsi="Times New Roman" w:eastAsia="宋体"/>
                <w:b w:val="0"/>
                <w:i w:val="0"/>
                <w:sz w:val="19"/>
              </w:rPr>
              <w:t>未填写</w:t>
            </w:r>
          </w:p>
        </w:tc>
      </w:tr>
      <w:tr w14:paraId="653F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275B490">
            <w:pPr>
              <w:spacing w:after="0" w:line="240" w:lineRule="auto"/>
              <w:jc w:val="center"/>
            </w:pPr>
            <w:r>
              <w:rPr>
                <w:rFonts w:ascii="Times New Roman" w:hAnsi="Times New Roman" w:eastAsia="宋体"/>
                <w:b w:val="0"/>
                <w:i w:val="0"/>
                <w:sz w:val="19"/>
              </w:rPr>
              <w:t>验证集</w:t>
            </w:r>
          </w:p>
        </w:tc>
        <w:tc>
          <w:tcPr>
            <w:tcW w:w="1134" w:type="dxa"/>
            <w:vAlign w:val="center"/>
          </w:tcPr>
          <w:p w14:paraId="4190614E">
            <w:pPr>
              <w:spacing w:after="0" w:line="240" w:lineRule="auto"/>
              <w:jc w:val="center"/>
            </w:pPr>
            <w:r>
              <w:rPr>
                <w:rFonts w:ascii="Times New Roman" w:hAnsi="Times New Roman" w:eastAsia="宋体"/>
                <w:b w:val="0"/>
                <w:i w:val="0"/>
                <w:sz w:val="19"/>
              </w:rPr>
              <w:t>［待补充］</w:t>
            </w:r>
          </w:p>
        </w:tc>
        <w:tc>
          <w:tcPr>
            <w:tcW w:w="1134" w:type="dxa"/>
            <w:vAlign w:val="center"/>
          </w:tcPr>
          <w:p w14:paraId="30261197">
            <w:pPr>
              <w:spacing w:after="0" w:line="240" w:lineRule="auto"/>
              <w:jc w:val="center"/>
            </w:pPr>
            <w:r>
              <w:rPr>
                <w:rFonts w:ascii="Times New Roman" w:hAnsi="Times New Roman" w:eastAsia="宋体"/>
                <w:b w:val="0"/>
                <w:i w:val="0"/>
                <w:sz w:val="19"/>
              </w:rPr>
              <w:t>［待补充］</w:t>
            </w:r>
          </w:p>
        </w:tc>
        <w:tc>
          <w:tcPr>
            <w:tcW w:w="1417" w:type="dxa"/>
            <w:vAlign w:val="center"/>
          </w:tcPr>
          <w:p w14:paraId="66BA2D13">
            <w:pPr>
              <w:spacing w:after="0" w:line="240" w:lineRule="auto"/>
              <w:jc w:val="center"/>
            </w:pPr>
            <w:r>
              <w:rPr>
                <w:rFonts w:ascii="Times New Roman" w:hAnsi="Times New Roman" w:eastAsia="宋体"/>
                <w:b w:val="0"/>
                <w:i w:val="0"/>
                <w:sz w:val="19"/>
              </w:rPr>
              <w:t>［待补充］</w:t>
            </w:r>
          </w:p>
        </w:tc>
        <w:tc>
          <w:tcPr>
            <w:tcW w:w="2041" w:type="dxa"/>
            <w:vAlign w:val="center"/>
          </w:tcPr>
          <w:p w14:paraId="2324901D">
            <w:pPr>
              <w:spacing w:after="0" w:line="240" w:lineRule="auto"/>
              <w:jc w:val="center"/>
            </w:pPr>
            <w:r>
              <w:rPr>
                <w:rFonts w:ascii="Times New Roman" w:hAnsi="Times New Roman" w:eastAsia="宋体"/>
                <w:b w:val="0"/>
                <w:i w:val="0"/>
                <w:sz w:val="19"/>
              </w:rPr>
              <w:t>超参选择与早停</w:t>
            </w:r>
          </w:p>
        </w:tc>
        <w:tc>
          <w:tcPr>
            <w:tcW w:w="1361" w:type="dxa"/>
            <w:vAlign w:val="center"/>
          </w:tcPr>
          <w:p w14:paraId="671ED44A">
            <w:pPr>
              <w:spacing w:after="0" w:line="240" w:lineRule="auto"/>
              <w:jc w:val="center"/>
            </w:pPr>
            <w:r>
              <w:rPr>
                <w:rFonts w:ascii="Times New Roman" w:hAnsi="Times New Roman" w:eastAsia="宋体"/>
                <w:b w:val="0"/>
                <w:i w:val="0"/>
                <w:sz w:val="19"/>
              </w:rPr>
              <w:t>未填写</w:t>
            </w:r>
          </w:p>
        </w:tc>
      </w:tr>
      <w:tr w14:paraId="1054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180876">
            <w:pPr>
              <w:spacing w:after="0" w:line="240" w:lineRule="auto"/>
              <w:jc w:val="center"/>
            </w:pPr>
            <w:r>
              <w:rPr>
                <w:rFonts w:ascii="Times New Roman" w:hAnsi="Times New Roman" w:eastAsia="宋体"/>
                <w:b w:val="0"/>
                <w:i w:val="0"/>
                <w:sz w:val="19"/>
              </w:rPr>
              <w:t>测试集</w:t>
            </w:r>
          </w:p>
        </w:tc>
        <w:tc>
          <w:tcPr>
            <w:tcW w:w="1134" w:type="dxa"/>
            <w:vAlign w:val="center"/>
          </w:tcPr>
          <w:p w14:paraId="41D6CB2D">
            <w:pPr>
              <w:spacing w:after="0" w:line="240" w:lineRule="auto"/>
              <w:jc w:val="center"/>
            </w:pPr>
            <w:r>
              <w:rPr>
                <w:rFonts w:ascii="Times New Roman" w:hAnsi="Times New Roman" w:eastAsia="宋体"/>
                <w:b w:val="0"/>
                <w:i w:val="0"/>
                <w:sz w:val="19"/>
              </w:rPr>
              <w:t>［待补充］</w:t>
            </w:r>
          </w:p>
        </w:tc>
        <w:tc>
          <w:tcPr>
            <w:tcW w:w="1134" w:type="dxa"/>
            <w:vAlign w:val="center"/>
          </w:tcPr>
          <w:p w14:paraId="29174108">
            <w:pPr>
              <w:spacing w:after="0" w:line="240" w:lineRule="auto"/>
              <w:jc w:val="center"/>
            </w:pPr>
            <w:r>
              <w:rPr>
                <w:rFonts w:ascii="Times New Roman" w:hAnsi="Times New Roman" w:eastAsia="宋体"/>
                <w:b w:val="0"/>
                <w:i w:val="0"/>
                <w:sz w:val="19"/>
              </w:rPr>
              <w:t>［待补充］</w:t>
            </w:r>
          </w:p>
        </w:tc>
        <w:tc>
          <w:tcPr>
            <w:tcW w:w="1417" w:type="dxa"/>
            <w:vAlign w:val="center"/>
          </w:tcPr>
          <w:p w14:paraId="67305ABC">
            <w:pPr>
              <w:spacing w:after="0" w:line="240" w:lineRule="auto"/>
              <w:jc w:val="center"/>
            </w:pPr>
            <w:r>
              <w:rPr>
                <w:rFonts w:ascii="Times New Roman" w:hAnsi="Times New Roman" w:eastAsia="宋体"/>
                <w:b w:val="0"/>
                <w:i w:val="0"/>
                <w:sz w:val="19"/>
              </w:rPr>
              <w:t>［待补充］</w:t>
            </w:r>
          </w:p>
        </w:tc>
        <w:tc>
          <w:tcPr>
            <w:tcW w:w="2041" w:type="dxa"/>
            <w:vAlign w:val="center"/>
          </w:tcPr>
          <w:p w14:paraId="2774C16F">
            <w:pPr>
              <w:spacing w:after="0" w:line="240" w:lineRule="auto"/>
              <w:jc w:val="center"/>
            </w:pPr>
            <w:r>
              <w:rPr>
                <w:rFonts w:ascii="Times New Roman" w:hAnsi="Times New Roman" w:eastAsia="宋体"/>
                <w:b w:val="0"/>
                <w:i w:val="0"/>
                <w:sz w:val="19"/>
              </w:rPr>
              <w:t>最终评价</w:t>
            </w:r>
          </w:p>
        </w:tc>
        <w:tc>
          <w:tcPr>
            <w:tcW w:w="1361" w:type="dxa"/>
            <w:vAlign w:val="center"/>
          </w:tcPr>
          <w:p w14:paraId="42EE93D4">
            <w:pPr>
              <w:spacing w:after="0" w:line="240" w:lineRule="auto"/>
              <w:jc w:val="center"/>
            </w:pPr>
            <w:r>
              <w:rPr>
                <w:rFonts w:ascii="Times New Roman" w:hAnsi="Times New Roman" w:eastAsia="宋体"/>
                <w:b w:val="0"/>
                <w:i w:val="0"/>
                <w:sz w:val="19"/>
              </w:rPr>
              <w:t>未填写</w:t>
            </w:r>
          </w:p>
        </w:tc>
      </w:tr>
      <w:tr w14:paraId="6DD5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C4F3EE">
            <w:pPr>
              <w:spacing w:after="0" w:line="240" w:lineRule="auto"/>
              <w:jc w:val="center"/>
            </w:pPr>
            <w:r>
              <w:rPr>
                <w:rFonts w:ascii="Times New Roman" w:hAnsi="Times New Roman" w:eastAsia="宋体"/>
                <w:b w:val="0"/>
                <w:i w:val="0"/>
                <w:sz w:val="19"/>
              </w:rPr>
              <w:t>现场回放集</w:t>
            </w:r>
          </w:p>
        </w:tc>
        <w:tc>
          <w:tcPr>
            <w:tcW w:w="1134" w:type="dxa"/>
            <w:vAlign w:val="center"/>
          </w:tcPr>
          <w:p w14:paraId="77F39D7C">
            <w:pPr>
              <w:spacing w:after="0" w:line="240" w:lineRule="auto"/>
              <w:jc w:val="center"/>
            </w:pPr>
            <w:r>
              <w:rPr>
                <w:rFonts w:ascii="Times New Roman" w:hAnsi="Times New Roman" w:eastAsia="宋体"/>
                <w:b w:val="0"/>
                <w:i w:val="0"/>
                <w:sz w:val="19"/>
              </w:rPr>
              <w:t>［待补充］</w:t>
            </w:r>
          </w:p>
        </w:tc>
        <w:tc>
          <w:tcPr>
            <w:tcW w:w="1134" w:type="dxa"/>
            <w:vAlign w:val="center"/>
          </w:tcPr>
          <w:p w14:paraId="280A0F09">
            <w:pPr>
              <w:spacing w:after="0" w:line="240" w:lineRule="auto"/>
              <w:jc w:val="center"/>
            </w:pPr>
            <w:r>
              <w:rPr>
                <w:rFonts w:ascii="Times New Roman" w:hAnsi="Times New Roman" w:eastAsia="宋体"/>
                <w:b w:val="0"/>
                <w:i w:val="0"/>
                <w:sz w:val="19"/>
              </w:rPr>
              <w:t>［待补充］</w:t>
            </w:r>
          </w:p>
        </w:tc>
        <w:tc>
          <w:tcPr>
            <w:tcW w:w="1417" w:type="dxa"/>
            <w:vAlign w:val="center"/>
          </w:tcPr>
          <w:p w14:paraId="10A66997">
            <w:pPr>
              <w:spacing w:after="0" w:line="240" w:lineRule="auto"/>
              <w:jc w:val="center"/>
            </w:pPr>
            <w:r>
              <w:rPr>
                <w:rFonts w:ascii="Times New Roman" w:hAnsi="Times New Roman" w:eastAsia="宋体"/>
                <w:b w:val="0"/>
                <w:i w:val="0"/>
                <w:sz w:val="19"/>
              </w:rPr>
              <w:t>［待补充］</w:t>
            </w:r>
          </w:p>
        </w:tc>
        <w:tc>
          <w:tcPr>
            <w:tcW w:w="2041" w:type="dxa"/>
            <w:vAlign w:val="center"/>
          </w:tcPr>
          <w:p w14:paraId="1CD9A58A">
            <w:pPr>
              <w:spacing w:after="0" w:line="240" w:lineRule="auto"/>
              <w:jc w:val="center"/>
            </w:pPr>
            <w:r>
              <w:rPr>
                <w:rFonts w:ascii="Times New Roman" w:hAnsi="Times New Roman" w:eastAsia="宋体"/>
                <w:b w:val="0"/>
                <w:i w:val="0"/>
                <w:sz w:val="19"/>
              </w:rPr>
              <w:t>业务可用性验证</w:t>
            </w:r>
          </w:p>
        </w:tc>
        <w:tc>
          <w:tcPr>
            <w:tcW w:w="1361" w:type="dxa"/>
            <w:vAlign w:val="center"/>
          </w:tcPr>
          <w:p w14:paraId="28FA2AF1">
            <w:pPr>
              <w:spacing w:after="0" w:line="240" w:lineRule="auto"/>
              <w:jc w:val="center"/>
            </w:pPr>
            <w:r>
              <w:rPr>
                <w:rFonts w:ascii="Times New Roman" w:hAnsi="Times New Roman" w:eastAsia="宋体"/>
                <w:b w:val="0"/>
                <w:i w:val="0"/>
                <w:sz w:val="19"/>
              </w:rPr>
              <w:t>未填写</w:t>
            </w:r>
          </w:p>
        </w:tc>
      </w:tr>
    </w:tbl>
    <w:p w14:paraId="510D0BA6">
      <w:pPr>
        <w:spacing w:after="40"/>
      </w:pPr>
    </w:p>
    <w:p w14:paraId="17C92FA1">
      <w:pPr>
        <w:pStyle w:val="3"/>
        <w:keepNext/>
        <w:spacing w:before="200" w:after="120"/>
      </w:pPr>
      <w:r>
        <w:rPr>
          <w:rFonts w:ascii="Times New Roman" w:hAnsi="Times New Roman" w:eastAsia="黑体"/>
          <w:b/>
          <w:i w:val="0"/>
          <w:sz w:val="24"/>
        </w:rPr>
        <w:t>6 实验设计</w:t>
      </w:r>
    </w:p>
    <w:p w14:paraId="0E8310FB">
      <w:pPr>
        <w:pStyle w:val="4"/>
        <w:keepNext/>
        <w:spacing w:before="120" w:after="120"/>
      </w:pPr>
      <w:r>
        <w:rPr>
          <w:rFonts w:ascii="Times New Roman" w:hAnsi="Times New Roman" w:eastAsia="黑体"/>
          <w:b/>
          <w:i w:val="0"/>
          <w:sz w:val="22"/>
        </w:rPr>
        <w:t>6.1 实验问题</w:t>
      </w:r>
    </w:p>
    <w:p w14:paraId="19B5E8C5">
      <w:pPr>
        <w:spacing w:before="0" w:after="120" w:line="259" w:lineRule="auto"/>
        <w:ind w:firstLine="420"/>
      </w:pPr>
      <w:r>
        <w:rPr>
          <w:rFonts w:ascii="Times New Roman" w:hAnsi="Times New Roman" w:eastAsia="宋体"/>
          <w:b w:val="0"/>
          <w:i w:val="0"/>
          <w:sz w:val="21"/>
        </w:rPr>
        <w:t>实验拟回答四个问题：第一，规则增强 Agent 相比纯规则基线是否能提升建议完整性和可读性；第二，契约校验和回退机制是否能降低无依据数字、字段缺失和越权建议；第三，监督微调后模型对岗位、技能、等级和安全边界的遵循能力是否提升；第四，系统端到端运行是否能缩短班组长和员工制定学习计划的时间。</w:t>
      </w:r>
    </w:p>
    <w:p w14:paraId="33DEDD46">
      <w:pPr>
        <w:pStyle w:val="4"/>
        <w:keepNext/>
        <w:spacing w:before="120" w:after="120"/>
      </w:pPr>
      <w:r>
        <w:rPr>
          <w:rFonts w:ascii="Times New Roman" w:hAnsi="Times New Roman" w:eastAsia="黑体"/>
          <w:b/>
          <w:i w:val="0"/>
          <w:sz w:val="22"/>
        </w:rPr>
        <w:t>6.2 对比方法</w:t>
      </w:r>
    </w:p>
    <w:p w14:paraId="4777A6C8">
      <w:pPr>
        <w:spacing w:before="80" w:after="80"/>
        <w:jc w:val="center"/>
      </w:pPr>
      <w:r>
        <w:rPr>
          <w:rFonts w:ascii="Times New Roman" w:hAnsi="Times New Roman" w:eastAsia="黑体"/>
          <w:b/>
          <w:i w:val="0"/>
          <w:sz w:val="19"/>
        </w:rPr>
        <w:t>表4 对比方法设计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268"/>
        <w:gridCol w:w="3118"/>
        <w:gridCol w:w="2381"/>
      </w:tblGrid>
      <w:tr w14:paraId="28ED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vAlign w:val="center"/>
          </w:tcPr>
          <w:p w14:paraId="4AB18996">
            <w:pPr>
              <w:spacing w:after="0" w:line="240" w:lineRule="auto"/>
              <w:jc w:val="center"/>
            </w:pPr>
            <w:r>
              <w:rPr>
                <w:rFonts w:ascii="Times New Roman" w:hAnsi="Times New Roman" w:eastAsia="宋体"/>
                <w:b/>
                <w:i w:val="0"/>
                <w:sz w:val="19"/>
              </w:rPr>
              <w:t>方法编号</w:t>
            </w:r>
          </w:p>
        </w:tc>
        <w:tc>
          <w:tcPr>
            <w:tcW w:w="2268" w:type="dxa"/>
            <w:shd w:val="clear" w:color="auto" w:fill="D9EAF7"/>
            <w:vAlign w:val="center"/>
          </w:tcPr>
          <w:p w14:paraId="459946AD">
            <w:pPr>
              <w:spacing w:after="0" w:line="240" w:lineRule="auto"/>
              <w:jc w:val="center"/>
            </w:pPr>
            <w:r>
              <w:rPr>
                <w:rFonts w:ascii="Times New Roman" w:hAnsi="Times New Roman" w:eastAsia="宋体"/>
                <w:b/>
                <w:i w:val="0"/>
                <w:sz w:val="19"/>
              </w:rPr>
              <w:t>方法</w:t>
            </w:r>
          </w:p>
        </w:tc>
        <w:tc>
          <w:tcPr>
            <w:tcW w:w="3118" w:type="dxa"/>
            <w:shd w:val="clear" w:color="auto" w:fill="D9EAF7"/>
            <w:vAlign w:val="center"/>
          </w:tcPr>
          <w:p w14:paraId="5FD22C4D">
            <w:pPr>
              <w:spacing w:after="0" w:line="240" w:lineRule="auto"/>
              <w:jc w:val="center"/>
            </w:pPr>
            <w:r>
              <w:rPr>
                <w:rFonts w:ascii="Times New Roman" w:hAnsi="Times New Roman" w:eastAsia="宋体"/>
                <w:b/>
                <w:i w:val="0"/>
                <w:sz w:val="19"/>
              </w:rPr>
              <w:t>说明</w:t>
            </w:r>
          </w:p>
        </w:tc>
        <w:tc>
          <w:tcPr>
            <w:tcW w:w="2381" w:type="dxa"/>
            <w:shd w:val="clear" w:color="auto" w:fill="D9EAF7"/>
            <w:vAlign w:val="center"/>
          </w:tcPr>
          <w:p w14:paraId="74CE1CEC">
            <w:pPr>
              <w:spacing w:after="0" w:line="240" w:lineRule="auto"/>
              <w:jc w:val="center"/>
            </w:pPr>
            <w:r>
              <w:rPr>
                <w:rFonts w:ascii="Times New Roman" w:hAnsi="Times New Roman" w:eastAsia="宋体"/>
                <w:b/>
                <w:i w:val="0"/>
                <w:sz w:val="19"/>
              </w:rPr>
              <w:t>待补充内容</w:t>
            </w:r>
          </w:p>
        </w:tc>
      </w:tr>
      <w:tr w14:paraId="2CB4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B8ABF48">
            <w:pPr>
              <w:spacing w:after="0" w:line="240" w:lineRule="auto"/>
              <w:jc w:val="center"/>
            </w:pPr>
            <w:r>
              <w:rPr>
                <w:rFonts w:ascii="Times New Roman" w:hAnsi="Times New Roman" w:eastAsia="宋体"/>
                <w:b w:val="0"/>
                <w:i w:val="0"/>
                <w:sz w:val="19"/>
              </w:rPr>
              <w:t>M1</w:t>
            </w:r>
          </w:p>
        </w:tc>
        <w:tc>
          <w:tcPr>
            <w:tcW w:w="2268" w:type="dxa"/>
            <w:vAlign w:val="center"/>
          </w:tcPr>
          <w:p w14:paraId="5BA2755E">
            <w:pPr>
              <w:spacing w:after="0" w:line="240" w:lineRule="auto"/>
              <w:jc w:val="center"/>
            </w:pPr>
            <w:r>
              <w:rPr>
                <w:rFonts w:ascii="Times New Roman" w:hAnsi="Times New Roman" w:eastAsia="宋体"/>
                <w:b w:val="0"/>
                <w:i w:val="0"/>
                <w:sz w:val="19"/>
              </w:rPr>
              <w:t>规则基线</w:t>
            </w:r>
          </w:p>
        </w:tc>
        <w:tc>
          <w:tcPr>
            <w:tcW w:w="3118" w:type="dxa"/>
            <w:vAlign w:val="center"/>
          </w:tcPr>
          <w:p w14:paraId="2B9357B9">
            <w:pPr>
              <w:spacing w:after="0" w:line="240" w:lineRule="auto"/>
              <w:jc w:val="center"/>
            </w:pPr>
            <w:r>
              <w:rPr>
                <w:rFonts w:ascii="Times New Roman" w:hAnsi="Times New Roman" w:eastAsia="宋体"/>
                <w:b w:val="0"/>
                <w:i w:val="0"/>
                <w:sz w:val="19"/>
              </w:rPr>
              <w:t>仅使用数据库规则生成建议</w:t>
            </w:r>
          </w:p>
        </w:tc>
        <w:tc>
          <w:tcPr>
            <w:tcW w:w="2381" w:type="dxa"/>
            <w:vAlign w:val="center"/>
          </w:tcPr>
          <w:p w14:paraId="7EDA8538">
            <w:pPr>
              <w:spacing w:after="0" w:line="240" w:lineRule="auto"/>
              <w:jc w:val="center"/>
            </w:pPr>
            <w:r>
              <w:rPr>
                <w:rFonts w:ascii="Times New Roman" w:hAnsi="Times New Roman" w:eastAsia="宋体"/>
                <w:b w:val="0"/>
                <w:i w:val="0"/>
                <w:sz w:val="19"/>
              </w:rPr>
              <w:t>规则命中率和人工评分</w:t>
            </w:r>
          </w:p>
        </w:tc>
      </w:tr>
      <w:tr w14:paraId="0B4C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0B4C75C">
            <w:pPr>
              <w:spacing w:after="0" w:line="240" w:lineRule="auto"/>
              <w:jc w:val="center"/>
            </w:pPr>
            <w:r>
              <w:rPr>
                <w:rFonts w:ascii="Times New Roman" w:hAnsi="Times New Roman" w:eastAsia="宋体"/>
                <w:b w:val="0"/>
                <w:i w:val="0"/>
                <w:sz w:val="19"/>
              </w:rPr>
              <w:t>M2</w:t>
            </w:r>
          </w:p>
        </w:tc>
        <w:tc>
          <w:tcPr>
            <w:tcW w:w="2268" w:type="dxa"/>
            <w:vAlign w:val="center"/>
          </w:tcPr>
          <w:p w14:paraId="4036C236">
            <w:pPr>
              <w:spacing w:after="0" w:line="240" w:lineRule="auto"/>
              <w:jc w:val="center"/>
            </w:pPr>
            <w:r>
              <w:rPr>
                <w:rFonts w:ascii="Times New Roman" w:hAnsi="Times New Roman" w:eastAsia="宋体"/>
                <w:b w:val="0"/>
                <w:i w:val="0"/>
                <w:sz w:val="19"/>
              </w:rPr>
              <w:t>通用大模型</w:t>
            </w:r>
          </w:p>
        </w:tc>
        <w:tc>
          <w:tcPr>
            <w:tcW w:w="3118" w:type="dxa"/>
            <w:vAlign w:val="center"/>
          </w:tcPr>
          <w:p w14:paraId="51A40102">
            <w:pPr>
              <w:spacing w:after="0" w:line="240" w:lineRule="auto"/>
              <w:jc w:val="left"/>
            </w:pPr>
            <w:r>
              <w:rPr>
                <w:rFonts w:ascii="Times New Roman" w:hAnsi="Times New Roman" w:eastAsia="宋体"/>
                <w:b w:val="0"/>
                <w:i w:val="0"/>
                <w:sz w:val="19"/>
              </w:rPr>
              <w:t>不做领域微调，仅提示工程约束</w:t>
            </w:r>
          </w:p>
        </w:tc>
        <w:tc>
          <w:tcPr>
            <w:tcW w:w="2381" w:type="dxa"/>
            <w:vAlign w:val="center"/>
          </w:tcPr>
          <w:p w14:paraId="23D885AD">
            <w:pPr>
              <w:spacing w:after="0" w:line="240" w:lineRule="auto"/>
              <w:jc w:val="center"/>
            </w:pPr>
            <w:r>
              <w:rPr>
                <w:rFonts w:ascii="Times New Roman" w:hAnsi="Times New Roman" w:eastAsia="宋体"/>
                <w:b w:val="0"/>
                <w:i w:val="0"/>
                <w:sz w:val="19"/>
              </w:rPr>
              <w:t>模型名称、版本、参数</w:t>
            </w:r>
          </w:p>
        </w:tc>
      </w:tr>
      <w:tr w14:paraId="5D4B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EBB1B83">
            <w:pPr>
              <w:spacing w:after="0" w:line="240" w:lineRule="auto"/>
              <w:jc w:val="center"/>
            </w:pPr>
            <w:r>
              <w:rPr>
                <w:rFonts w:ascii="Times New Roman" w:hAnsi="Times New Roman" w:eastAsia="宋体"/>
                <w:b w:val="0"/>
                <w:i w:val="0"/>
                <w:sz w:val="19"/>
              </w:rPr>
              <w:t>M3</w:t>
            </w:r>
          </w:p>
        </w:tc>
        <w:tc>
          <w:tcPr>
            <w:tcW w:w="2268" w:type="dxa"/>
            <w:vAlign w:val="center"/>
          </w:tcPr>
          <w:p w14:paraId="1A341416">
            <w:pPr>
              <w:spacing w:after="0" w:line="240" w:lineRule="auto"/>
              <w:jc w:val="left"/>
            </w:pPr>
            <w:r>
              <w:rPr>
                <w:rFonts w:ascii="Times New Roman" w:hAnsi="Times New Roman" w:eastAsia="宋体"/>
                <w:b w:val="0"/>
                <w:i w:val="0"/>
                <w:sz w:val="19"/>
              </w:rPr>
              <w:t>SFT 个性化 Agent</w:t>
            </w:r>
          </w:p>
        </w:tc>
        <w:tc>
          <w:tcPr>
            <w:tcW w:w="3118" w:type="dxa"/>
            <w:vAlign w:val="center"/>
          </w:tcPr>
          <w:p w14:paraId="6E137AC0">
            <w:pPr>
              <w:spacing w:after="0" w:line="240" w:lineRule="auto"/>
              <w:jc w:val="center"/>
            </w:pPr>
            <w:r>
              <w:rPr>
                <w:rFonts w:ascii="Times New Roman" w:hAnsi="Times New Roman" w:eastAsia="宋体"/>
                <w:b w:val="0"/>
                <w:i w:val="0"/>
                <w:sz w:val="19"/>
              </w:rPr>
              <w:t>使用个性化样本监督微调</w:t>
            </w:r>
          </w:p>
        </w:tc>
        <w:tc>
          <w:tcPr>
            <w:tcW w:w="2381" w:type="dxa"/>
            <w:vAlign w:val="center"/>
          </w:tcPr>
          <w:p w14:paraId="10320399">
            <w:pPr>
              <w:spacing w:after="0" w:line="240" w:lineRule="auto"/>
              <w:jc w:val="center"/>
            </w:pPr>
            <w:r>
              <w:rPr>
                <w:rFonts w:ascii="Times New Roman" w:hAnsi="Times New Roman" w:eastAsia="宋体"/>
                <w:b w:val="0"/>
                <w:i w:val="0"/>
                <w:sz w:val="19"/>
              </w:rPr>
              <w:t>训练配置和日志</w:t>
            </w:r>
          </w:p>
        </w:tc>
      </w:tr>
      <w:tr w14:paraId="05E7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EF349DE">
            <w:pPr>
              <w:spacing w:after="0" w:line="240" w:lineRule="auto"/>
              <w:jc w:val="center"/>
            </w:pPr>
            <w:r>
              <w:rPr>
                <w:rFonts w:ascii="Times New Roman" w:hAnsi="Times New Roman" w:eastAsia="宋体"/>
                <w:b w:val="0"/>
                <w:i w:val="0"/>
                <w:sz w:val="19"/>
              </w:rPr>
              <w:t>M4</w:t>
            </w:r>
          </w:p>
        </w:tc>
        <w:tc>
          <w:tcPr>
            <w:tcW w:w="2268" w:type="dxa"/>
            <w:vAlign w:val="center"/>
          </w:tcPr>
          <w:p w14:paraId="596936F0">
            <w:pPr>
              <w:spacing w:after="0" w:line="240" w:lineRule="auto"/>
              <w:jc w:val="left"/>
            </w:pPr>
            <w:r>
              <w:rPr>
                <w:rFonts w:ascii="Times New Roman" w:hAnsi="Times New Roman" w:eastAsia="宋体"/>
                <w:b w:val="0"/>
                <w:i w:val="0"/>
                <w:sz w:val="19"/>
              </w:rPr>
              <w:t>规则增强 SFT Agent</w:t>
            </w:r>
          </w:p>
        </w:tc>
        <w:tc>
          <w:tcPr>
            <w:tcW w:w="3118" w:type="dxa"/>
            <w:vAlign w:val="center"/>
          </w:tcPr>
          <w:p w14:paraId="30AAC92B">
            <w:pPr>
              <w:spacing w:after="0" w:line="240" w:lineRule="auto"/>
              <w:jc w:val="left"/>
            </w:pPr>
            <w:r>
              <w:rPr>
                <w:rFonts w:ascii="Times New Roman" w:hAnsi="Times New Roman" w:eastAsia="宋体"/>
                <w:b w:val="0"/>
                <w:i w:val="0"/>
                <w:sz w:val="19"/>
              </w:rPr>
              <w:t>规则结果作为约束与证据输入</w:t>
            </w:r>
          </w:p>
        </w:tc>
        <w:tc>
          <w:tcPr>
            <w:tcW w:w="2381" w:type="dxa"/>
            <w:vAlign w:val="center"/>
          </w:tcPr>
          <w:p w14:paraId="3F6DDD80">
            <w:pPr>
              <w:spacing w:after="0" w:line="240" w:lineRule="auto"/>
              <w:jc w:val="center"/>
            </w:pPr>
            <w:r>
              <w:rPr>
                <w:rFonts w:ascii="Times New Roman" w:hAnsi="Times New Roman" w:eastAsia="宋体"/>
                <w:b w:val="0"/>
                <w:i w:val="0"/>
                <w:sz w:val="19"/>
              </w:rPr>
              <w:t>消融实验结果</w:t>
            </w:r>
          </w:p>
        </w:tc>
      </w:tr>
    </w:tbl>
    <w:p w14:paraId="7F57B8DB">
      <w:pPr>
        <w:spacing w:after="40"/>
      </w:pPr>
    </w:p>
    <w:p w14:paraId="38F2956B">
      <w:pPr>
        <w:pStyle w:val="4"/>
        <w:keepNext/>
        <w:spacing w:before="120" w:after="120"/>
      </w:pPr>
      <w:r>
        <w:rPr>
          <w:rFonts w:ascii="Times New Roman" w:hAnsi="Times New Roman" w:eastAsia="黑体"/>
          <w:b/>
          <w:i w:val="0"/>
          <w:sz w:val="22"/>
        </w:rPr>
        <w:t>6.3 评价指标</w:t>
      </w:r>
    </w:p>
    <w:p w14:paraId="3210CA49">
      <w:pPr>
        <w:spacing w:before="0" w:after="120" w:line="259" w:lineRule="auto"/>
        <w:ind w:firstLine="420"/>
      </w:pPr>
      <w:r>
        <w:rPr>
          <w:rFonts w:ascii="Times New Roman" w:hAnsi="Times New Roman" w:eastAsia="宋体"/>
          <w:b w:val="0"/>
          <w:i w:val="0"/>
          <w:sz w:val="21"/>
        </w:rPr>
        <w:t>自动指标包括字段合规率、JSON 可解析率、事实一致率、规则引用正确率、安全边界违例率、未验证数字比例和响应延迟。人工指标包括建议可执行性、个性化程度、解释充分性、学习路径合理性和管理可采纳性。现场指标包括学习计划制定时间、建议采纳率、驳回率、修改率和后续考试或实操成绩变化。</w:t>
      </w:r>
    </w:p>
    <w:p w14:paraId="3ECF06E0">
      <w:pPr>
        <w:spacing w:before="80" w:after="80"/>
        <w:jc w:val="center"/>
      </w:pPr>
      <w:r>
        <w:rPr>
          <w:rFonts w:ascii="Times New Roman" w:hAnsi="Times New Roman" w:eastAsia="黑体"/>
          <w:b/>
          <w:i w:val="0"/>
          <w:sz w:val="19"/>
        </w:rPr>
        <w:t>表5 实验结果占位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587"/>
        <w:gridCol w:w="1814"/>
        <w:gridCol w:w="1587"/>
        <w:gridCol w:w="1984"/>
      </w:tblGrid>
      <w:tr w14:paraId="5F4A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vAlign w:val="center"/>
          </w:tcPr>
          <w:p w14:paraId="0043793E">
            <w:pPr>
              <w:spacing w:after="0" w:line="240" w:lineRule="auto"/>
              <w:jc w:val="center"/>
            </w:pPr>
            <w:r>
              <w:rPr>
                <w:rFonts w:ascii="Times New Roman" w:hAnsi="Times New Roman" w:eastAsia="宋体"/>
                <w:b/>
                <w:i w:val="0"/>
                <w:sz w:val="19"/>
              </w:rPr>
              <w:t>指标</w:t>
            </w:r>
          </w:p>
        </w:tc>
        <w:tc>
          <w:tcPr>
            <w:tcW w:w="1587" w:type="dxa"/>
            <w:shd w:val="clear" w:color="auto" w:fill="D9EAF7"/>
            <w:vAlign w:val="center"/>
          </w:tcPr>
          <w:p w14:paraId="3E4AFA4B">
            <w:pPr>
              <w:spacing w:after="0" w:line="240" w:lineRule="auto"/>
              <w:jc w:val="center"/>
            </w:pPr>
            <w:r>
              <w:rPr>
                <w:rFonts w:ascii="Times New Roman" w:hAnsi="Times New Roman" w:eastAsia="宋体"/>
                <w:b/>
                <w:i w:val="0"/>
                <w:sz w:val="19"/>
              </w:rPr>
              <w:t>规则基线</w:t>
            </w:r>
          </w:p>
        </w:tc>
        <w:tc>
          <w:tcPr>
            <w:tcW w:w="1814" w:type="dxa"/>
            <w:shd w:val="clear" w:color="auto" w:fill="D9EAF7"/>
            <w:vAlign w:val="center"/>
          </w:tcPr>
          <w:p w14:paraId="6193957D">
            <w:pPr>
              <w:spacing w:after="0" w:line="240" w:lineRule="auto"/>
              <w:jc w:val="center"/>
            </w:pPr>
            <w:r>
              <w:rPr>
                <w:rFonts w:ascii="Times New Roman" w:hAnsi="Times New Roman" w:eastAsia="宋体"/>
                <w:b/>
                <w:i w:val="0"/>
                <w:sz w:val="19"/>
              </w:rPr>
              <w:t>通用大模型</w:t>
            </w:r>
          </w:p>
        </w:tc>
        <w:tc>
          <w:tcPr>
            <w:tcW w:w="1587" w:type="dxa"/>
            <w:shd w:val="clear" w:color="auto" w:fill="D9EAF7"/>
            <w:vAlign w:val="center"/>
          </w:tcPr>
          <w:p w14:paraId="0EEC7672">
            <w:pPr>
              <w:spacing w:after="0" w:line="240" w:lineRule="auto"/>
              <w:jc w:val="center"/>
            </w:pPr>
            <w:r>
              <w:rPr>
                <w:rFonts w:ascii="Times New Roman" w:hAnsi="Times New Roman" w:eastAsia="宋体"/>
                <w:b/>
                <w:i w:val="0"/>
                <w:sz w:val="19"/>
              </w:rPr>
              <w:t>SFT Agent</w:t>
            </w:r>
          </w:p>
        </w:tc>
        <w:tc>
          <w:tcPr>
            <w:tcW w:w="1984" w:type="dxa"/>
            <w:shd w:val="clear" w:color="auto" w:fill="D9EAF7"/>
            <w:vAlign w:val="center"/>
          </w:tcPr>
          <w:p w14:paraId="2D4DF52D">
            <w:pPr>
              <w:spacing w:after="0" w:line="240" w:lineRule="auto"/>
              <w:jc w:val="center"/>
            </w:pPr>
            <w:r>
              <w:rPr>
                <w:rFonts w:ascii="Times New Roman" w:hAnsi="Times New Roman" w:eastAsia="宋体"/>
                <w:b/>
                <w:i w:val="0"/>
                <w:sz w:val="19"/>
              </w:rPr>
              <w:t>规则增强 SFT Agent</w:t>
            </w:r>
          </w:p>
        </w:tc>
      </w:tr>
      <w:tr w14:paraId="3580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5EDB243">
            <w:pPr>
              <w:spacing w:after="0" w:line="240" w:lineRule="auto"/>
              <w:jc w:val="center"/>
            </w:pPr>
            <w:r>
              <w:rPr>
                <w:rFonts w:ascii="Times New Roman" w:hAnsi="Times New Roman" w:eastAsia="宋体"/>
                <w:b w:val="0"/>
                <w:i w:val="0"/>
                <w:sz w:val="19"/>
              </w:rPr>
              <w:t>字段合规率</w:t>
            </w:r>
          </w:p>
        </w:tc>
        <w:tc>
          <w:tcPr>
            <w:tcW w:w="1587" w:type="dxa"/>
            <w:vAlign w:val="center"/>
          </w:tcPr>
          <w:p w14:paraId="51D2F471">
            <w:pPr>
              <w:spacing w:after="0" w:line="240" w:lineRule="auto"/>
              <w:jc w:val="center"/>
            </w:pPr>
            <w:r>
              <w:rPr>
                <w:rFonts w:ascii="Times New Roman" w:hAnsi="Times New Roman" w:eastAsia="宋体"/>
                <w:b w:val="0"/>
                <w:i w:val="0"/>
                <w:sz w:val="19"/>
              </w:rPr>
              <w:t>［待补充］</w:t>
            </w:r>
          </w:p>
        </w:tc>
        <w:tc>
          <w:tcPr>
            <w:tcW w:w="1814" w:type="dxa"/>
            <w:vAlign w:val="center"/>
          </w:tcPr>
          <w:p w14:paraId="2EFA036E">
            <w:pPr>
              <w:spacing w:after="0" w:line="240" w:lineRule="auto"/>
              <w:jc w:val="center"/>
            </w:pPr>
            <w:r>
              <w:rPr>
                <w:rFonts w:ascii="Times New Roman" w:hAnsi="Times New Roman" w:eastAsia="宋体"/>
                <w:b w:val="0"/>
                <w:i w:val="0"/>
                <w:sz w:val="19"/>
              </w:rPr>
              <w:t>［待补充］</w:t>
            </w:r>
          </w:p>
        </w:tc>
        <w:tc>
          <w:tcPr>
            <w:tcW w:w="1587" w:type="dxa"/>
            <w:vAlign w:val="center"/>
          </w:tcPr>
          <w:p w14:paraId="1CE7DB1C">
            <w:pPr>
              <w:spacing w:after="0" w:line="240" w:lineRule="auto"/>
              <w:jc w:val="center"/>
            </w:pPr>
            <w:r>
              <w:rPr>
                <w:rFonts w:ascii="Times New Roman" w:hAnsi="Times New Roman" w:eastAsia="宋体"/>
                <w:b w:val="0"/>
                <w:i w:val="0"/>
                <w:sz w:val="19"/>
              </w:rPr>
              <w:t>［待补充］</w:t>
            </w:r>
          </w:p>
        </w:tc>
        <w:tc>
          <w:tcPr>
            <w:tcW w:w="1984" w:type="dxa"/>
            <w:vAlign w:val="center"/>
          </w:tcPr>
          <w:p w14:paraId="7FC5C2F3">
            <w:pPr>
              <w:spacing w:after="0" w:line="240" w:lineRule="auto"/>
              <w:jc w:val="center"/>
            </w:pPr>
            <w:r>
              <w:rPr>
                <w:rFonts w:ascii="Times New Roman" w:hAnsi="Times New Roman" w:eastAsia="宋体"/>
                <w:b w:val="0"/>
                <w:i w:val="0"/>
                <w:sz w:val="19"/>
              </w:rPr>
              <w:t>［待补充］</w:t>
            </w:r>
          </w:p>
        </w:tc>
      </w:tr>
      <w:tr w14:paraId="7E82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664ADB9">
            <w:pPr>
              <w:spacing w:after="0" w:line="240" w:lineRule="auto"/>
              <w:jc w:val="center"/>
            </w:pPr>
            <w:r>
              <w:rPr>
                <w:rFonts w:ascii="Times New Roman" w:hAnsi="Times New Roman" w:eastAsia="宋体"/>
                <w:b w:val="0"/>
                <w:i w:val="0"/>
                <w:sz w:val="19"/>
              </w:rPr>
              <w:t>事实一致率</w:t>
            </w:r>
          </w:p>
        </w:tc>
        <w:tc>
          <w:tcPr>
            <w:tcW w:w="1587" w:type="dxa"/>
            <w:vAlign w:val="center"/>
          </w:tcPr>
          <w:p w14:paraId="35F9EE38">
            <w:pPr>
              <w:spacing w:after="0" w:line="240" w:lineRule="auto"/>
              <w:jc w:val="center"/>
            </w:pPr>
            <w:r>
              <w:rPr>
                <w:rFonts w:ascii="Times New Roman" w:hAnsi="Times New Roman" w:eastAsia="宋体"/>
                <w:b w:val="0"/>
                <w:i w:val="0"/>
                <w:sz w:val="19"/>
              </w:rPr>
              <w:t>［待补充］</w:t>
            </w:r>
          </w:p>
        </w:tc>
        <w:tc>
          <w:tcPr>
            <w:tcW w:w="1814" w:type="dxa"/>
            <w:vAlign w:val="center"/>
          </w:tcPr>
          <w:p w14:paraId="6988E867">
            <w:pPr>
              <w:spacing w:after="0" w:line="240" w:lineRule="auto"/>
              <w:jc w:val="center"/>
            </w:pPr>
            <w:r>
              <w:rPr>
                <w:rFonts w:ascii="Times New Roman" w:hAnsi="Times New Roman" w:eastAsia="宋体"/>
                <w:b w:val="0"/>
                <w:i w:val="0"/>
                <w:sz w:val="19"/>
              </w:rPr>
              <w:t>［待补充］</w:t>
            </w:r>
          </w:p>
        </w:tc>
        <w:tc>
          <w:tcPr>
            <w:tcW w:w="1587" w:type="dxa"/>
            <w:vAlign w:val="center"/>
          </w:tcPr>
          <w:p w14:paraId="4F066802">
            <w:pPr>
              <w:spacing w:after="0" w:line="240" w:lineRule="auto"/>
              <w:jc w:val="center"/>
            </w:pPr>
            <w:r>
              <w:rPr>
                <w:rFonts w:ascii="Times New Roman" w:hAnsi="Times New Roman" w:eastAsia="宋体"/>
                <w:b w:val="0"/>
                <w:i w:val="0"/>
                <w:sz w:val="19"/>
              </w:rPr>
              <w:t>［待补充］</w:t>
            </w:r>
          </w:p>
        </w:tc>
        <w:tc>
          <w:tcPr>
            <w:tcW w:w="1984" w:type="dxa"/>
            <w:vAlign w:val="center"/>
          </w:tcPr>
          <w:p w14:paraId="29234521">
            <w:pPr>
              <w:spacing w:after="0" w:line="240" w:lineRule="auto"/>
              <w:jc w:val="center"/>
            </w:pPr>
            <w:r>
              <w:rPr>
                <w:rFonts w:ascii="Times New Roman" w:hAnsi="Times New Roman" w:eastAsia="宋体"/>
                <w:b w:val="0"/>
                <w:i w:val="0"/>
                <w:sz w:val="19"/>
              </w:rPr>
              <w:t>［待补充］</w:t>
            </w:r>
          </w:p>
        </w:tc>
      </w:tr>
      <w:tr w14:paraId="65CF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25C08DE">
            <w:pPr>
              <w:spacing w:after="0" w:line="240" w:lineRule="auto"/>
              <w:jc w:val="center"/>
            </w:pPr>
            <w:r>
              <w:rPr>
                <w:rFonts w:ascii="Times New Roman" w:hAnsi="Times New Roman" w:eastAsia="宋体"/>
                <w:b w:val="0"/>
                <w:i w:val="0"/>
                <w:sz w:val="19"/>
              </w:rPr>
              <w:t>安全边界违例率</w:t>
            </w:r>
          </w:p>
        </w:tc>
        <w:tc>
          <w:tcPr>
            <w:tcW w:w="1587" w:type="dxa"/>
            <w:vAlign w:val="center"/>
          </w:tcPr>
          <w:p w14:paraId="6E5220C5">
            <w:pPr>
              <w:spacing w:after="0" w:line="240" w:lineRule="auto"/>
              <w:jc w:val="center"/>
            </w:pPr>
            <w:r>
              <w:rPr>
                <w:rFonts w:ascii="Times New Roman" w:hAnsi="Times New Roman" w:eastAsia="宋体"/>
                <w:b w:val="0"/>
                <w:i w:val="0"/>
                <w:sz w:val="19"/>
              </w:rPr>
              <w:t>［待补充］</w:t>
            </w:r>
          </w:p>
        </w:tc>
        <w:tc>
          <w:tcPr>
            <w:tcW w:w="1814" w:type="dxa"/>
            <w:vAlign w:val="center"/>
          </w:tcPr>
          <w:p w14:paraId="22CD6C39">
            <w:pPr>
              <w:spacing w:after="0" w:line="240" w:lineRule="auto"/>
              <w:jc w:val="center"/>
            </w:pPr>
            <w:r>
              <w:rPr>
                <w:rFonts w:ascii="Times New Roman" w:hAnsi="Times New Roman" w:eastAsia="宋体"/>
                <w:b w:val="0"/>
                <w:i w:val="0"/>
                <w:sz w:val="19"/>
              </w:rPr>
              <w:t>［待补充］</w:t>
            </w:r>
          </w:p>
        </w:tc>
        <w:tc>
          <w:tcPr>
            <w:tcW w:w="1587" w:type="dxa"/>
            <w:vAlign w:val="center"/>
          </w:tcPr>
          <w:p w14:paraId="1A028640">
            <w:pPr>
              <w:spacing w:after="0" w:line="240" w:lineRule="auto"/>
              <w:jc w:val="center"/>
            </w:pPr>
            <w:r>
              <w:rPr>
                <w:rFonts w:ascii="Times New Roman" w:hAnsi="Times New Roman" w:eastAsia="宋体"/>
                <w:b w:val="0"/>
                <w:i w:val="0"/>
                <w:sz w:val="19"/>
              </w:rPr>
              <w:t>［待补充］</w:t>
            </w:r>
          </w:p>
        </w:tc>
        <w:tc>
          <w:tcPr>
            <w:tcW w:w="1984" w:type="dxa"/>
            <w:vAlign w:val="center"/>
          </w:tcPr>
          <w:p w14:paraId="7F036E81">
            <w:pPr>
              <w:spacing w:after="0" w:line="240" w:lineRule="auto"/>
              <w:jc w:val="center"/>
            </w:pPr>
            <w:r>
              <w:rPr>
                <w:rFonts w:ascii="Times New Roman" w:hAnsi="Times New Roman" w:eastAsia="宋体"/>
                <w:b w:val="0"/>
                <w:i w:val="0"/>
                <w:sz w:val="19"/>
              </w:rPr>
              <w:t>［待补充］</w:t>
            </w:r>
          </w:p>
        </w:tc>
      </w:tr>
      <w:tr w14:paraId="1327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C56BF77">
            <w:pPr>
              <w:spacing w:after="0" w:line="240" w:lineRule="auto"/>
              <w:jc w:val="center"/>
            </w:pPr>
            <w:r>
              <w:rPr>
                <w:rFonts w:ascii="Times New Roman" w:hAnsi="Times New Roman" w:eastAsia="宋体"/>
                <w:b w:val="0"/>
                <w:i w:val="0"/>
                <w:sz w:val="19"/>
              </w:rPr>
              <w:t>人工平均评分</w:t>
            </w:r>
          </w:p>
        </w:tc>
        <w:tc>
          <w:tcPr>
            <w:tcW w:w="1587" w:type="dxa"/>
            <w:vAlign w:val="center"/>
          </w:tcPr>
          <w:p w14:paraId="75C82290">
            <w:pPr>
              <w:spacing w:after="0" w:line="240" w:lineRule="auto"/>
              <w:jc w:val="center"/>
            </w:pPr>
            <w:r>
              <w:rPr>
                <w:rFonts w:ascii="Times New Roman" w:hAnsi="Times New Roman" w:eastAsia="宋体"/>
                <w:b w:val="0"/>
                <w:i w:val="0"/>
                <w:sz w:val="19"/>
              </w:rPr>
              <w:t>［待补充］</w:t>
            </w:r>
          </w:p>
        </w:tc>
        <w:tc>
          <w:tcPr>
            <w:tcW w:w="1814" w:type="dxa"/>
            <w:vAlign w:val="center"/>
          </w:tcPr>
          <w:p w14:paraId="70C1D145">
            <w:pPr>
              <w:spacing w:after="0" w:line="240" w:lineRule="auto"/>
              <w:jc w:val="center"/>
            </w:pPr>
            <w:r>
              <w:rPr>
                <w:rFonts w:ascii="Times New Roman" w:hAnsi="Times New Roman" w:eastAsia="宋体"/>
                <w:b w:val="0"/>
                <w:i w:val="0"/>
                <w:sz w:val="19"/>
              </w:rPr>
              <w:t>［待补充］</w:t>
            </w:r>
          </w:p>
        </w:tc>
        <w:tc>
          <w:tcPr>
            <w:tcW w:w="1587" w:type="dxa"/>
            <w:vAlign w:val="center"/>
          </w:tcPr>
          <w:p w14:paraId="268D2E65">
            <w:pPr>
              <w:spacing w:after="0" w:line="240" w:lineRule="auto"/>
              <w:jc w:val="center"/>
            </w:pPr>
            <w:r>
              <w:rPr>
                <w:rFonts w:ascii="Times New Roman" w:hAnsi="Times New Roman" w:eastAsia="宋体"/>
                <w:b w:val="0"/>
                <w:i w:val="0"/>
                <w:sz w:val="19"/>
              </w:rPr>
              <w:t>［待补充］</w:t>
            </w:r>
          </w:p>
        </w:tc>
        <w:tc>
          <w:tcPr>
            <w:tcW w:w="1984" w:type="dxa"/>
            <w:vAlign w:val="center"/>
          </w:tcPr>
          <w:p w14:paraId="3900D571">
            <w:pPr>
              <w:spacing w:after="0" w:line="240" w:lineRule="auto"/>
              <w:jc w:val="center"/>
            </w:pPr>
            <w:r>
              <w:rPr>
                <w:rFonts w:ascii="Times New Roman" w:hAnsi="Times New Roman" w:eastAsia="宋体"/>
                <w:b w:val="0"/>
                <w:i w:val="0"/>
                <w:sz w:val="19"/>
              </w:rPr>
              <w:t>［待补充］</w:t>
            </w:r>
          </w:p>
        </w:tc>
      </w:tr>
      <w:tr w14:paraId="1239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FCFD889">
            <w:pPr>
              <w:spacing w:after="0" w:line="240" w:lineRule="auto"/>
              <w:jc w:val="center"/>
            </w:pPr>
            <w:r>
              <w:rPr>
                <w:rFonts w:ascii="Times New Roman" w:hAnsi="Times New Roman" w:eastAsia="宋体"/>
                <w:b w:val="0"/>
                <w:i w:val="0"/>
                <w:sz w:val="19"/>
              </w:rPr>
              <w:t>平均响应延迟</w:t>
            </w:r>
          </w:p>
        </w:tc>
        <w:tc>
          <w:tcPr>
            <w:tcW w:w="1587" w:type="dxa"/>
            <w:vAlign w:val="center"/>
          </w:tcPr>
          <w:p w14:paraId="04C275A6">
            <w:pPr>
              <w:spacing w:after="0" w:line="240" w:lineRule="auto"/>
              <w:jc w:val="center"/>
            </w:pPr>
            <w:r>
              <w:rPr>
                <w:rFonts w:ascii="Times New Roman" w:hAnsi="Times New Roman" w:eastAsia="宋体"/>
                <w:b w:val="0"/>
                <w:i w:val="0"/>
                <w:sz w:val="19"/>
              </w:rPr>
              <w:t>［待补充］</w:t>
            </w:r>
          </w:p>
        </w:tc>
        <w:tc>
          <w:tcPr>
            <w:tcW w:w="1814" w:type="dxa"/>
            <w:vAlign w:val="center"/>
          </w:tcPr>
          <w:p w14:paraId="2A81F989">
            <w:pPr>
              <w:spacing w:after="0" w:line="240" w:lineRule="auto"/>
              <w:jc w:val="center"/>
            </w:pPr>
            <w:r>
              <w:rPr>
                <w:rFonts w:ascii="Times New Roman" w:hAnsi="Times New Roman" w:eastAsia="宋体"/>
                <w:b w:val="0"/>
                <w:i w:val="0"/>
                <w:sz w:val="19"/>
              </w:rPr>
              <w:t>［待补充］</w:t>
            </w:r>
          </w:p>
        </w:tc>
        <w:tc>
          <w:tcPr>
            <w:tcW w:w="1587" w:type="dxa"/>
            <w:vAlign w:val="center"/>
          </w:tcPr>
          <w:p w14:paraId="16A0B83B">
            <w:pPr>
              <w:spacing w:after="0" w:line="240" w:lineRule="auto"/>
              <w:jc w:val="center"/>
            </w:pPr>
            <w:r>
              <w:rPr>
                <w:rFonts w:ascii="Times New Roman" w:hAnsi="Times New Roman" w:eastAsia="宋体"/>
                <w:b w:val="0"/>
                <w:i w:val="0"/>
                <w:sz w:val="19"/>
              </w:rPr>
              <w:t>［待补充］</w:t>
            </w:r>
          </w:p>
        </w:tc>
        <w:tc>
          <w:tcPr>
            <w:tcW w:w="1984" w:type="dxa"/>
            <w:vAlign w:val="center"/>
          </w:tcPr>
          <w:p w14:paraId="0923E993">
            <w:pPr>
              <w:spacing w:after="0" w:line="240" w:lineRule="auto"/>
              <w:jc w:val="center"/>
            </w:pPr>
            <w:r>
              <w:rPr>
                <w:rFonts w:ascii="Times New Roman" w:hAnsi="Times New Roman" w:eastAsia="宋体"/>
                <w:b w:val="0"/>
                <w:i w:val="0"/>
                <w:sz w:val="19"/>
              </w:rPr>
              <w:t>［待补充］</w:t>
            </w:r>
          </w:p>
        </w:tc>
      </w:tr>
    </w:tbl>
    <w:p w14:paraId="15E65B7E">
      <w:pPr>
        <w:spacing w:after="40"/>
      </w:pPr>
    </w:p>
    <w:p w14:paraId="46F834AA">
      <w:pPr>
        <w:pStyle w:val="3"/>
        <w:keepNext/>
        <w:spacing w:before="200" w:after="120"/>
      </w:pPr>
      <w:r>
        <w:rPr>
          <w:rFonts w:ascii="Times New Roman" w:hAnsi="Times New Roman" w:eastAsia="黑体"/>
          <w:b/>
          <w:i w:val="0"/>
          <w:sz w:val="24"/>
        </w:rPr>
        <w:t>7 系统实现与案例流程</w:t>
      </w:r>
    </w:p>
    <w:p w14:paraId="3F525267">
      <w:pPr>
        <w:spacing w:before="0" w:after="120" w:line="259" w:lineRule="auto"/>
        <w:ind w:firstLine="420"/>
      </w:pPr>
      <w:r>
        <w:rPr>
          <w:rFonts w:ascii="Times New Roman" w:hAnsi="Times New Roman" w:eastAsia="宋体"/>
          <w:b w:val="0"/>
          <w:i w:val="0"/>
          <w:sz w:val="21"/>
        </w:rPr>
        <w:t>系统后端采用 Spring Boot 与 JdbcTemplate，数据存储统一落在 MySQL。规则引擎读取 rule 表并将执行结果写入 rule_result，业务建议写入 agent_suggestion，人工确认结果写入 decision_log。前端通过个人、组长、老总和管理员视图呈现不同权限范围内的事实与建议。</w:t>
      </w:r>
    </w:p>
    <w:p w14:paraId="6CC7161D">
      <w:pPr>
        <w:spacing w:before="0" w:after="120" w:line="259" w:lineRule="auto"/>
        <w:ind w:firstLine="420"/>
      </w:pPr>
      <w:r>
        <w:rPr>
          <w:rFonts w:ascii="Times New Roman" w:hAnsi="Times New Roman" w:eastAsia="宋体"/>
          <w:b w:val="0"/>
          <w:i w:val="0"/>
          <w:sz w:val="21"/>
        </w:rPr>
        <w:t>以员工技能差距诊断为例，系统先读取员工当前技能等级、岗位要求、未来需求、考试成绩和学习记录，生成事实集合；随后执行规则匹配，输出命中的差距规则和建议动作；若模型路径可用，则在规则证据基础上生成学习路径和阶段目标；系统对输出进行契约校验，不合格则回退规则结论；最终建议写入留痕表，并等待用户确认。</w:t>
      </w:r>
    </w:p>
    <w:p w14:paraId="79B58D39">
      <w:pPr>
        <w:spacing w:before="80" w:after="80"/>
        <w:jc w:val="center"/>
      </w:pPr>
      <w:r>
        <w:rPr>
          <w:rFonts w:ascii="Times New Roman" w:hAnsi="Times New Roman" w:eastAsia="黑体"/>
          <w:b/>
          <w:i w:val="0"/>
          <w:sz w:val="19"/>
        </w:rPr>
        <w:t>表6 案例输入与输出占位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5BDB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38C3EAEB">
            <w:pPr>
              <w:spacing w:after="0" w:line="240" w:lineRule="auto"/>
              <w:jc w:val="center"/>
            </w:pPr>
            <w:r>
              <w:rPr>
                <w:rFonts w:ascii="Times New Roman" w:hAnsi="Times New Roman" w:eastAsia="宋体"/>
                <w:b/>
                <w:i w:val="0"/>
                <w:sz w:val="19"/>
              </w:rPr>
              <w:t>项目</w:t>
            </w:r>
          </w:p>
        </w:tc>
        <w:tc>
          <w:tcPr>
            <w:tcW w:w="6236" w:type="dxa"/>
            <w:shd w:val="clear" w:color="auto" w:fill="D9EAF7"/>
            <w:vAlign w:val="center"/>
          </w:tcPr>
          <w:p w14:paraId="588E165E">
            <w:pPr>
              <w:spacing w:after="0" w:line="240" w:lineRule="auto"/>
              <w:jc w:val="center"/>
            </w:pPr>
            <w:r>
              <w:rPr>
                <w:rFonts w:ascii="Times New Roman" w:hAnsi="Times New Roman" w:eastAsia="宋体"/>
                <w:b/>
                <w:i w:val="0"/>
                <w:sz w:val="19"/>
              </w:rPr>
              <w:t>内容</w:t>
            </w:r>
          </w:p>
        </w:tc>
      </w:tr>
      <w:tr w14:paraId="64C1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1C62BC">
            <w:pPr>
              <w:spacing w:after="0" w:line="240" w:lineRule="auto"/>
              <w:jc w:val="center"/>
            </w:pPr>
            <w:r>
              <w:rPr>
                <w:rFonts w:ascii="Times New Roman" w:hAnsi="Times New Roman" w:eastAsia="宋体"/>
                <w:b w:val="0"/>
                <w:i w:val="0"/>
                <w:sz w:val="19"/>
              </w:rPr>
              <w:t>员工编号</w:t>
            </w:r>
          </w:p>
        </w:tc>
        <w:tc>
          <w:tcPr>
            <w:tcW w:w="6236" w:type="dxa"/>
            <w:vAlign w:val="center"/>
          </w:tcPr>
          <w:p w14:paraId="11C24636">
            <w:pPr>
              <w:spacing w:after="0" w:line="240" w:lineRule="auto"/>
              <w:jc w:val="left"/>
            </w:pPr>
            <w:r>
              <w:rPr>
                <w:rFonts w:ascii="Times New Roman" w:hAnsi="Times New Roman" w:eastAsia="宋体"/>
                <w:b w:val="0"/>
                <w:i w:val="0"/>
                <w:sz w:val="19"/>
              </w:rPr>
              <w:t>［待补充，例如 zhangwei 或匿名编号］</w:t>
            </w:r>
          </w:p>
        </w:tc>
      </w:tr>
      <w:tr w14:paraId="3C38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58E9BB">
            <w:pPr>
              <w:spacing w:after="0" w:line="240" w:lineRule="auto"/>
              <w:jc w:val="center"/>
            </w:pPr>
            <w:r>
              <w:rPr>
                <w:rFonts w:ascii="Times New Roman" w:hAnsi="Times New Roman" w:eastAsia="宋体"/>
                <w:b w:val="0"/>
                <w:i w:val="0"/>
                <w:sz w:val="19"/>
              </w:rPr>
              <w:t>岗位与班组</w:t>
            </w:r>
          </w:p>
        </w:tc>
        <w:tc>
          <w:tcPr>
            <w:tcW w:w="6236" w:type="dxa"/>
            <w:vAlign w:val="center"/>
          </w:tcPr>
          <w:p w14:paraId="3DF4C20E">
            <w:pPr>
              <w:spacing w:after="0" w:line="240" w:lineRule="auto"/>
              <w:jc w:val="center"/>
            </w:pPr>
            <w:r>
              <w:rPr>
                <w:rFonts w:ascii="Times New Roman" w:hAnsi="Times New Roman" w:eastAsia="宋体"/>
                <w:b w:val="0"/>
                <w:i w:val="0"/>
                <w:sz w:val="19"/>
              </w:rPr>
              <w:t>［待补充］</w:t>
            </w:r>
          </w:p>
        </w:tc>
      </w:tr>
      <w:tr w14:paraId="0C5D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C64B961">
            <w:pPr>
              <w:spacing w:after="0" w:line="240" w:lineRule="auto"/>
              <w:jc w:val="center"/>
            </w:pPr>
            <w:r>
              <w:rPr>
                <w:rFonts w:ascii="Times New Roman" w:hAnsi="Times New Roman" w:eastAsia="宋体"/>
                <w:b w:val="0"/>
                <w:i w:val="0"/>
                <w:sz w:val="19"/>
              </w:rPr>
              <w:t>主要技能差距</w:t>
            </w:r>
          </w:p>
        </w:tc>
        <w:tc>
          <w:tcPr>
            <w:tcW w:w="6236" w:type="dxa"/>
            <w:vAlign w:val="center"/>
          </w:tcPr>
          <w:p w14:paraId="3EE33704">
            <w:pPr>
              <w:spacing w:after="0" w:line="240" w:lineRule="auto"/>
              <w:jc w:val="center"/>
            </w:pPr>
            <w:r>
              <w:rPr>
                <w:rFonts w:ascii="Times New Roman" w:hAnsi="Times New Roman" w:eastAsia="宋体"/>
                <w:b w:val="0"/>
                <w:i w:val="0"/>
                <w:sz w:val="19"/>
              </w:rPr>
              <w:t>［待补充］</w:t>
            </w:r>
          </w:p>
        </w:tc>
      </w:tr>
      <w:tr w14:paraId="625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17736A">
            <w:pPr>
              <w:spacing w:after="0" w:line="240" w:lineRule="auto"/>
              <w:jc w:val="center"/>
            </w:pPr>
            <w:r>
              <w:rPr>
                <w:rFonts w:ascii="Times New Roman" w:hAnsi="Times New Roman" w:eastAsia="宋体"/>
                <w:b w:val="0"/>
                <w:i w:val="0"/>
                <w:sz w:val="19"/>
              </w:rPr>
              <w:t>命中规则编号</w:t>
            </w:r>
          </w:p>
        </w:tc>
        <w:tc>
          <w:tcPr>
            <w:tcW w:w="6236" w:type="dxa"/>
            <w:vAlign w:val="center"/>
          </w:tcPr>
          <w:p w14:paraId="0DC941FB">
            <w:pPr>
              <w:spacing w:after="0" w:line="240" w:lineRule="auto"/>
              <w:jc w:val="center"/>
            </w:pPr>
            <w:r>
              <w:rPr>
                <w:rFonts w:ascii="Times New Roman" w:hAnsi="Times New Roman" w:eastAsia="宋体"/>
                <w:b w:val="0"/>
                <w:i w:val="0"/>
                <w:sz w:val="19"/>
              </w:rPr>
              <w:t>［待补充］</w:t>
            </w:r>
          </w:p>
        </w:tc>
      </w:tr>
      <w:tr w14:paraId="005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F4BD8E">
            <w:pPr>
              <w:spacing w:after="0" w:line="240" w:lineRule="auto"/>
              <w:jc w:val="center"/>
            </w:pPr>
            <w:r>
              <w:rPr>
                <w:rFonts w:ascii="Times New Roman" w:hAnsi="Times New Roman" w:eastAsia="宋体"/>
                <w:b w:val="0"/>
                <w:i w:val="0"/>
                <w:sz w:val="19"/>
              </w:rPr>
              <w:t>Agent 建议摘要</w:t>
            </w:r>
          </w:p>
        </w:tc>
        <w:tc>
          <w:tcPr>
            <w:tcW w:w="6236" w:type="dxa"/>
            <w:vAlign w:val="center"/>
          </w:tcPr>
          <w:p w14:paraId="7E939A40">
            <w:pPr>
              <w:spacing w:after="0" w:line="240" w:lineRule="auto"/>
              <w:jc w:val="center"/>
            </w:pPr>
            <w:r>
              <w:rPr>
                <w:rFonts w:ascii="Times New Roman" w:hAnsi="Times New Roman" w:eastAsia="宋体"/>
                <w:b w:val="0"/>
                <w:i w:val="0"/>
                <w:sz w:val="19"/>
              </w:rPr>
              <w:t>［待补充］</w:t>
            </w:r>
          </w:p>
        </w:tc>
      </w:tr>
      <w:tr w14:paraId="3E7C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9F0954">
            <w:pPr>
              <w:spacing w:after="0" w:line="240" w:lineRule="auto"/>
              <w:jc w:val="center"/>
            </w:pPr>
            <w:r>
              <w:rPr>
                <w:rFonts w:ascii="Times New Roman" w:hAnsi="Times New Roman" w:eastAsia="宋体"/>
                <w:b w:val="0"/>
                <w:i w:val="0"/>
                <w:sz w:val="19"/>
              </w:rPr>
              <w:t>人工确认结果</w:t>
            </w:r>
          </w:p>
        </w:tc>
        <w:tc>
          <w:tcPr>
            <w:tcW w:w="6236" w:type="dxa"/>
            <w:vAlign w:val="center"/>
          </w:tcPr>
          <w:p w14:paraId="12E2FDD4">
            <w:pPr>
              <w:spacing w:after="0" w:line="240" w:lineRule="auto"/>
              <w:jc w:val="center"/>
            </w:pPr>
            <w:r>
              <w:rPr>
                <w:rFonts w:ascii="Times New Roman" w:hAnsi="Times New Roman" w:eastAsia="宋体"/>
                <w:b w:val="0"/>
                <w:i w:val="0"/>
                <w:sz w:val="19"/>
              </w:rPr>
              <w:t>［待补充］</w:t>
            </w:r>
          </w:p>
        </w:tc>
      </w:tr>
    </w:tbl>
    <w:p w14:paraId="222DE5F2">
      <w:pPr>
        <w:spacing w:after="40"/>
      </w:pPr>
    </w:p>
    <w:p w14:paraId="5A7AD7AF">
      <w:pPr>
        <w:pStyle w:val="3"/>
        <w:keepNext/>
        <w:spacing w:before="200" w:after="120"/>
      </w:pPr>
      <w:r>
        <w:rPr>
          <w:rFonts w:ascii="Times New Roman" w:hAnsi="Times New Roman" w:eastAsia="黑体"/>
          <w:b/>
          <w:i w:val="0"/>
          <w:sz w:val="24"/>
        </w:rPr>
        <w:t>8 讨论</w:t>
      </w:r>
    </w:p>
    <w:p w14:paraId="02419AB2">
      <w:pPr>
        <w:spacing w:before="0" w:after="120" w:line="259" w:lineRule="auto"/>
        <w:ind w:firstLine="420"/>
      </w:pPr>
      <w:r>
        <w:rPr>
          <w:rFonts w:ascii="Times New Roman" w:hAnsi="Times New Roman" w:eastAsia="宋体"/>
          <w:b w:val="0"/>
          <w:i w:val="0"/>
          <w:sz w:val="21"/>
        </w:rPr>
        <w:t>规则增强 Agent 的优势在于可以把确定性安全约束和业务规则前置，降低模型在关键场景中给出不可解释结论的风险。对于变电运维培训这类专业场景，可解释性和责任边界往往比单次生成文本的流畅性更重要。</w:t>
      </w:r>
    </w:p>
    <w:p w14:paraId="0B13957D">
      <w:pPr>
        <w:spacing w:before="0" w:after="120" w:line="259" w:lineRule="auto"/>
        <w:ind w:firstLine="420"/>
      </w:pPr>
      <w:r>
        <w:rPr>
          <w:rFonts w:ascii="Times New Roman" w:hAnsi="Times New Roman" w:eastAsia="宋体"/>
          <w:b w:val="0"/>
          <w:i w:val="0"/>
          <w:sz w:val="21"/>
        </w:rPr>
        <w:t>本文当前不足主要包括：真实模型训练和测试结果尚未填入；现场用户评价样本尚未完成；建议采纳后对长期技能提升的影响需要更长周期观察；不同岗位、不同班组之间的数据分布差异也需要在后续实验中进一步分析。</w:t>
      </w:r>
    </w:p>
    <w:p w14:paraId="0C3C76A2">
      <w:pPr>
        <w:pStyle w:val="3"/>
        <w:keepNext/>
        <w:spacing w:before="200" w:after="120"/>
      </w:pPr>
      <w:r>
        <w:rPr>
          <w:rFonts w:ascii="Times New Roman" w:hAnsi="Times New Roman" w:eastAsia="黑体"/>
          <w:b/>
          <w:i w:val="0"/>
          <w:sz w:val="24"/>
        </w:rPr>
        <w:t>9 结论</w:t>
      </w:r>
    </w:p>
    <w:p w14:paraId="63C9A788">
      <w:pPr>
        <w:spacing w:before="0" w:after="120" w:line="259" w:lineRule="auto"/>
        <w:ind w:firstLine="420"/>
      </w:pPr>
      <w:r>
        <w:rPr>
          <w:rFonts w:ascii="Times New Roman" w:hAnsi="Times New Roman" w:eastAsia="宋体"/>
          <w:b w:val="0"/>
          <w:i w:val="0"/>
          <w:sz w:val="21"/>
        </w:rPr>
        <w:t>本文提出一种面向变电运维技能培训的规则增强个性化 Agent 方法。该方法通过结构化事实、数据库规则、模型增强、契约校验和人工确认留痕，在个性化建议、可解释性、安全边界和系统可落地性之间取得平衡。后续工作将补充真实训练日志、模型对比实验、消融实验和现场应用数据，并进一步完善规则与模型协同生成的评价体系。</w:t>
      </w:r>
    </w:p>
    <w:p w14:paraId="545F9BA0">
      <w:pPr>
        <w:pStyle w:val="3"/>
        <w:keepNext/>
        <w:spacing w:before="200" w:after="120"/>
      </w:pPr>
      <w:r>
        <w:rPr>
          <w:rFonts w:ascii="Times New Roman" w:hAnsi="Times New Roman" w:eastAsia="黑体"/>
          <w:b/>
          <w:i w:val="0"/>
          <w:sz w:val="24"/>
        </w:rPr>
        <w:t>10 待补充数据清单</w:t>
      </w:r>
    </w:p>
    <w:p w14:paraId="5225ACC7">
      <w:pPr>
        <w:spacing w:after="60"/>
        <w:ind w:left="170" w:firstLine="0"/>
      </w:pPr>
      <w:r>
        <w:rPr>
          <w:rFonts w:ascii="Times New Roman" w:hAnsi="Times New Roman" w:eastAsia="宋体"/>
          <w:b w:val="0"/>
          <w:i w:val="0"/>
          <w:sz w:val="21"/>
        </w:rPr>
        <w:t>• 会议与投稿信息：确认 AI-CAEC 2026 最终模板、页数、语言、出版方、查重要求和 IEEE Xplore/EI 检索承诺的准确表述。</w:t>
      </w:r>
    </w:p>
    <w:p w14:paraId="26FAD036">
      <w:pPr>
        <w:spacing w:after="60"/>
        <w:ind w:left="170" w:firstLine="0"/>
      </w:pPr>
      <w:r>
        <w:rPr>
          <w:rFonts w:ascii="Times New Roman" w:hAnsi="Times New Roman" w:eastAsia="宋体"/>
          <w:b w:val="0"/>
          <w:i w:val="0"/>
          <w:sz w:val="21"/>
        </w:rPr>
        <w:t>• 作者信息：作者姓名、单位、邮箱、通讯作者、基金项目和致谢。</w:t>
      </w:r>
    </w:p>
    <w:p w14:paraId="03DB5F73">
      <w:pPr>
        <w:spacing w:after="60"/>
        <w:ind w:left="170" w:firstLine="0"/>
      </w:pPr>
      <w:r>
        <w:rPr>
          <w:rFonts w:ascii="Times New Roman" w:hAnsi="Times New Roman" w:eastAsia="宋体"/>
          <w:b w:val="0"/>
          <w:i w:val="0"/>
          <w:sz w:val="21"/>
        </w:rPr>
        <w:t>• 系统数据：当前数据库版本、员工数、岗位数、技能数、课程数、题库数、考试记录数、任务报告数、规则数。</w:t>
      </w:r>
    </w:p>
    <w:p w14:paraId="609A0A33">
      <w:pPr>
        <w:spacing w:after="60"/>
        <w:ind w:left="170" w:firstLine="0"/>
      </w:pPr>
      <w:r>
        <w:rPr>
          <w:rFonts w:ascii="Times New Roman" w:hAnsi="Times New Roman" w:eastAsia="宋体"/>
          <w:b w:val="0"/>
          <w:i w:val="0"/>
          <w:sz w:val="21"/>
        </w:rPr>
        <w:t>• 训练数据：训练/验证/测试划分、样本总数、角色覆盖、技能覆盖、数据生成脚本版本、去重报告和校验报告。</w:t>
      </w:r>
    </w:p>
    <w:p w14:paraId="6928369C">
      <w:pPr>
        <w:spacing w:after="60"/>
        <w:ind w:left="170" w:firstLine="0"/>
      </w:pPr>
      <w:r>
        <w:rPr>
          <w:rFonts w:ascii="Times New Roman" w:hAnsi="Times New Roman" w:eastAsia="宋体"/>
          <w:b w:val="0"/>
          <w:i w:val="0"/>
          <w:sz w:val="21"/>
        </w:rPr>
        <w:t>• 模型配置：基座模型名称、参数规模、量化方式、LoRA 参数、训练轮数、学习率、batch size、训练硬件和训练时长。</w:t>
      </w:r>
    </w:p>
    <w:p w14:paraId="3EBDAFFA">
      <w:pPr>
        <w:spacing w:after="60"/>
        <w:ind w:left="170" w:firstLine="0"/>
      </w:pPr>
      <w:r>
        <w:rPr>
          <w:rFonts w:ascii="Times New Roman" w:hAnsi="Times New Roman" w:eastAsia="宋体"/>
          <w:b w:val="0"/>
          <w:i w:val="0"/>
          <w:sz w:val="21"/>
        </w:rPr>
        <w:t>• 对比基线：规则基线、通用模型、微调模型、规则增强微调模型的提示词和输入保持一致。</w:t>
      </w:r>
    </w:p>
    <w:p w14:paraId="4A15737C">
      <w:pPr>
        <w:spacing w:after="60"/>
        <w:ind w:left="170" w:firstLine="0"/>
      </w:pPr>
      <w:r>
        <w:rPr>
          <w:rFonts w:ascii="Times New Roman" w:hAnsi="Times New Roman" w:eastAsia="宋体"/>
          <w:b w:val="0"/>
          <w:i w:val="0"/>
          <w:sz w:val="21"/>
        </w:rPr>
        <w:t>• 自动评价：字段合规率、JSON 可解析率、事实一致率、规则引用正确率、安全边界违例率、未验证数字比例、响应延迟。</w:t>
      </w:r>
    </w:p>
    <w:p w14:paraId="5178D68C">
      <w:pPr>
        <w:spacing w:after="60"/>
        <w:ind w:left="170" w:firstLine="0"/>
      </w:pPr>
      <w:r>
        <w:rPr>
          <w:rFonts w:ascii="Times New Roman" w:hAnsi="Times New Roman" w:eastAsia="宋体"/>
          <w:b w:val="0"/>
          <w:i w:val="0"/>
          <w:sz w:val="21"/>
        </w:rPr>
        <w:t>• 人工评价：评审人数、评分表、评分一致性、可执行性、个性化程度、解释充分性和管理可采纳性。</w:t>
      </w:r>
    </w:p>
    <w:p w14:paraId="01F42075">
      <w:pPr>
        <w:spacing w:after="60"/>
        <w:ind w:left="170" w:firstLine="0"/>
      </w:pPr>
      <w:r>
        <w:rPr>
          <w:rFonts w:ascii="Times New Roman" w:hAnsi="Times New Roman" w:eastAsia="宋体"/>
          <w:b w:val="0"/>
          <w:i w:val="0"/>
          <w:sz w:val="21"/>
        </w:rPr>
        <w:t>• 业务验证：建议采纳率、驳回率、修改率、学习计划完成率、考试成绩变化、实操超时率变化和典型案例。</w:t>
      </w:r>
    </w:p>
    <w:p w14:paraId="5CDC1A52">
      <w:pPr>
        <w:spacing w:after="60"/>
        <w:ind w:left="170" w:firstLine="0"/>
      </w:pPr>
      <w:r>
        <w:rPr>
          <w:rFonts w:ascii="Times New Roman" w:hAnsi="Times New Roman" w:eastAsia="宋体"/>
          <w:b w:val="0"/>
          <w:i w:val="0"/>
          <w:sz w:val="21"/>
        </w:rPr>
        <w:t>• 图表材料：系统架构图、规则执行流程图、训练数据构造流程图、结果对比柱状图或雷达图。</w:t>
      </w:r>
    </w:p>
    <w:p w14:paraId="37E08D64">
      <w:pPr>
        <w:spacing w:after="60"/>
        <w:ind w:left="170" w:firstLine="0"/>
      </w:pPr>
      <w:r>
        <w:rPr>
          <w:rFonts w:ascii="Times New Roman" w:hAnsi="Times New Roman" w:eastAsia="宋体"/>
          <w:b w:val="0"/>
          <w:i w:val="0"/>
          <w:sz w:val="21"/>
        </w:rPr>
        <w:t>• 参考文献：补齐 DOI、卷期页码，并按会议模板统一格式。</w:t>
      </w:r>
    </w:p>
    <w:p w14:paraId="12F5E449">
      <w:pPr>
        <w:pStyle w:val="3"/>
        <w:keepNext/>
        <w:spacing w:before="200" w:after="120"/>
      </w:pPr>
      <w:r>
        <w:rPr>
          <w:rFonts w:ascii="Times New Roman" w:hAnsi="Times New Roman" w:eastAsia="黑体"/>
          <w:b/>
          <w:i w:val="0"/>
          <w:sz w:val="24"/>
        </w:rPr>
        <w:t>参考文献占位</w:t>
      </w:r>
    </w:p>
    <w:p w14:paraId="2B535981">
      <w:pPr>
        <w:spacing w:after="60"/>
        <w:ind w:left="340" w:hanging="340"/>
      </w:pPr>
      <w:r>
        <w:rPr>
          <w:rFonts w:ascii="Times New Roman" w:hAnsi="Times New Roman" w:eastAsia="宋体"/>
          <w:b w:val="0"/>
          <w:i w:val="0"/>
          <w:sz w:val="19"/>
        </w:rPr>
        <w:t>[1] Lewis P, Perez E, Piktus A, et al. Retrieval-Augmented Generation for Knowledge-Intensive NLP Tasks. Advances in Neural Information Processing Systems, 2020.</w:t>
      </w:r>
    </w:p>
    <w:p w14:paraId="79928118">
      <w:pPr>
        <w:spacing w:after="60"/>
        <w:ind w:left="340" w:hanging="340"/>
      </w:pPr>
      <w:r>
        <w:rPr>
          <w:rFonts w:ascii="Times New Roman" w:hAnsi="Times New Roman" w:eastAsia="宋体"/>
          <w:b w:val="0"/>
          <w:i w:val="0"/>
          <w:sz w:val="19"/>
        </w:rPr>
        <w:t>[2] Hu E J, Shen Y, Wallis P, et al. LoRA: Low-Rank Adaptation of Large Language Models. International Conference on Learning Representations, 2022.</w:t>
      </w:r>
    </w:p>
    <w:p w14:paraId="190AB96D">
      <w:pPr>
        <w:spacing w:after="60"/>
        <w:ind w:left="340" w:hanging="340"/>
      </w:pPr>
      <w:r>
        <w:rPr>
          <w:rFonts w:ascii="Times New Roman" w:hAnsi="Times New Roman" w:eastAsia="宋体"/>
          <w:b w:val="0"/>
          <w:i w:val="0"/>
          <w:sz w:val="19"/>
        </w:rPr>
        <w:t>[3] Yao S, Zhao J, Yu D, et al. ReAct: Synergizing Reasoning and Acting in Language Models. International Conference on Learning Representations, 2023.</w:t>
      </w:r>
    </w:p>
    <w:p w14:paraId="6CBA8164">
      <w:pPr>
        <w:spacing w:after="60"/>
        <w:ind w:left="340" w:hanging="340"/>
      </w:pPr>
      <w:r>
        <w:rPr>
          <w:rFonts w:ascii="Times New Roman" w:hAnsi="Times New Roman" w:eastAsia="宋体"/>
          <w:b w:val="0"/>
          <w:i w:val="0"/>
          <w:sz w:val="19"/>
        </w:rPr>
        <w:t>[4] Wei J, Wang X, Schuurmans D, et al. Chain-of-Thought Prompting Elicits Reasoning in Large Language Models. Advances in Neural Information Processing Systems, 2022.</w:t>
      </w:r>
    </w:p>
    <w:p w14:paraId="43FBC603">
      <w:pPr>
        <w:spacing w:after="60"/>
        <w:ind w:left="340" w:hanging="340"/>
      </w:pPr>
      <w:r>
        <w:rPr>
          <w:rFonts w:ascii="Times New Roman" w:hAnsi="Times New Roman" w:eastAsia="宋体"/>
          <w:b w:val="0"/>
          <w:i w:val="0"/>
          <w:sz w:val="19"/>
        </w:rPr>
        <w:t>[5] ［待补充］电力行业技能培训、变电运维标准、岗位胜任力模型和智能体系统相关文献。</w:t>
      </w:r>
    </w:p>
    <w:sectPr>
      <w:footerReference r:id="rId5" w:type="default"/>
      <w:pgSz w:w="12240" w:h="15840"/>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verything wanted"/>
    <w:panose1 w:val="00000000000000000000"/>
    <w:charset w:val="00"/>
    <w:family w:val="auto"/>
    <w:pitch w:val="default"/>
    <w:sig w:usb0="00000000" w:usb1="00000000" w:usb2="00000000" w:usb3="00000000" w:csb0="00000000" w:csb1="00000000"/>
  </w:font>
  <w:font w:name="Everything wanted">
    <w:panose1 w:val="02000500000000000000"/>
    <w:charset w:val="00"/>
    <w:family w:val="auto"/>
    <w:pitch w:val="default"/>
    <w:sig w:usb0="A00000FF" w:usb1="10000042" w:usb2="00000000" w:usb3="00000000" w:csb0="0000001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3E04D">
    <w:pPr>
      <w:pStyle w:val="24"/>
      <w:jc w:val="center"/>
    </w:pPr>
    <w:r>
      <w:rPr>
        <w:rFonts w:ascii="Times New Roman" w:hAnsi="Times New Roman" w:eastAsia="宋体"/>
        <w:b w:val="0"/>
        <w:i w:val="0"/>
        <w:sz w:val="18"/>
      </w:rPr>
      <w:t>本文为中文 EI 论文初稿，实验数据和出版模板待补充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AAC442"/>
    <w:multiLevelType w:val="singleLevel"/>
    <w:tmpl w:val="DAAAC442"/>
    <w:lvl w:ilvl="0" w:tentative="0">
      <w:start w:val="1"/>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6C61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2319</Words>
  <Characters>2894</Characters>
  <Lines>0</Lines>
  <Paragraphs>0</Paragraphs>
  <TotalTime>35</TotalTime>
  <ScaleCrop>false</ScaleCrop>
  <LinksUpToDate>false</LinksUpToDate>
  <CharactersWithSpaces>3010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順</cp:lastModifiedBy>
  <dcterms:modified xsi:type="dcterms:W3CDTF">2026-10-11T09:50:57Z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A087C44F015B4D7DB4DDC686C78B8453_12</vt:lpwstr>
  </property>
</Properties>
</file>