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黑体"/>
          <w:b/>
          <w:i w:val="0"/>
          <w:sz w:val="32"/>
        </w:rPr>
        <w:t>规则增强的变电运维个性化培训智能体设计与实现</w:t>
      </w:r>
    </w:p>
    <w:p>
      <w:pPr>
        <w:spacing w:after="40"/>
        <w:jc w:val="center"/>
      </w:pPr>
      <w:r>
        <w:rPr>
          <w:rFonts w:ascii="Times New Roman" w:hAnsi="Times New Roman" w:eastAsia="宋体"/>
          <w:b w:val="0"/>
          <w:i w:val="0"/>
          <w:sz w:val="22"/>
        </w:rPr>
        <w:t>〔作者一〕　〔作者二〕　〔作者三〕</w:t>
      </w:r>
    </w:p>
    <w:p>
      <w:pPr>
        <w:spacing w:after="0"/>
        <w:jc w:val="center"/>
      </w:pPr>
      <w:r>
        <w:rPr>
          <w:rFonts w:ascii="Times New Roman" w:hAnsi="Times New Roman" w:eastAsia="宋体"/>
          <w:b w:val="0"/>
          <w:i w:val="0"/>
          <w:sz w:val="18"/>
        </w:rPr>
        <w:t>〔单位〕　〔城市〕　〔邮编〕</w:t>
      </w:r>
    </w:p>
    <w:p>
      <w:pPr>
        <w:spacing w:after="0"/>
        <w:jc w:val="center"/>
      </w:pPr>
      <w:r>
        <w:rPr>
          <w:rFonts w:ascii="Times New Roman" w:hAnsi="Times New Roman" w:eastAsia="宋体"/>
          <w:b w:val="0"/>
          <w:i w:val="0"/>
          <w:sz w:val="18"/>
        </w:rPr>
        <w:t>通信作者：〔邮箱〕</w:t>
      </w:r>
    </w:p>
    <w:p>
      <w:pPr>
        <w:spacing w:before="240"/>
        <w:ind w:firstLine="0"/>
      </w:pPr>
      <w:r>
        <w:rPr>
          <w:rFonts w:ascii="Times New Roman" w:hAnsi="Times New Roman" w:eastAsia="宋体"/>
          <w:b/>
          <w:i w:val="0"/>
          <w:sz w:val="19"/>
        </w:rPr>
        <w:t>摘要：</w:t>
      </w:r>
      <w:r>
        <w:rPr>
          <w:rFonts w:ascii="Times New Roman" w:hAnsi="Times New Roman" w:eastAsia="宋体"/>
          <w:b w:val="0"/>
          <w:i w:val="0"/>
          <w:sz w:val="19"/>
        </w:rPr>
        <w:t>变电运维岗位培训同时受安全规程约束与个体能力差异制约。固定课件难以适配个体差异，通用大模型存在规程幻觉与结论不可追溯的问题，检索增强生成提供了文本依据，但检索结果并不对建议本身构成判定。本文提出一种规则增强的个性化培训智能体，将安全与业务阈值的判定交由声明式规则库承担，模型仅负责叙述性表达。规则以 JSON 条件树存储，支持分组收敛、事实引用与热更新；模型输出须通过结构契约、事实一致性、权限边界与安全规则四重校验，未通过时回退至规则路径并记录原因，一次执行由同一执行编号关联命中的规则、生成的建议与人工决定。模型侧以 Qwen2.5-3B-Instruct 为基座，在单张 8 GB 显卡上完成 4-bit QLoRA 微调。在 150 份结构化档案上回放 450 次执行，规则集覆盖全部档案，考试不合格与能力差距的漏报数均为 0，200 组参数网格上定档、关键词补充与严重度合并的正确率均为 100%，重复执行逐字节一致，单次求值平均 0.012 ms。26 条留出样本的模型实测中，输出契约、事实一致性、学习排期与数字溯源全部合规，端到端延迟中位数为 105 s。结果表明该架构可在保证安全边界与结论可追溯的前提下自动生成个体化建议，适用于岗位能力可分级、业务阈值可枚举且建议须经人工确认的工业培训场景。</w:t>
      </w:r>
    </w:p>
    <w:p>
      <w:pPr>
        <w:ind w:firstLine="0"/>
      </w:pPr>
      <w:r>
        <w:rPr>
          <w:rFonts w:ascii="Times New Roman" w:hAnsi="Times New Roman" w:eastAsia="宋体"/>
          <w:b/>
          <w:i w:val="0"/>
          <w:sz w:val="19"/>
        </w:rPr>
        <w:t>关键词：</w:t>
      </w:r>
      <w:r>
        <w:rPr>
          <w:rFonts w:ascii="Times New Roman" w:hAnsi="Times New Roman" w:eastAsia="宋体"/>
          <w:b w:val="0"/>
          <w:i w:val="0"/>
          <w:sz w:val="19"/>
        </w:rPr>
        <w:t>变电运维；个性化培训；大语言模型；声明式规则引擎；输出契约；参数高效微调</w:t>
      </w:r>
    </w:p>
    <w:p>
      <w:pPr>
        <w:spacing w:before="280" w:after="120"/>
      </w:pPr>
      <w:r>
        <w:rPr>
          <w:rFonts w:ascii="Times New Roman" w:hAnsi="Times New Roman" w:eastAsia="黑体"/>
          <w:b/>
          <w:i w:val="0"/>
          <w:sz w:val="24"/>
        </w:rPr>
        <w:t>1　引言</w:t>
      </w:r>
    </w:p>
    <w:p>
      <w:pPr>
        <w:ind w:firstLine="420"/>
        <w:jc w:val="both"/>
      </w:pPr>
      <w:r>
        <w:rPr>
          <w:rFonts w:ascii="Times New Roman" w:hAnsi="Times New Roman" w:eastAsia="宋体"/>
          <w:b w:val="0"/>
          <w:i w:val="0"/>
          <w:sz w:val="21"/>
        </w:rPr>
        <w:t>变电运维承担设备巡视、倒闸操作、状态检测与异常处置等任务，作业过程同时受电力安全工作规程与现场运行规程约束。规程条款以禁止性规定与量化阈值的形式出现，例如气体检测浓度上限、操作票的复核与监护要求，任一环节的偏离都可能造成人身或设备事故。因此，岗位培训不仅要传递知识，还须使受训人员在具体作业情境中形成符合规程的判断。</w:t>
      </w:r>
    </w:p>
    <w:p>
      <w:pPr>
        <w:ind w:firstLine="420"/>
        <w:jc w:val="both"/>
      </w:pPr>
      <w:r>
        <w:rPr>
          <w:rFonts w:ascii="Times New Roman" w:hAnsi="Times New Roman" w:eastAsia="宋体"/>
          <w:b w:val="0"/>
          <w:i w:val="0"/>
          <w:sz w:val="21"/>
        </w:rPr>
        <w:t>培训对象的差异体现在四个方面：资格等级，证书所载等级与岗位关键任务的授权门槛可能不一致；实操表现，实际耗时与计划耗时之比、是否按标准作业程序准备；考试成绩，薄弱知识点分布不同；安全记录，越权、无票、未监护等授权类违规与一般扣分对应不同的处置要求。上述信息分散于人事、培训、实操与安全四类台账，难以直接支撑个体化决策。</w:t>
      </w:r>
    </w:p>
    <w:p>
      <w:pPr>
        <w:ind w:firstLine="420"/>
        <w:jc w:val="both"/>
      </w:pPr>
      <w:r>
        <w:rPr>
          <w:rFonts w:ascii="Times New Roman" w:hAnsi="Times New Roman" w:eastAsia="宋体"/>
          <w:b w:val="0"/>
          <w:i w:val="0"/>
          <w:sz w:val="21"/>
        </w:rPr>
        <w:t>现有培训管理系统多以课程、考试与学分为主线，能够完成资源管理、成绩记录与学分统计，但在三个方面存在不足。第一，学习路径按岗位统一编排，无法反映个体在具体能力项上的差距；第二，结论以分数与排名呈现，缺少可供复核的证据链，管理人员难以判断某项建议因何产生；第三，建议与执行之间缺少闭环，建议是否被采纳、执行结果如何，均未形成记录。</w:t>
      </w:r>
    </w:p>
    <w:p>
      <w:pPr>
        <w:ind w:firstLine="420"/>
        <w:jc w:val="both"/>
      </w:pPr>
      <w:r>
        <w:rPr>
          <w:rFonts w:ascii="Times New Roman" w:hAnsi="Times New Roman" w:eastAsia="宋体"/>
          <w:b w:val="0"/>
          <w:i w:val="0"/>
          <w:sz w:val="21"/>
        </w:rPr>
        <w:t>大语言模型为案例生成、规程问答与学习建议生成提供了新途径，已被用于电网调度知识嵌入与辅助决策[23][24]。但直接用于安全攸关场景存在三方面风险：规程幻觉，模型会以确定语气生成不存在的条款或阈值[9][22]；结论不可追溯，建议中的数值无法对应到数据来源；输出不稳定，同一输入多次调用可能不一致。检索增强生成缓解了第一类问题[1][11]，但检索结果只作为生成上下文，并不对建议本身构成判定。已有研究评估了大模型在电力领域的能力边界[15]，结论同样指向「需要外部判定」。</w:t>
      </w:r>
    </w:p>
    <w:p>
      <w:pPr>
        <w:ind w:firstLine="420"/>
        <w:jc w:val="both"/>
      </w:pPr>
      <w:r>
        <w:rPr>
          <w:rFonts w:ascii="Times New Roman" w:hAnsi="Times New Roman" w:eastAsia="宋体"/>
          <w:b w:val="0"/>
          <w:i w:val="0"/>
          <w:sz w:val="21"/>
        </w:rPr>
        <w:t>本文的基本判断是：安全与业务阈值的判定不应由模型的自然语言能力承担，而应由可审计、可复现的规则承担；模型的价值在于把结构化结论转化为可读的培训建议，并覆盖规则难以枚举的表达性内容。据此提出一种规则增强的个性化培训智能体，主要工作如下：</w:t>
      </w:r>
    </w:p>
    <w:p>
      <w:pPr>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体系结构</w:t>
      </w:r>
      <w:r>
        <w:rPr>
          <w:rFonts w:ascii="Times New Roman" w:hAnsi="Times New Roman" w:eastAsia="宋体"/>
          <w:b w:val="0"/>
          <w:i w:val="0"/>
          <w:sz w:val="21"/>
        </w:rPr>
        <w:t>：规则配置、规则计算与决策治理分离，规则路径与模型路径以 source 二值契约隔离，更替模型不影响接口、数据传输对象与前端。</w:t>
      </w:r>
    </w:p>
    <w:p>
      <w:pPr>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规则建模</w:t>
      </w:r>
      <w:r>
        <w:rPr>
          <w:rFonts w:ascii="Times New Roman" w:hAnsi="Times New Roman" w:eastAsia="宋体"/>
          <w:b w:val="0"/>
          <w:i w:val="0"/>
          <w:sz w:val="21"/>
        </w:rPr>
        <w:t>：条件以 JSON 树描述、算子取白名单；分组收敛与组内命中上限使定档与关键词补充互不干扰；*_from 引用事实使一条规则服务多类对象；阈值一律引用事实，避免口径变更后规则静默失效。</w:t>
      </w:r>
    </w:p>
    <w:p>
      <w:pPr>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可靠性保障</w:t>
      </w:r>
      <w:r>
        <w:rPr>
          <w:rFonts w:ascii="Times New Roman" w:hAnsi="Times New Roman" w:eastAsia="宋体"/>
          <w:b w:val="0"/>
          <w:i w:val="0"/>
          <w:sz w:val="21"/>
        </w:rPr>
        <w:t>：输出经结构契约、事实一致性、权限边界与安全规则四重校验，未通过则回退规则路径并记录原因；一次执行由同一编号关联命中规则、建议与人工决定，结论可解释到规则编号与数据点。</w:t>
      </w:r>
    </w:p>
    <w:p>
      <w:pPr>
        <w:ind w:left="420" w:hanging="210"/>
        <w:jc w:val="both"/>
      </w:pPr>
      <w:r>
        <w:rPr>
          <w:rFonts w:ascii="Times New Roman" w:hAnsi="Times New Roman" w:eastAsia="宋体"/>
          <w:b w:val="0"/>
          <w:i w:val="0"/>
          <w:sz w:val="21"/>
        </w:rPr>
        <w:t xml:space="preserve">· </w:t>
      </w:r>
      <w:r>
        <w:rPr>
          <w:rFonts w:ascii="Times New Roman" w:hAnsi="Times New Roman" w:eastAsia="宋体"/>
          <w:b/>
          <w:i w:val="0"/>
          <w:sz w:val="21"/>
        </w:rPr>
        <w:t>实验验证</w:t>
      </w:r>
      <w:r>
        <w:rPr>
          <w:rFonts w:ascii="Times New Roman" w:hAnsi="Times New Roman" w:eastAsia="宋体"/>
          <w:b w:val="0"/>
          <w:i w:val="0"/>
          <w:sz w:val="21"/>
        </w:rPr>
        <w:t>：150 份档案上完成 450 次规则回放与 200 组网格验证，并以 26 条样本实测模型输出，给出两条路径在确定性、时延与可解释性上的量化对比。</w:t>
      </w:r>
    </w:p>
    <w:p>
      <w:pPr>
        <w:ind w:firstLine="420"/>
        <w:jc w:val="both"/>
      </w:pPr>
      <w:r>
        <w:rPr>
          <w:rFonts w:ascii="Times New Roman" w:hAnsi="Times New Roman" w:eastAsia="宋体"/>
          <w:b w:val="0"/>
          <w:i w:val="0"/>
          <w:sz w:val="21"/>
        </w:rPr>
        <w:t>本文余下部分安排如下：第 2 节分析四类现有方法及其不足；第 3 节给出系统总体架构与规则引擎设计；第 4 节说明规则集、事实适配、输出契约、语料构建与模型微调等关键实现；第 5 节报告实验结果；第 6 节讨论适用条件与边界；第 7 节总结全文。</w:t>
      </w:r>
    </w:p>
    <w:p>
      <w:pPr>
        <w:spacing w:before="280" w:after="120"/>
      </w:pPr>
      <w:r>
        <w:rPr>
          <w:rFonts w:ascii="Times New Roman" w:hAnsi="Times New Roman" w:eastAsia="黑体"/>
          <w:b/>
          <w:i w:val="0"/>
          <w:sz w:val="24"/>
        </w:rPr>
        <w:t>2　现有方法与问题分析</w:t>
      </w:r>
    </w:p>
    <w:p>
      <w:pPr>
        <w:ind w:firstLine="420"/>
        <w:jc w:val="both"/>
      </w:pPr>
      <w:r>
        <w:rPr>
          <w:rFonts w:ascii="Times New Roman" w:hAnsi="Times New Roman" w:eastAsia="宋体"/>
          <w:b w:val="0"/>
          <w:i w:val="0"/>
          <w:sz w:val="21"/>
        </w:rPr>
        <w:t>判断一种培训技术路线是否适用于变电运维岗位，关键在于其约束在何时、以何种方式被执行。据此可将现有方法分为固定课件、通用大模型、检索增强生成与结构化知识方法四类。其中结构化知识方法又分为知识图谱与业务规则引擎两条支线，前者提供结构，后者提供判定。以下逐类分析其机制与不足。</w:t>
      </w:r>
    </w:p>
    <w:p>
      <w:pPr>
        <w:spacing w:before="200" w:after="80"/>
      </w:pPr>
      <w:r>
        <w:rPr>
          <w:rFonts w:ascii="Times New Roman" w:hAnsi="Times New Roman" w:eastAsia="黑体"/>
          <w:b/>
          <w:i w:val="0"/>
          <w:sz w:val="21"/>
        </w:rPr>
        <w:t>2.1　固定课件培训系统</w:t>
      </w:r>
    </w:p>
    <w:p>
      <w:pPr>
        <w:ind w:firstLine="420"/>
        <w:jc w:val="both"/>
      </w:pPr>
      <w:r>
        <w:rPr>
          <w:rFonts w:ascii="Times New Roman" w:hAnsi="Times New Roman" w:eastAsia="宋体"/>
          <w:b w:val="0"/>
          <w:i w:val="0"/>
          <w:sz w:val="21"/>
        </w:rPr>
        <w:t>该类系统以课程、考试与学分为主线：管理员编排课程，学员按序学习并参加考试，系统记录成绩与学分。课程内容由教研人员审核，正确性有保障，部署与运维成本较低。其局限在于约束只存在于编辑环节，不进入运行期。同一班组内，一名员工的真实差距是某一能力项由 L2 到 L3 的提升，而系统只能向全体值班员推送同一门课程。此外，规程修订后课程与试题需重新编制，维护成本随课程规模增长。</w:t>
      </w:r>
    </w:p>
    <w:p>
      <w:pPr>
        <w:spacing w:before="200" w:after="80"/>
      </w:pPr>
      <w:r>
        <w:rPr>
          <w:rFonts w:ascii="Times New Roman" w:hAnsi="Times New Roman" w:eastAsia="黑体"/>
          <w:b/>
          <w:i w:val="0"/>
          <w:sz w:val="21"/>
        </w:rPr>
        <w:t>2.2　通用大模型与智能体</w:t>
      </w:r>
    </w:p>
    <w:p>
      <w:pPr>
        <w:ind w:firstLine="420"/>
        <w:jc w:val="both"/>
      </w:pPr>
      <w:r>
        <w:rPr>
          <w:rFonts w:ascii="Times New Roman" w:hAnsi="Times New Roman" w:eastAsia="宋体"/>
          <w:b w:val="0"/>
          <w:i w:val="0"/>
          <w:sz w:val="21"/>
        </w:rPr>
        <w:t>大模型在通用语言任务上的能力已有系统综述[10]。以通用大模型为核心、通过工具调用分解任务的智能体[21]，在案例生成与规程问答上适应性较强[3][4]，自一致性与自我反思式重写可改善多步任务的稳定性[7][20]。但用于本场景存在三方面问题：规程幻觉，模型可能生成不存在的条款编号或阈值且语气与正确结论无异[9][22]；结论不可复核，合格线、人数、金额等数值无法确认来源；输出不确定，同一输入在不同调用中可能给出不同结论。对齐方法可降低幻觉比例，但难以完全消除[5][6]。</w:t>
      </w:r>
    </w:p>
    <w:p>
      <w:pPr>
        <w:spacing w:before="200" w:after="80"/>
      </w:pPr>
      <w:r>
        <w:rPr>
          <w:rFonts w:ascii="Times New Roman" w:hAnsi="Times New Roman" w:eastAsia="黑体"/>
          <w:b/>
          <w:i w:val="0"/>
          <w:sz w:val="21"/>
        </w:rPr>
        <w:t>2.3　检索增强生成</w:t>
      </w:r>
    </w:p>
    <w:p>
      <w:pPr>
        <w:ind w:firstLine="420"/>
        <w:jc w:val="both"/>
      </w:pPr>
      <w:r>
        <w:rPr>
          <w:rFonts w:ascii="Times New Roman" w:hAnsi="Times New Roman" w:eastAsia="宋体"/>
          <w:b w:val="0"/>
          <w:i w:val="0"/>
          <w:sz w:val="21"/>
        </w:rPr>
        <w:t>检索增强生成将任务拆为检索与生成两步，回答附带文本出处，幻觉率明显下降[1][11]。其约束性质仍属软约束：检索器负责找出相关段落，但没有任何机制阻止生成内容与该段落相悖。在本场景中，「检索到《电力安全工作规程》某条款」与「该建议未违反此条款」是两个不同的判断，后者需要显式的条件判定，而检索过程并不提供这一判定。</w:t>
      </w:r>
    </w:p>
    <w:p>
      <w:pPr>
        <w:spacing w:before="200" w:after="80"/>
      </w:pPr>
      <w:r>
        <w:rPr>
          <w:rFonts w:ascii="Times New Roman" w:hAnsi="Times New Roman" w:eastAsia="黑体"/>
          <w:b/>
          <w:i w:val="0"/>
          <w:sz w:val="21"/>
        </w:rPr>
        <w:t>2.4　知识图谱与业务规则引擎</w:t>
      </w:r>
    </w:p>
    <w:p>
      <w:pPr>
        <w:ind w:firstLine="420"/>
        <w:jc w:val="both"/>
      </w:pPr>
      <w:r>
        <w:rPr>
          <w:rFonts w:ascii="Times New Roman" w:hAnsi="Times New Roman" w:eastAsia="宋体"/>
          <w:b w:val="0"/>
          <w:i w:val="0"/>
          <w:sz w:val="21"/>
        </w:rPr>
        <w:t>知识图谱以实体与关系刻画岗位、课程与知识点，在变电站自适应测评中已有应用[25]；学习者建模路线则用深度知识追踪及其与大模型结合的方法，估计知识点掌握程度并给出推荐[16][17][19]，近期综述梳理了这一方向[18]。两类方法回答的是「掌握到什么程度」，而非「达到何种阈值应触发何种处置」，后者仍需独立的条件判定；本体构建与实例校验依赖专家，覆盖范围受图谱完备性约束。业务规则引擎以 Rete 匹配为核心[14]，可在运行期拦截违规结论，确定性与可审计性最好；其风险在于规则库的长期维护，阈值与业务口径脱节、规则相互遮蔽导致不可达，这类退化不引发报错，只表现为命中率下降。</w:t>
      </w:r>
    </w:p>
    <w:p>
      <w:pPr>
        <w:spacing w:before="200" w:after="80"/>
      </w:pPr>
      <w:r>
        <w:rPr>
          <w:rFonts w:ascii="Times New Roman" w:hAnsi="Times New Roman" w:eastAsia="黑体"/>
          <w:b/>
          <w:i w:val="0"/>
          <w:sz w:val="21"/>
        </w:rPr>
        <w:t>2.5　本文定位</w:t>
      </w:r>
    </w:p>
    <w:p>
      <w:pPr>
        <w:ind w:firstLine="420"/>
        <w:jc w:val="both"/>
      </w:pPr>
      <w:r>
        <w:rPr>
          <w:rFonts w:ascii="Times New Roman" w:hAnsi="Times New Roman" w:eastAsia="宋体"/>
          <w:b w:val="0"/>
          <w:i w:val="0"/>
          <w:sz w:val="21"/>
        </w:rPr>
        <w:t>表 1 沿「约束在何处执行」比较上述方法与本文。固定课件把约束放在编辑环节，大模型放在提示词，检索增强生成降级为上下文，知识图谱提供结构而无判定，规则引擎提供判定而缺表达与维护手段。本文由规则引擎承担安全与业务判定，由微调模型承担叙述性表达，由四重校验取舍并留证，实质是把「判定权」与「表达权」分离，使前者可审计、后者可迭代。</w:t>
      </w:r>
    </w:p>
    <w:p>
      <w:pPr>
        <w:spacing w:before="160" w:after="40"/>
        <w:jc w:val="center"/>
      </w:pPr>
      <w:r>
        <w:rPr>
          <w:rFonts w:ascii="Times New Roman" w:hAnsi="Times New Roman" w:eastAsia="宋体"/>
          <w:b/>
          <w:i w:val="0"/>
          <w:sz w:val="18"/>
        </w:rPr>
        <w:t xml:space="preserve">表 1　</w:t>
      </w:r>
      <w:r>
        <w:rPr>
          <w:rFonts w:ascii="Times New Roman" w:hAnsi="Times New Roman" w:eastAsia="宋体"/>
          <w:b w:val="0"/>
          <w:i w:val="0"/>
          <w:sz w:val="18"/>
        </w:rPr>
        <w:t>四类技术路线的约束执行方式与适用性对比。</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251"/>
        <w:gridCol w:w="2363"/>
        <w:gridCol w:w="3996"/>
        <w:gridCol w:w="1390"/>
      </w:tblGrid>
      <w:tr>
        <w:trPr>
          <w:tblHeader w:val="true"/>
          <w:cantSplit w:val="true"/>
        </w:trPr>
        <w:tc>
          <w:tcPr>
            <w:tcW w:type="dxa" w:w="1251"/>
          </w:tcPr>
          <w:p>
            <w:pPr>
              <w:spacing w:after="20"/>
              <w:jc w:val="center"/>
            </w:pPr>
            <w:r/>
            <w:r>
              <w:rPr>
                <w:rFonts w:ascii="Times New Roman" w:hAnsi="Times New Roman" w:eastAsia="宋体"/>
                <w:b/>
                <w:i w:val="0"/>
                <w:sz w:val="17"/>
              </w:rPr>
              <w:t>技术路线</w:t>
            </w:r>
          </w:p>
        </w:tc>
        <w:tc>
          <w:tcPr>
            <w:tcW w:type="dxa" w:w="2363"/>
          </w:tcPr>
          <w:p>
            <w:pPr>
              <w:spacing w:after="20"/>
              <w:jc w:val="center"/>
            </w:pPr>
            <w:r/>
            <w:r>
              <w:rPr>
                <w:rFonts w:ascii="Times New Roman" w:hAnsi="Times New Roman" w:eastAsia="宋体"/>
                <w:b/>
                <w:i w:val="0"/>
                <w:sz w:val="17"/>
              </w:rPr>
              <w:t>约束执行方式</w:t>
            </w:r>
          </w:p>
        </w:tc>
        <w:tc>
          <w:tcPr>
            <w:tcW w:type="dxa" w:w="3996"/>
          </w:tcPr>
          <w:p>
            <w:pPr>
              <w:spacing w:after="20"/>
              <w:jc w:val="center"/>
            </w:pPr>
            <w:r/>
            <w:r>
              <w:rPr>
                <w:rFonts w:ascii="Times New Roman" w:hAnsi="Times New Roman" w:eastAsia="宋体"/>
                <w:b/>
                <w:i w:val="0"/>
                <w:sz w:val="17"/>
              </w:rPr>
              <w:t>在本场景中的主要不足</w:t>
            </w:r>
          </w:p>
        </w:tc>
        <w:tc>
          <w:tcPr>
            <w:tcW w:type="dxa" w:w="1390"/>
          </w:tcPr>
          <w:p>
            <w:pPr>
              <w:spacing w:after="20"/>
              <w:jc w:val="center"/>
            </w:pPr>
            <w:r/>
            <w:r>
              <w:rPr>
                <w:rFonts w:ascii="Times New Roman" w:hAnsi="Times New Roman" w:eastAsia="宋体"/>
                <w:b/>
                <w:i w:val="0"/>
                <w:sz w:val="17"/>
              </w:rPr>
              <w:t>代表工作</w:t>
            </w:r>
          </w:p>
        </w:tc>
      </w:tr>
      <w:tr>
        <w:trPr>
          <w:cantSplit w:val="true"/>
        </w:trPr>
        <w:tc>
          <w:tcPr>
            <w:tcW w:type="dxa" w:w="1251"/>
          </w:tcPr>
          <w:p>
            <w:pPr>
              <w:spacing w:after="20"/>
            </w:pPr>
            <w:r/>
            <w:r>
              <w:rPr>
                <w:rFonts w:ascii="Times New Roman" w:hAnsi="Times New Roman" w:eastAsia="宋体"/>
                <w:b w:val="0"/>
                <w:i w:val="0"/>
                <w:sz w:val="17"/>
              </w:rPr>
              <w:t>固定课件培训系统</w:t>
            </w:r>
          </w:p>
        </w:tc>
        <w:tc>
          <w:tcPr>
            <w:tcW w:type="dxa" w:w="2363"/>
          </w:tcPr>
          <w:p>
            <w:pPr>
              <w:spacing w:after="20"/>
            </w:pPr>
            <w:r/>
            <w:r>
              <w:rPr>
                <w:rFonts w:ascii="Times New Roman" w:hAnsi="Times New Roman" w:eastAsia="宋体"/>
                <w:b w:val="0"/>
                <w:i w:val="0"/>
                <w:sz w:val="17"/>
              </w:rPr>
              <w:t>编辑环节把关</w:t>
            </w:r>
          </w:p>
        </w:tc>
        <w:tc>
          <w:tcPr>
            <w:tcW w:type="dxa" w:w="3996"/>
          </w:tcPr>
          <w:p>
            <w:pPr>
              <w:spacing w:after="20"/>
            </w:pPr>
            <w:r/>
            <w:r>
              <w:rPr>
                <w:rFonts w:ascii="Times New Roman" w:hAnsi="Times New Roman" w:eastAsia="宋体"/>
                <w:b w:val="0"/>
                <w:i w:val="0"/>
                <w:sz w:val="17"/>
              </w:rPr>
              <w:t>学习路径按岗位统一编排，难以反映个体能力差距；规程修订后需重编课程</w:t>
            </w:r>
          </w:p>
        </w:tc>
        <w:tc>
          <w:tcPr>
            <w:tcW w:type="dxa" w:w="1390"/>
          </w:tcPr>
          <w:p>
            <w:pPr>
              <w:spacing w:after="20"/>
            </w:pPr>
            <w:r/>
            <w:r>
              <w:rPr>
                <w:rFonts w:ascii="Times New Roman" w:hAnsi="Times New Roman" w:eastAsia="宋体"/>
                <w:b w:val="0"/>
                <w:i w:val="0"/>
                <w:sz w:val="17"/>
              </w:rPr>
              <w:t>—</w:t>
            </w:r>
          </w:p>
        </w:tc>
      </w:tr>
      <w:tr>
        <w:trPr>
          <w:cantSplit w:val="true"/>
        </w:trPr>
        <w:tc>
          <w:tcPr>
            <w:tcW w:type="dxa" w:w="1251"/>
          </w:tcPr>
          <w:p>
            <w:pPr>
              <w:spacing w:after="20"/>
            </w:pPr>
            <w:r/>
            <w:r>
              <w:rPr>
                <w:rFonts w:ascii="Times New Roman" w:hAnsi="Times New Roman" w:eastAsia="宋体"/>
                <w:b w:val="0"/>
                <w:i w:val="0"/>
                <w:sz w:val="17"/>
              </w:rPr>
              <w:t>通用大模型与智能体</w:t>
            </w:r>
          </w:p>
        </w:tc>
        <w:tc>
          <w:tcPr>
            <w:tcW w:type="dxa" w:w="2363"/>
          </w:tcPr>
          <w:p>
            <w:pPr>
              <w:spacing w:after="20"/>
            </w:pPr>
            <w:r/>
            <w:r>
              <w:rPr>
                <w:rFonts w:ascii="Times New Roman" w:hAnsi="Times New Roman" w:eastAsia="宋体"/>
                <w:b w:val="0"/>
                <w:i w:val="0"/>
                <w:sz w:val="17"/>
              </w:rPr>
              <w:t>提示词约束</w:t>
            </w:r>
          </w:p>
        </w:tc>
        <w:tc>
          <w:tcPr>
            <w:tcW w:type="dxa" w:w="3996"/>
          </w:tcPr>
          <w:p>
            <w:pPr>
              <w:spacing w:after="20"/>
            </w:pPr>
            <w:r/>
            <w:r>
              <w:rPr>
                <w:rFonts w:ascii="Times New Roman" w:hAnsi="Times New Roman" w:eastAsia="宋体"/>
                <w:b w:val="0"/>
                <w:i w:val="0"/>
                <w:sz w:val="17"/>
              </w:rPr>
              <w:t>存在规程幻觉；结论中的数值缺少出处；同一输入多次调用结果不一致</w:t>
            </w:r>
          </w:p>
        </w:tc>
        <w:tc>
          <w:tcPr>
            <w:tcW w:type="dxa" w:w="1390"/>
          </w:tcPr>
          <w:p>
            <w:pPr>
              <w:spacing w:after="20"/>
            </w:pPr>
            <w:r/>
            <w:r>
              <w:rPr>
                <w:rFonts w:ascii="Times New Roman" w:hAnsi="Times New Roman" w:eastAsia="宋体"/>
                <w:b w:val="0"/>
                <w:i w:val="0"/>
                <w:sz w:val="17"/>
              </w:rPr>
              <w:t>[3][4][20]</w:t>
            </w:r>
          </w:p>
        </w:tc>
      </w:tr>
      <w:tr>
        <w:trPr>
          <w:cantSplit w:val="true"/>
        </w:trPr>
        <w:tc>
          <w:tcPr>
            <w:tcW w:type="dxa" w:w="1251"/>
          </w:tcPr>
          <w:p>
            <w:pPr>
              <w:spacing w:after="20"/>
            </w:pPr>
            <w:r/>
            <w:r>
              <w:rPr>
                <w:rFonts w:ascii="Times New Roman" w:hAnsi="Times New Roman" w:eastAsia="宋体"/>
                <w:b w:val="0"/>
                <w:i w:val="0"/>
                <w:sz w:val="17"/>
              </w:rPr>
              <w:t>检索增强生成</w:t>
            </w:r>
          </w:p>
        </w:tc>
        <w:tc>
          <w:tcPr>
            <w:tcW w:type="dxa" w:w="2363"/>
          </w:tcPr>
          <w:p>
            <w:pPr>
              <w:spacing w:after="20"/>
            </w:pPr>
            <w:r/>
            <w:r>
              <w:rPr>
                <w:rFonts w:ascii="Times New Roman" w:hAnsi="Times New Roman" w:eastAsia="宋体"/>
                <w:b w:val="0"/>
                <w:i w:val="0"/>
                <w:sz w:val="17"/>
              </w:rPr>
              <w:t>检索结果作为上下文</w:t>
            </w:r>
          </w:p>
        </w:tc>
        <w:tc>
          <w:tcPr>
            <w:tcW w:type="dxa" w:w="3996"/>
          </w:tcPr>
          <w:p>
            <w:pPr>
              <w:spacing w:after="20"/>
            </w:pPr>
            <w:r/>
            <w:r>
              <w:rPr>
                <w:rFonts w:ascii="Times New Roman" w:hAnsi="Times New Roman" w:eastAsia="宋体"/>
                <w:b w:val="0"/>
                <w:i w:val="0"/>
                <w:sz w:val="17"/>
              </w:rPr>
              <w:t>检索提供依据但不构成判定，生成内容仍可能与依据相悖</w:t>
            </w:r>
          </w:p>
        </w:tc>
        <w:tc>
          <w:tcPr>
            <w:tcW w:type="dxa" w:w="1390"/>
          </w:tcPr>
          <w:p>
            <w:pPr>
              <w:spacing w:after="20"/>
            </w:pPr>
            <w:r/>
            <w:r>
              <w:rPr>
                <w:rFonts w:ascii="Times New Roman" w:hAnsi="Times New Roman" w:eastAsia="宋体"/>
                <w:b w:val="0"/>
                <w:i w:val="0"/>
                <w:sz w:val="17"/>
              </w:rPr>
              <w:t>[1][11]</w:t>
            </w:r>
          </w:p>
        </w:tc>
      </w:tr>
      <w:tr>
        <w:trPr>
          <w:cantSplit w:val="true"/>
        </w:trPr>
        <w:tc>
          <w:tcPr>
            <w:tcW w:type="dxa" w:w="1251"/>
          </w:tcPr>
          <w:p>
            <w:pPr>
              <w:spacing w:after="20"/>
            </w:pPr>
            <w:r/>
            <w:r>
              <w:rPr>
                <w:rFonts w:ascii="Times New Roman" w:hAnsi="Times New Roman" w:eastAsia="宋体"/>
                <w:b w:val="0"/>
                <w:i w:val="0"/>
                <w:sz w:val="17"/>
              </w:rPr>
              <w:t>知识图谱增强方法</w:t>
            </w:r>
          </w:p>
        </w:tc>
        <w:tc>
          <w:tcPr>
            <w:tcW w:type="dxa" w:w="2363"/>
          </w:tcPr>
          <w:p>
            <w:pPr>
              <w:spacing w:after="20"/>
            </w:pPr>
            <w:r/>
            <w:r>
              <w:rPr>
                <w:rFonts w:ascii="Times New Roman" w:hAnsi="Times New Roman" w:eastAsia="宋体"/>
                <w:b w:val="0"/>
                <w:i w:val="0"/>
                <w:sz w:val="17"/>
              </w:rPr>
              <w:t>图谱关系约束</w:t>
            </w:r>
          </w:p>
        </w:tc>
        <w:tc>
          <w:tcPr>
            <w:tcW w:type="dxa" w:w="3996"/>
          </w:tcPr>
          <w:p>
            <w:pPr>
              <w:spacing w:after="20"/>
            </w:pPr>
            <w:r/>
            <w:r>
              <w:rPr>
                <w:rFonts w:ascii="Times New Roman" w:hAnsi="Times New Roman" w:eastAsia="宋体"/>
                <w:b w:val="0"/>
                <w:i w:val="0"/>
                <w:sz w:val="17"/>
              </w:rPr>
              <w:t>依赖本体构建与人工校验，覆盖范围受图谱完备性限制</w:t>
            </w:r>
          </w:p>
        </w:tc>
        <w:tc>
          <w:tcPr>
            <w:tcW w:type="dxa" w:w="1390"/>
          </w:tcPr>
          <w:p>
            <w:pPr>
              <w:spacing w:after="20"/>
            </w:pPr>
            <w:r/>
            <w:r>
              <w:rPr>
                <w:rFonts w:ascii="Times New Roman" w:hAnsi="Times New Roman" w:eastAsia="宋体"/>
                <w:b w:val="0"/>
                <w:i w:val="0"/>
                <w:sz w:val="17"/>
              </w:rPr>
              <w:t>[25]</w:t>
            </w:r>
          </w:p>
        </w:tc>
      </w:tr>
      <w:tr>
        <w:trPr>
          <w:cantSplit w:val="true"/>
        </w:trPr>
        <w:tc>
          <w:tcPr>
            <w:tcW w:type="dxa" w:w="1251"/>
          </w:tcPr>
          <w:p>
            <w:pPr>
              <w:spacing w:after="20"/>
            </w:pPr>
            <w:r/>
            <w:r>
              <w:rPr>
                <w:rFonts w:ascii="Times New Roman" w:hAnsi="Times New Roman" w:eastAsia="宋体"/>
                <w:b w:val="0"/>
                <w:i w:val="0"/>
                <w:sz w:val="17"/>
              </w:rPr>
              <w:t>业务规则引擎</w:t>
            </w:r>
          </w:p>
        </w:tc>
        <w:tc>
          <w:tcPr>
            <w:tcW w:type="dxa" w:w="2363"/>
          </w:tcPr>
          <w:p>
            <w:pPr>
              <w:spacing w:after="20"/>
            </w:pPr>
            <w:r/>
            <w:r>
              <w:rPr>
                <w:rFonts w:ascii="Times New Roman" w:hAnsi="Times New Roman" w:eastAsia="宋体"/>
                <w:b w:val="0"/>
                <w:i w:val="0"/>
                <w:sz w:val="17"/>
              </w:rPr>
              <w:t>条件匹配，运行期拦截</w:t>
            </w:r>
          </w:p>
        </w:tc>
        <w:tc>
          <w:tcPr>
            <w:tcW w:type="dxa" w:w="3996"/>
          </w:tcPr>
          <w:p>
            <w:pPr>
              <w:spacing w:after="20"/>
            </w:pPr>
            <w:r/>
            <w:r>
              <w:rPr>
                <w:rFonts w:ascii="Times New Roman" w:hAnsi="Times New Roman" w:eastAsia="宋体"/>
                <w:b w:val="0"/>
                <w:i w:val="0"/>
                <w:sz w:val="17"/>
              </w:rPr>
              <w:t>确定性好，但规则库缺乏审计时易出现阈值漂移与不可达规则</w:t>
            </w:r>
          </w:p>
        </w:tc>
        <w:tc>
          <w:tcPr>
            <w:tcW w:type="dxa" w:w="1390"/>
          </w:tcPr>
          <w:p>
            <w:pPr>
              <w:spacing w:after="20"/>
            </w:pPr>
            <w:r/>
            <w:r>
              <w:rPr>
                <w:rFonts w:ascii="Times New Roman" w:hAnsi="Times New Roman" w:eastAsia="宋体"/>
                <w:b w:val="0"/>
                <w:i w:val="0"/>
                <w:sz w:val="17"/>
              </w:rPr>
              <w:t>[14]</w:t>
            </w:r>
          </w:p>
        </w:tc>
      </w:tr>
      <w:tr>
        <w:trPr>
          <w:cantSplit w:val="true"/>
        </w:trPr>
        <w:tc>
          <w:tcPr>
            <w:tcW w:type="dxa" w:w="1251"/>
          </w:tcPr>
          <w:p>
            <w:pPr>
              <w:spacing w:after="20"/>
            </w:pPr>
            <w:r/>
            <w:r>
              <w:rPr>
                <w:rFonts w:ascii="Times New Roman" w:hAnsi="Times New Roman" w:eastAsia="宋体"/>
                <w:b w:val="0"/>
                <w:i w:val="0"/>
                <w:sz w:val="17"/>
              </w:rPr>
              <w:t>本文方法</w:t>
            </w:r>
          </w:p>
        </w:tc>
        <w:tc>
          <w:tcPr>
            <w:tcW w:type="dxa" w:w="2363"/>
          </w:tcPr>
          <w:p>
            <w:pPr>
              <w:spacing w:after="20"/>
            </w:pPr>
            <w:r/>
            <w:r>
              <w:rPr>
                <w:rFonts w:ascii="Times New Roman" w:hAnsi="Times New Roman" w:eastAsia="宋体"/>
                <w:b w:val="0"/>
                <w:i w:val="0"/>
                <w:sz w:val="17"/>
              </w:rPr>
              <w:t>声明式规则判定、模型表达与四重校验</w:t>
            </w:r>
          </w:p>
        </w:tc>
        <w:tc>
          <w:tcPr>
            <w:tcW w:type="dxa" w:w="3996"/>
          </w:tcPr>
          <w:p>
            <w:pPr>
              <w:spacing w:after="20"/>
            </w:pPr>
            <w:r/>
            <w:r>
              <w:rPr>
                <w:rFonts w:ascii="Times New Roman" w:hAnsi="Times New Roman" w:eastAsia="宋体"/>
                <w:b w:val="0"/>
                <w:i w:val="0"/>
                <w:sz w:val="17"/>
              </w:rPr>
              <w:t>规则库需持续维护；模型路径延迟较高，须异步执行</w:t>
            </w:r>
          </w:p>
        </w:tc>
        <w:tc>
          <w:tcPr>
            <w:tcW w:type="dxa" w:w="1390"/>
          </w:tcPr>
          <w:p>
            <w:pPr>
              <w:spacing w:after="20"/>
            </w:pPr>
            <w:r/>
            <w:r>
              <w:rPr>
                <w:rFonts w:ascii="Times New Roman" w:hAnsi="Times New Roman" w:eastAsia="宋体"/>
                <w:b w:val="0"/>
                <w:i w:val="0"/>
                <w:sz w:val="17"/>
              </w:rPr>
              <w:t>本文</w:t>
            </w:r>
          </w:p>
        </w:tc>
      </w:tr>
    </w:tbl>
    <w:p>
      <w:pPr>
        <w:spacing w:after="40"/>
      </w:pPr>
    </w:p>
    <w:p>
      <w:pPr>
        <w:spacing w:before="280" w:after="120"/>
      </w:pPr>
      <w:r>
        <w:rPr>
          <w:rFonts w:ascii="Times New Roman" w:hAnsi="Times New Roman" w:eastAsia="黑体"/>
          <w:b/>
          <w:i w:val="0"/>
          <w:sz w:val="24"/>
        </w:rPr>
        <w:t>3　系统总体架构</w:t>
      </w:r>
    </w:p>
    <w:p>
      <w:pPr>
        <w:spacing w:before="200" w:after="80"/>
      </w:pPr>
      <w:r>
        <w:rPr>
          <w:rFonts w:ascii="Times New Roman" w:hAnsi="Times New Roman" w:eastAsia="黑体"/>
          <w:b/>
          <w:i w:val="0"/>
          <w:sz w:val="21"/>
        </w:rPr>
        <w:t>3.1　设计约束</w:t>
      </w:r>
    </w:p>
    <w:p>
      <w:pPr>
        <w:ind w:firstLine="420"/>
        <w:jc w:val="both"/>
      </w:pPr>
      <w:r>
        <w:rPr>
          <w:rFonts w:ascii="Times New Roman" w:hAnsi="Times New Roman" w:eastAsia="宋体"/>
          <w:b w:val="0"/>
          <w:i w:val="0"/>
          <w:sz w:val="21"/>
        </w:rPr>
        <w:t>系统的设计受四项约束，前三项由业务给定，第四项为部署条件所限：</w:t>
      </w:r>
    </w:p>
    <w:p>
      <w:pPr>
        <w:ind w:left="420" w:hanging="210"/>
        <w:jc w:val="both"/>
      </w:pPr>
      <w:r>
        <w:rPr>
          <w:rFonts w:ascii="Times New Roman" w:hAnsi="Times New Roman" w:eastAsia="宋体"/>
          <w:b w:val="0"/>
          <w:i w:val="0"/>
          <w:sz w:val="21"/>
        </w:rPr>
        <w:t>· 角色数据边界：员工仅可见本人数据，班组长可见本班组，公司管理层可见全公司汇总，系统管理员负责平台配置与审计，不参与业务决策。</w:t>
      </w:r>
    </w:p>
    <w:p>
      <w:pPr>
        <w:ind w:left="420" w:hanging="210"/>
        <w:jc w:val="both"/>
      </w:pPr>
      <w:r>
        <w:rPr>
          <w:rFonts w:ascii="Times New Roman" w:hAnsi="Times New Roman" w:eastAsia="宋体"/>
          <w:b w:val="0"/>
          <w:i w:val="0"/>
          <w:sz w:val="21"/>
        </w:rPr>
        <w:t>· 敏感数据可见性：心理与关怀类记录默认仅本人可见。</w:t>
      </w:r>
    </w:p>
    <w:p>
      <w:pPr>
        <w:ind w:left="420" w:hanging="210"/>
        <w:jc w:val="both"/>
      </w:pPr>
      <w:r>
        <w:rPr>
          <w:rFonts w:ascii="Times New Roman" w:hAnsi="Times New Roman" w:eastAsia="宋体"/>
          <w:b w:val="0"/>
          <w:i w:val="0"/>
          <w:sz w:val="21"/>
        </w:rPr>
        <w:t>· 安全优先：安全不合格在人才决策中具有一票否决地位。</w:t>
      </w:r>
    </w:p>
    <w:p>
      <w:pPr>
        <w:ind w:left="420" w:hanging="210"/>
        <w:jc w:val="both"/>
      </w:pPr>
      <w:r>
        <w:rPr>
          <w:rFonts w:ascii="Times New Roman" w:hAnsi="Times New Roman" w:eastAsia="宋体"/>
          <w:b w:val="0"/>
          <w:i w:val="0"/>
          <w:sz w:val="21"/>
        </w:rPr>
        <w:t>· 单库部署：系统只使用一个数据库实例，不引入外部规则框架，不使用对象关系映射框架。</w:t>
      </w:r>
    </w:p>
    <w:p>
      <w:pPr>
        <w:ind w:firstLine="420"/>
        <w:jc w:val="both"/>
      </w:pPr>
      <w:r>
        <w:rPr>
          <w:rFonts w:ascii="Times New Roman" w:hAnsi="Times New Roman" w:eastAsia="宋体"/>
          <w:b w:val="0"/>
          <w:i w:val="0"/>
          <w:sz w:val="21"/>
        </w:rPr>
        <w:t>第四项约束排除了引入 Drools 一类规则框架的方案，也决定了规则以 JSON 列形式存储于数据库。这一取舍的代价是失去规则语言的部分表达能力，收益是部署链路简化、规则修改无需重新编译与发版。</w:t>
      </w:r>
    </w:p>
    <w:p>
      <w:pPr>
        <w:spacing w:before="200" w:after="80"/>
      </w:pPr>
      <w:r>
        <w:rPr>
          <w:rFonts w:ascii="Times New Roman" w:hAnsi="Times New Roman" w:eastAsia="黑体"/>
          <w:b/>
          <w:i w:val="0"/>
          <w:sz w:val="21"/>
        </w:rPr>
        <w:t>3.2　三层架构</w:t>
      </w:r>
    </w:p>
    <w:p>
      <w:pPr>
        <w:ind w:firstLine="420"/>
        <w:jc w:val="both"/>
      </w:pPr>
      <w:r>
        <w:rPr>
          <w:rFonts w:ascii="Times New Roman" w:hAnsi="Times New Roman" w:eastAsia="宋体"/>
          <w:b w:val="0"/>
          <w:i w:val="0"/>
          <w:sz w:val="21"/>
        </w:rPr>
        <w:t>系统分为规则配置、规则计算与决策治理三层，总体结构如图 1 所示。某场景的事实由该场景的适配层从业务表组装；引擎读取该场景中 enabled 为 1 的规则，按优先级降序求值并按分组收敛；结论合并后写入建议表，并由人工确认后进入决策日志。表 2 汇总三层的职责与写入权限。</w:t>
      </w:r>
    </w:p>
    <w:p>
      <w:pPr>
        <w:jc w:val="center"/>
      </w:pPr>
      <w:r>
        <w:drawing>
          <wp:inline xmlns:a="http://schemas.openxmlformats.org/drawingml/2006/main" xmlns:pic="http://schemas.openxmlformats.org/drawingml/2006/picture">
            <wp:extent cx="3931920" cy="6091863"/>
            <wp:docPr id="1" name="Picture 1"/>
            <wp:cNvGraphicFramePr>
              <a:graphicFrameLocks noChangeAspect="1"/>
            </wp:cNvGraphicFramePr>
            <a:graphic>
              <a:graphicData uri="http://schemas.openxmlformats.org/drawingml/2006/picture">
                <pic:pic>
                  <pic:nvPicPr>
                    <pic:cNvPr id="0" name="fig1_architecture_zh.png"/>
                    <pic:cNvPicPr/>
                  </pic:nvPicPr>
                  <pic:blipFill>
                    <a:blip r:embed="rId9"/>
                    <a:stretch>
                      <a:fillRect/>
                    </a:stretch>
                  </pic:blipFill>
                  <pic:spPr>
                    <a:xfrm>
                      <a:off x="0" y="0"/>
                      <a:ext cx="3931920" cy="6091863"/>
                    </a:xfrm>
                    <a:prstGeom prst="rect"/>
                  </pic:spPr>
                </pic:pic>
              </a:graphicData>
            </a:graphic>
          </wp:inline>
        </w:drawing>
      </w:r>
    </w:p>
    <w:p>
      <w:pPr>
        <w:spacing w:after="200"/>
        <w:jc w:val="center"/>
      </w:pPr>
      <w:r>
        <w:rPr>
          <w:rFonts w:ascii="Times New Roman" w:hAnsi="Times New Roman" w:eastAsia="宋体"/>
          <w:b/>
          <w:i w:val="0"/>
          <w:sz w:val="18"/>
        </w:rPr>
        <w:t xml:space="preserve">图 1　</w:t>
      </w:r>
      <w:r>
        <w:rPr>
          <w:rFonts w:ascii="Times New Roman" w:hAnsi="Times New Roman" w:eastAsia="宋体"/>
          <w:b w:val="0"/>
          <w:i w:val="0"/>
          <w:sz w:val="18"/>
        </w:rPr>
        <w:t>系统总体架构。规则层承担安全与业务判定，计算层记录命中规则与跳过原因，决策层记录人工处置结果。</w:t>
      </w:r>
    </w:p>
    <w:p>
      <w:pPr>
        <w:ind w:firstLine="420"/>
        <w:jc w:val="both"/>
      </w:pPr>
      <w:r>
        <w:rPr>
          <w:rFonts w:ascii="Times New Roman" w:hAnsi="Times New Roman" w:eastAsia="宋体"/>
          <w:b w:val="0"/>
          <w:i w:val="0"/>
          <w:sz w:val="21"/>
        </w:rPr>
        <w:t>架构包含两条不变量，由代码保证而非依赖约定：引擎只写 rule_result，不修改任何业务数据；对外生成的建议，need_human_confirm 恒为真。两条不变量均无配置开关，从而保证智能体在任何情况下只提供建议，不替代人工决策。</w:t>
      </w:r>
    </w:p>
    <w:p>
      <w:pPr>
        <w:spacing w:before="160" w:after="40"/>
        <w:jc w:val="center"/>
      </w:pPr>
      <w:r>
        <w:rPr>
          <w:rFonts w:ascii="Times New Roman" w:hAnsi="Times New Roman" w:eastAsia="宋体"/>
          <w:b/>
          <w:i w:val="0"/>
          <w:sz w:val="18"/>
        </w:rPr>
        <w:t xml:space="preserve">表 2　</w:t>
      </w:r>
      <w:r>
        <w:rPr>
          <w:rFonts w:ascii="Times New Roman" w:hAnsi="Times New Roman" w:eastAsia="宋体"/>
          <w:b w:val="0"/>
          <w:i w:val="0"/>
          <w:sz w:val="18"/>
        </w:rPr>
        <w:t>三层职责划分。规则引擎只写 rule_result，不修改业务数据。</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970"/>
        <w:gridCol w:w="3392"/>
        <w:gridCol w:w="2262"/>
        <w:gridCol w:w="2377"/>
      </w:tblGrid>
      <w:tr>
        <w:trPr>
          <w:tblHeader w:val="true"/>
          <w:cantSplit w:val="true"/>
        </w:trPr>
        <w:tc>
          <w:tcPr>
            <w:tcW w:type="dxa" w:w="970"/>
          </w:tcPr>
          <w:p>
            <w:pPr>
              <w:spacing w:after="20"/>
              <w:jc w:val="center"/>
            </w:pPr>
            <w:r/>
            <w:r>
              <w:rPr>
                <w:rFonts w:ascii="Times New Roman" w:hAnsi="Times New Roman" w:eastAsia="宋体"/>
                <w:b/>
                <w:i w:val="0"/>
                <w:sz w:val="17"/>
              </w:rPr>
              <w:t>层次</w:t>
            </w:r>
          </w:p>
        </w:tc>
        <w:tc>
          <w:tcPr>
            <w:tcW w:type="dxa" w:w="3392"/>
          </w:tcPr>
          <w:p>
            <w:pPr>
              <w:spacing w:after="20"/>
              <w:jc w:val="center"/>
            </w:pPr>
            <w:r/>
            <w:r>
              <w:rPr>
                <w:rFonts w:ascii="Times New Roman" w:hAnsi="Times New Roman" w:eastAsia="宋体"/>
                <w:b/>
                <w:i w:val="0"/>
                <w:sz w:val="17"/>
              </w:rPr>
              <w:t>数据表</w:t>
            </w:r>
          </w:p>
        </w:tc>
        <w:tc>
          <w:tcPr>
            <w:tcW w:type="dxa" w:w="2262"/>
          </w:tcPr>
          <w:p>
            <w:pPr>
              <w:spacing w:after="20"/>
              <w:jc w:val="center"/>
            </w:pPr>
            <w:r/>
            <w:r>
              <w:rPr>
                <w:rFonts w:ascii="Times New Roman" w:hAnsi="Times New Roman" w:eastAsia="宋体"/>
                <w:b/>
                <w:i w:val="0"/>
                <w:sz w:val="17"/>
              </w:rPr>
              <w:t>承担职责</w:t>
            </w:r>
          </w:p>
        </w:tc>
        <w:tc>
          <w:tcPr>
            <w:tcW w:type="dxa" w:w="2377"/>
          </w:tcPr>
          <w:p>
            <w:pPr>
              <w:spacing w:after="20"/>
              <w:jc w:val="center"/>
            </w:pPr>
            <w:r/>
            <w:r>
              <w:rPr>
                <w:rFonts w:ascii="Times New Roman" w:hAnsi="Times New Roman" w:eastAsia="宋体"/>
                <w:b/>
                <w:i w:val="0"/>
                <w:sz w:val="17"/>
              </w:rPr>
              <w:t>写入权限</w:t>
            </w:r>
          </w:p>
        </w:tc>
      </w:tr>
      <w:tr>
        <w:trPr>
          <w:cantSplit w:val="true"/>
        </w:trPr>
        <w:tc>
          <w:tcPr>
            <w:tcW w:type="dxa" w:w="970"/>
          </w:tcPr>
          <w:p>
            <w:pPr>
              <w:spacing w:after="20"/>
            </w:pPr>
            <w:r/>
            <w:r>
              <w:rPr>
                <w:rFonts w:ascii="Times New Roman" w:hAnsi="Times New Roman" w:eastAsia="宋体"/>
                <w:b w:val="0"/>
                <w:i w:val="0"/>
                <w:sz w:val="17"/>
              </w:rPr>
              <w:t>规则配置层</w:t>
            </w:r>
          </w:p>
        </w:tc>
        <w:tc>
          <w:tcPr>
            <w:tcW w:type="dxa" w:w="3392"/>
          </w:tcPr>
          <w:p>
            <w:pPr>
              <w:spacing w:after="20"/>
            </w:pPr>
            <w:r/>
            <w:r>
              <w:rPr>
                <w:rFonts w:ascii="Times New Roman" w:hAnsi="Times New Roman" w:eastAsia="宋体"/>
                <w:b w:val="0"/>
                <w:i w:val="0"/>
                <w:sz w:val="17"/>
              </w:rPr>
              <w:t>rule</w:t>
            </w:r>
          </w:p>
        </w:tc>
        <w:tc>
          <w:tcPr>
            <w:tcW w:type="dxa" w:w="2262"/>
          </w:tcPr>
          <w:p>
            <w:pPr>
              <w:spacing w:after="20"/>
            </w:pPr>
            <w:r/>
            <w:r>
              <w:rPr>
                <w:rFonts w:ascii="Times New Roman" w:hAnsi="Times New Roman" w:eastAsia="宋体"/>
                <w:b w:val="0"/>
                <w:i w:val="0"/>
                <w:sz w:val="17"/>
              </w:rPr>
              <w:t>声明判定条件与处置动作</w:t>
            </w:r>
          </w:p>
        </w:tc>
        <w:tc>
          <w:tcPr>
            <w:tcW w:type="dxa" w:w="2377"/>
          </w:tcPr>
          <w:p>
            <w:pPr>
              <w:spacing w:after="20"/>
            </w:pPr>
            <w:r/>
            <w:r>
              <w:rPr>
                <w:rFonts w:ascii="Times New Roman" w:hAnsi="Times New Roman" w:eastAsia="宋体"/>
                <w:b w:val="0"/>
                <w:i w:val="0"/>
                <w:sz w:val="17"/>
              </w:rPr>
              <w:t>管理员维护，修改后即时生效，无需重新部署</w:t>
            </w:r>
          </w:p>
        </w:tc>
      </w:tr>
      <w:tr>
        <w:trPr>
          <w:cantSplit w:val="true"/>
        </w:trPr>
        <w:tc>
          <w:tcPr>
            <w:tcW w:type="dxa" w:w="970"/>
          </w:tcPr>
          <w:p>
            <w:pPr>
              <w:spacing w:after="20"/>
            </w:pPr>
            <w:r/>
            <w:r>
              <w:rPr>
                <w:rFonts w:ascii="Times New Roman" w:hAnsi="Times New Roman" w:eastAsia="宋体"/>
                <w:b w:val="0"/>
                <w:i w:val="0"/>
                <w:sz w:val="17"/>
              </w:rPr>
              <w:t>规则计算层</w:t>
            </w:r>
          </w:p>
        </w:tc>
        <w:tc>
          <w:tcPr>
            <w:tcW w:type="dxa" w:w="3392"/>
          </w:tcPr>
          <w:p>
            <w:pPr>
              <w:spacing w:after="20"/>
            </w:pPr>
            <w:r/>
            <w:r>
              <w:rPr>
                <w:rFonts w:ascii="Times New Roman" w:hAnsi="Times New Roman" w:eastAsia="宋体"/>
                <w:b w:val="0"/>
                <w:i w:val="0"/>
                <w:sz w:val="17"/>
              </w:rPr>
              <w:t>rule_result</w:t>
            </w:r>
          </w:p>
        </w:tc>
        <w:tc>
          <w:tcPr>
            <w:tcW w:type="dxa" w:w="2262"/>
          </w:tcPr>
          <w:p>
            <w:pPr>
              <w:spacing w:after="20"/>
            </w:pPr>
            <w:r/>
            <w:r>
              <w:rPr>
                <w:rFonts w:ascii="Times New Roman" w:hAnsi="Times New Roman" w:eastAsia="宋体"/>
                <w:b w:val="0"/>
                <w:i w:val="0"/>
                <w:sz w:val="17"/>
              </w:rPr>
              <w:t>记录本次执行的命中规则、结论与跳过原因</w:t>
            </w:r>
          </w:p>
        </w:tc>
        <w:tc>
          <w:tcPr>
            <w:tcW w:type="dxa" w:w="2377"/>
          </w:tcPr>
          <w:p>
            <w:pPr>
              <w:spacing w:after="20"/>
            </w:pPr>
            <w:r/>
            <w:r>
              <w:rPr>
                <w:rFonts w:ascii="Times New Roman" w:hAnsi="Times New Roman" w:eastAsia="宋体"/>
                <w:b w:val="0"/>
                <w:i w:val="0"/>
                <w:sz w:val="17"/>
              </w:rPr>
              <w:t>引擎写入，不修改业务数据</w:t>
            </w:r>
          </w:p>
        </w:tc>
      </w:tr>
      <w:tr>
        <w:trPr>
          <w:cantSplit w:val="true"/>
        </w:trPr>
        <w:tc>
          <w:tcPr>
            <w:tcW w:type="dxa" w:w="970"/>
          </w:tcPr>
          <w:p>
            <w:pPr>
              <w:spacing w:after="20"/>
            </w:pPr>
            <w:r/>
            <w:r>
              <w:rPr>
                <w:rFonts w:ascii="Times New Roman" w:hAnsi="Times New Roman" w:eastAsia="宋体"/>
                <w:b w:val="0"/>
                <w:i w:val="0"/>
                <w:sz w:val="17"/>
              </w:rPr>
              <w:t>决策治理层</w:t>
            </w:r>
          </w:p>
        </w:tc>
        <w:tc>
          <w:tcPr>
            <w:tcW w:type="dxa" w:w="3392"/>
          </w:tcPr>
          <w:p>
            <w:pPr>
              <w:spacing w:after="20"/>
            </w:pPr>
            <w:r/>
            <w:r>
              <w:rPr>
                <w:rFonts w:ascii="Times New Roman" w:hAnsi="Times New Roman" w:eastAsia="宋体"/>
                <w:b w:val="0"/>
                <w:i w:val="0"/>
                <w:sz w:val="17"/>
              </w:rPr>
              <w:t>agent_suggestion、decision_log</w:t>
            </w:r>
          </w:p>
        </w:tc>
        <w:tc>
          <w:tcPr>
            <w:tcW w:type="dxa" w:w="2262"/>
          </w:tcPr>
          <w:p>
            <w:pPr>
              <w:spacing w:after="20"/>
            </w:pPr>
            <w:r/>
            <w:r>
              <w:rPr>
                <w:rFonts w:ascii="Times New Roman" w:hAnsi="Times New Roman" w:eastAsia="宋体"/>
                <w:b w:val="0"/>
                <w:i w:val="0"/>
                <w:sz w:val="17"/>
              </w:rPr>
              <w:t>记录生成的建议与人工处置结果</w:t>
            </w:r>
          </w:p>
        </w:tc>
        <w:tc>
          <w:tcPr>
            <w:tcW w:type="dxa" w:w="2377"/>
          </w:tcPr>
          <w:p>
            <w:pPr>
              <w:spacing w:after="20"/>
            </w:pPr>
            <w:r/>
            <w:r>
              <w:rPr>
                <w:rFonts w:ascii="Times New Roman" w:hAnsi="Times New Roman" w:eastAsia="宋体"/>
                <w:b w:val="0"/>
                <w:i w:val="0"/>
                <w:sz w:val="17"/>
              </w:rPr>
              <w:t>智能体写入建议，人工写入决定</w:t>
            </w:r>
          </w:p>
        </w:tc>
      </w:tr>
    </w:tbl>
    <w:p>
      <w:pPr>
        <w:spacing w:after="40"/>
      </w:pPr>
    </w:p>
    <w:p>
      <w:pPr>
        <w:spacing w:before="200" w:after="80"/>
      </w:pPr>
      <w:r>
        <w:rPr>
          <w:rFonts w:ascii="Times New Roman" w:hAnsi="Times New Roman" w:eastAsia="黑体"/>
          <w:b/>
          <w:i w:val="0"/>
          <w:sz w:val="21"/>
        </w:rPr>
        <w:t>3.3　声明式规则引擎</w:t>
      </w:r>
    </w:p>
    <w:p>
      <w:pPr>
        <w:ind w:firstLine="420"/>
        <w:jc w:val="both"/>
      </w:pPr>
      <w:r>
        <w:rPr>
          <w:rFonts w:ascii="Times New Roman" w:hAnsi="Times New Roman" w:eastAsia="宋体"/>
          <w:b w:val="0"/>
          <w:i w:val="0"/>
          <w:sz w:val="21"/>
        </w:rPr>
        <w:t>一条规则对应 rule 表的一行，字段定义见表 3。其中两个字段决定了规则的组合能力：rule_group 使「定档」与「关键词补充」在不同分组内独立判定，max_hits 限制单个分组内的命中条数。condition_json 为纯数据结构，不包含脚本、表达式求值或拼接的 SQL 片段，规则内容按不可信输入处理。可用算子见表 4；无法判定的条件（未知算子、事实缺失、类型不符）进入跳过通道并记录原因，既不计为命中，也不中断本次执行。</w:t>
      </w:r>
    </w:p>
    <w:p>
      <w:pPr>
        <w:spacing w:before="160" w:after="40"/>
        <w:jc w:val="center"/>
      </w:pPr>
      <w:r>
        <w:rPr>
          <w:rFonts w:ascii="Times New Roman" w:hAnsi="Times New Roman" w:eastAsia="宋体"/>
          <w:b/>
          <w:i w:val="0"/>
          <w:sz w:val="18"/>
        </w:rPr>
        <w:t xml:space="preserve">表 3　</w:t>
      </w:r>
      <w:r>
        <w:rPr>
          <w:rFonts w:ascii="Times New Roman" w:hAnsi="Times New Roman" w:eastAsia="宋体"/>
          <w:b w:val="0"/>
          <w:i w:val="0"/>
          <w:sz w:val="18"/>
        </w:rPr>
        <w:t>rule 表字段定义。条件与动作均以 JSON 存储，支持热更新与版本追溯。</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2301"/>
        <w:gridCol w:w="1973"/>
        <w:gridCol w:w="4726"/>
      </w:tblGrid>
      <w:tr>
        <w:trPr>
          <w:tblHeader w:val="true"/>
          <w:cantSplit w:val="true"/>
        </w:trPr>
        <w:tc>
          <w:tcPr>
            <w:tcW w:type="dxa" w:w="2301"/>
          </w:tcPr>
          <w:p>
            <w:pPr>
              <w:spacing w:after="20"/>
              <w:jc w:val="center"/>
            </w:pPr>
            <w:r/>
            <w:r>
              <w:rPr>
                <w:rFonts w:ascii="Times New Roman" w:hAnsi="Times New Roman" w:eastAsia="宋体"/>
                <w:b/>
                <w:i w:val="0"/>
                <w:sz w:val="17"/>
              </w:rPr>
              <w:t>字段</w:t>
            </w:r>
          </w:p>
        </w:tc>
        <w:tc>
          <w:tcPr>
            <w:tcW w:type="dxa" w:w="1973"/>
          </w:tcPr>
          <w:p>
            <w:pPr>
              <w:spacing w:after="20"/>
              <w:jc w:val="center"/>
            </w:pPr>
            <w:r/>
            <w:r>
              <w:rPr>
                <w:rFonts w:ascii="Times New Roman" w:hAnsi="Times New Roman" w:eastAsia="宋体"/>
                <w:b/>
                <w:i w:val="0"/>
                <w:sz w:val="17"/>
              </w:rPr>
              <w:t>类型</w:t>
            </w:r>
          </w:p>
        </w:tc>
        <w:tc>
          <w:tcPr>
            <w:tcW w:type="dxa" w:w="4726"/>
          </w:tcPr>
          <w:p>
            <w:pPr>
              <w:spacing w:after="20"/>
              <w:jc w:val="center"/>
            </w:pPr>
            <w:r/>
            <w:r>
              <w:rPr>
                <w:rFonts w:ascii="Times New Roman" w:hAnsi="Times New Roman" w:eastAsia="宋体"/>
                <w:b/>
                <w:i w:val="0"/>
                <w:sz w:val="17"/>
              </w:rPr>
              <w:t>含义与约束</w:t>
            </w:r>
          </w:p>
        </w:tc>
      </w:tr>
      <w:tr>
        <w:trPr>
          <w:cantSplit w:val="true"/>
        </w:trPr>
        <w:tc>
          <w:tcPr>
            <w:tcW w:type="dxa" w:w="2301"/>
          </w:tcPr>
          <w:p>
            <w:pPr>
              <w:spacing w:after="20"/>
            </w:pPr>
            <w:r/>
            <w:r>
              <w:rPr>
                <w:rFonts w:ascii="Times New Roman" w:hAnsi="Times New Roman" w:eastAsia="宋体"/>
                <w:b w:val="0"/>
                <w:i w:val="0"/>
                <w:sz w:val="17"/>
              </w:rPr>
              <w:t>rule_code</w:t>
            </w:r>
          </w:p>
        </w:tc>
        <w:tc>
          <w:tcPr>
            <w:tcW w:type="dxa" w:w="1973"/>
          </w:tcPr>
          <w:p>
            <w:pPr>
              <w:spacing w:after="20"/>
            </w:pPr>
            <w:r/>
            <w:r>
              <w:rPr>
                <w:rFonts w:ascii="Times New Roman" w:hAnsi="Times New Roman" w:eastAsia="宋体"/>
                <w:b w:val="0"/>
                <w:i w:val="0"/>
                <w:sz w:val="17"/>
              </w:rPr>
              <w:t>VARCHAR(64)</w:t>
            </w:r>
          </w:p>
        </w:tc>
        <w:tc>
          <w:tcPr>
            <w:tcW w:type="dxa" w:w="4726"/>
          </w:tcPr>
          <w:p>
            <w:pPr>
              <w:spacing w:after="20"/>
            </w:pPr>
            <w:r/>
            <w:r>
              <w:rPr>
                <w:rFonts w:ascii="Times New Roman" w:hAnsi="Times New Roman" w:eastAsia="宋体"/>
                <w:b w:val="0"/>
                <w:i w:val="0"/>
                <w:sz w:val="17"/>
              </w:rPr>
              <w:t>规则唯一编号，全局唯一，结论引用该编号实现留痕</w:t>
            </w:r>
          </w:p>
        </w:tc>
      </w:tr>
      <w:tr>
        <w:trPr>
          <w:cantSplit w:val="true"/>
        </w:trPr>
        <w:tc>
          <w:tcPr>
            <w:tcW w:type="dxa" w:w="2301"/>
          </w:tcPr>
          <w:p>
            <w:pPr>
              <w:spacing w:after="20"/>
            </w:pPr>
            <w:r/>
            <w:r>
              <w:rPr>
                <w:rFonts w:ascii="Times New Roman" w:hAnsi="Times New Roman" w:eastAsia="宋体"/>
                <w:b w:val="0"/>
                <w:i w:val="0"/>
                <w:sz w:val="17"/>
              </w:rPr>
              <w:t>rule_name</w:t>
            </w:r>
          </w:p>
        </w:tc>
        <w:tc>
          <w:tcPr>
            <w:tcW w:type="dxa" w:w="1973"/>
          </w:tcPr>
          <w:p>
            <w:pPr>
              <w:spacing w:after="20"/>
            </w:pPr>
            <w:r/>
            <w:r>
              <w:rPr>
                <w:rFonts w:ascii="Times New Roman" w:hAnsi="Times New Roman" w:eastAsia="宋体"/>
                <w:b w:val="0"/>
                <w:i w:val="0"/>
                <w:sz w:val="17"/>
              </w:rPr>
              <w:t>VARCHAR(128)</w:t>
            </w:r>
          </w:p>
        </w:tc>
        <w:tc>
          <w:tcPr>
            <w:tcW w:type="dxa" w:w="4726"/>
          </w:tcPr>
          <w:p>
            <w:pPr>
              <w:spacing w:after="20"/>
            </w:pPr>
            <w:r/>
            <w:r>
              <w:rPr>
                <w:rFonts w:ascii="Times New Roman" w:hAnsi="Times New Roman" w:eastAsia="宋体"/>
                <w:b w:val="0"/>
                <w:i w:val="0"/>
                <w:sz w:val="17"/>
              </w:rPr>
              <w:t>规则名称，与编号一一对应</w:t>
            </w:r>
          </w:p>
        </w:tc>
      </w:tr>
      <w:tr>
        <w:trPr>
          <w:cantSplit w:val="true"/>
        </w:trPr>
        <w:tc>
          <w:tcPr>
            <w:tcW w:type="dxa" w:w="2301"/>
          </w:tcPr>
          <w:p>
            <w:pPr>
              <w:spacing w:after="20"/>
            </w:pPr>
            <w:r/>
            <w:r>
              <w:rPr>
                <w:rFonts w:ascii="Times New Roman" w:hAnsi="Times New Roman" w:eastAsia="宋体"/>
                <w:b w:val="0"/>
                <w:i w:val="0"/>
                <w:sz w:val="17"/>
              </w:rPr>
              <w:t>scene</w:t>
            </w:r>
          </w:p>
        </w:tc>
        <w:tc>
          <w:tcPr>
            <w:tcW w:type="dxa" w:w="1973"/>
          </w:tcPr>
          <w:p>
            <w:pPr>
              <w:spacing w:after="20"/>
            </w:pPr>
            <w:r/>
            <w:r>
              <w:rPr>
                <w:rFonts w:ascii="Times New Roman" w:hAnsi="Times New Roman" w:eastAsia="宋体"/>
                <w:b w:val="0"/>
                <w:i w:val="0"/>
                <w:sz w:val="17"/>
              </w:rPr>
              <w:t>VARCHAR(32)</w:t>
            </w:r>
          </w:p>
        </w:tc>
        <w:tc>
          <w:tcPr>
            <w:tcW w:type="dxa" w:w="4726"/>
          </w:tcPr>
          <w:p>
            <w:pPr>
              <w:spacing w:after="20"/>
            </w:pPr>
            <w:r/>
            <w:r>
              <w:rPr>
                <w:rFonts w:ascii="Times New Roman" w:hAnsi="Times New Roman" w:eastAsia="宋体"/>
                <w:b w:val="0"/>
                <w:i w:val="0"/>
                <w:sz w:val="17"/>
              </w:rPr>
              <w:t>适用场景：PERSONAL_GAP、EXAM_RESULT、TALENT_GAP、REPORT_ANALYSIS、REPORT_GAS</w:t>
            </w:r>
          </w:p>
        </w:tc>
      </w:tr>
      <w:tr>
        <w:trPr>
          <w:cantSplit w:val="true"/>
        </w:trPr>
        <w:tc>
          <w:tcPr>
            <w:tcW w:type="dxa" w:w="2301"/>
          </w:tcPr>
          <w:p>
            <w:pPr>
              <w:spacing w:after="20"/>
            </w:pPr>
            <w:r/>
            <w:r>
              <w:rPr>
                <w:rFonts w:ascii="Times New Roman" w:hAnsi="Times New Roman" w:eastAsia="宋体"/>
                <w:b w:val="0"/>
                <w:i w:val="0"/>
                <w:sz w:val="17"/>
              </w:rPr>
              <w:t>rule_group</w:t>
            </w:r>
          </w:p>
        </w:tc>
        <w:tc>
          <w:tcPr>
            <w:tcW w:type="dxa" w:w="1973"/>
          </w:tcPr>
          <w:p>
            <w:pPr>
              <w:spacing w:after="20"/>
            </w:pPr>
            <w:r/>
            <w:r>
              <w:rPr>
                <w:rFonts w:ascii="Times New Roman" w:hAnsi="Times New Roman" w:eastAsia="宋体"/>
                <w:b w:val="0"/>
                <w:i w:val="0"/>
                <w:sz w:val="17"/>
              </w:rPr>
              <w:t>VARCHAR(32)</w:t>
            </w:r>
          </w:p>
        </w:tc>
        <w:tc>
          <w:tcPr>
            <w:tcW w:type="dxa" w:w="4726"/>
          </w:tcPr>
          <w:p>
            <w:pPr>
              <w:spacing w:after="20"/>
            </w:pPr>
            <w:r/>
            <w:r>
              <w:rPr>
                <w:rFonts w:ascii="Times New Roman" w:hAnsi="Times New Roman" w:eastAsia="宋体"/>
                <w:b w:val="0"/>
                <w:i w:val="0"/>
                <w:sz w:val="17"/>
              </w:rPr>
              <w:t>匹配分组，空串为默认组；收敛与命中上限仅作用于本组</w:t>
            </w:r>
          </w:p>
        </w:tc>
      </w:tr>
      <w:tr>
        <w:trPr>
          <w:cantSplit w:val="true"/>
        </w:trPr>
        <w:tc>
          <w:tcPr>
            <w:tcW w:type="dxa" w:w="2301"/>
          </w:tcPr>
          <w:p>
            <w:pPr>
              <w:spacing w:after="20"/>
            </w:pPr>
            <w:r/>
            <w:r>
              <w:rPr>
                <w:rFonts w:ascii="Times New Roman" w:hAnsi="Times New Roman" w:eastAsia="宋体"/>
                <w:b w:val="0"/>
                <w:i w:val="0"/>
                <w:sz w:val="17"/>
              </w:rPr>
              <w:t>condition_json</w:t>
            </w:r>
          </w:p>
        </w:tc>
        <w:tc>
          <w:tcPr>
            <w:tcW w:type="dxa" w:w="1973"/>
          </w:tcPr>
          <w:p>
            <w:pPr>
              <w:spacing w:after="20"/>
            </w:pPr>
            <w:r/>
            <w:r>
              <w:rPr>
                <w:rFonts w:ascii="Times New Roman" w:hAnsi="Times New Roman" w:eastAsia="宋体"/>
                <w:b w:val="0"/>
                <w:i w:val="0"/>
                <w:sz w:val="17"/>
              </w:rPr>
              <w:t>JSON</w:t>
            </w:r>
          </w:p>
        </w:tc>
        <w:tc>
          <w:tcPr>
            <w:tcW w:type="dxa" w:w="4726"/>
          </w:tcPr>
          <w:p>
            <w:pPr>
              <w:spacing w:after="20"/>
            </w:pPr>
            <w:r/>
            <w:r>
              <w:rPr>
                <w:rFonts w:ascii="Times New Roman" w:hAnsi="Times New Roman" w:eastAsia="宋体"/>
                <w:b w:val="0"/>
                <w:i w:val="0"/>
                <w:sz w:val="17"/>
              </w:rPr>
              <w:t>条件树，仅允许表 4 所列算子，不支持脚本求值</w:t>
            </w:r>
          </w:p>
        </w:tc>
      </w:tr>
      <w:tr>
        <w:trPr>
          <w:cantSplit w:val="true"/>
        </w:trPr>
        <w:tc>
          <w:tcPr>
            <w:tcW w:type="dxa" w:w="2301"/>
          </w:tcPr>
          <w:p>
            <w:pPr>
              <w:spacing w:after="20"/>
            </w:pPr>
            <w:r/>
            <w:r>
              <w:rPr>
                <w:rFonts w:ascii="Times New Roman" w:hAnsi="Times New Roman" w:eastAsia="宋体"/>
                <w:b w:val="0"/>
                <w:i w:val="0"/>
                <w:sz w:val="17"/>
              </w:rPr>
              <w:t>action_json</w:t>
            </w:r>
          </w:p>
        </w:tc>
        <w:tc>
          <w:tcPr>
            <w:tcW w:type="dxa" w:w="1973"/>
          </w:tcPr>
          <w:p>
            <w:pPr>
              <w:spacing w:after="20"/>
            </w:pPr>
            <w:r/>
            <w:r>
              <w:rPr>
                <w:rFonts w:ascii="Times New Roman" w:hAnsi="Times New Roman" w:eastAsia="宋体"/>
                <w:b w:val="0"/>
                <w:i w:val="0"/>
                <w:sz w:val="17"/>
              </w:rPr>
              <w:t>JSON</w:t>
            </w:r>
          </w:p>
        </w:tc>
        <w:tc>
          <w:tcPr>
            <w:tcW w:type="dxa" w:w="4726"/>
          </w:tcPr>
          <w:p>
            <w:pPr>
              <w:spacing w:after="20"/>
            </w:pPr>
            <w:r/>
            <w:r>
              <w:rPr>
                <w:rFonts w:ascii="Times New Roman" w:hAnsi="Times New Roman" w:eastAsia="宋体"/>
                <w:b w:val="0"/>
                <w:i w:val="0"/>
                <w:sz w:val="17"/>
              </w:rPr>
              <w:t>命中后的处置动作，或以 *_from 引用事实取值</w:t>
            </w:r>
          </w:p>
        </w:tc>
      </w:tr>
      <w:tr>
        <w:trPr>
          <w:cantSplit w:val="true"/>
        </w:trPr>
        <w:tc>
          <w:tcPr>
            <w:tcW w:type="dxa" w:w="2301"/>
          </w:tcPr>
          <w:p>
            <w:pPr>
              <w:spacing w:after="20"/>
            </w:pPr>
            <w:r/>
            <w:r>
              <w:rPr>
                <w:rFonts w:ascii="Times New Roman" w:hAnsi="Times New Roman" w:eastAsia="宋体"/>
                <w:b w:val="0"/>
                <w:i w:val="0"/>
                <w:sz w:val="17"/>
              </w:rPr>
              <w:t>priority</w:t>
            </w:r>
          </w:p>
        </w:tc>
        <w:tc>
          <w:tcPr>
            <w:tcW w:type="dxa" w:w="1973"/>
          </w:tcPr>
          <w:p>
            <w:pPr>
              <w:spacing w:after="20"/>
            </w:pPr>
            <w:r/>
            <w:r>
              <w:rPr>
                <w:rFonts w:ascii="Times New Roman" w:hAnsi="Times New Roman" w:eastAsia="宋体"/>
                <w:b w:val="0"/>
                <w:i w:val="0"/>
                <w:sz w:val="17"/>
              </w:rPr>
              <w:t>INT</w:t>
            </w:r>
          </w:p>
        </w:tc>
        <w:tc>
          <w:tcPr>
            <w:tcW w:type="dxa" w:w="4726"/>
          </w:tcPr>
          <w:p>
            <w:pPr>
              <w:spacing w:after="20"/>
            </w:pPr>
            <w:r/>
            <w:r>
              <w:rPr>
                <w:rFonts w:ascii="Times New Roman" w:hAnsi="Times New Roman" w:eastAsia="宋体"/>
                <w:b w:val="0"/>
                <w:i w:val="0"/>
                <w:sz w:val="17"/>
              </w:rPr>
              <w:t>求值顺序，降序排列；同优先级按 rule_code 升序，保证结果与物理行序无关</w:t>
            </w:r>
          </w:p>
        </w:tc>
      </w:tr>
      <w:tr>
        <w:trPr>
          <w:cantSplit w:val="true"/>
        </w:trPr>
        <w:tc>
          <w:tcPr>
            <w:tcW w:type="dxa" w:w="2301"/>
          </w:tcPr>
          <w:p>
            <w:pPr>
              <w:spacing w:after="20"/>
            </w:pPr>
            <w:r/>
            <w:r>
              <w:rPr>
                <w:rFonts w:ascii="Times New Roman" w:hAnsi="Times New Roman" w:eastAsia="宋体"/>
                <w:b w:val="0"/>
                <w:i w:val="0"/>
                <w:sz w:val="17"/>
              </w:rPr>
              <w:t>stop_on_match</w:t>
            </w:r>
          </w:p>
        </w:tc>
        <w:tc>
          <w:tcPr>
            <w:tcW w:type="dxa" w:w="1973"/>
          </w:tcPr>
          <w:p>
            <w:pPr>
              <w:spacing w:after="20"/>
            </w:pPr>
            <w:r/>
            <w:r>
              <w:rPr>
                <w:rFonts w:ascii="Times New Roman" w:hAnsi="Times New Roman" w:eastAsia="宋体"/>
                <w:b w:val="0"/>
                <w:i w:val="0"/>
                <w:sz w:val="17"/>
              </w:rPr>
              <w:t>TINYINT</w:t>
            </w:r>
          </w:p>
        </w:tc>
        <w:tc>
          <w:tcPr>
            <w:tcW w:type="dxa" w:w="4726"/>
          </w:tcPr>
          <w:p>
            <w:pPr>
              <w:spacing w:after="20"/>
            </w:pPr>
            <w:r/>
            <w:r>
              <w:rPr>
                <w:rFonts w:ascii="Times New Roman" w:hAnsi="Times New Roman" w:eastAsia="宋体"/>
                <w:b w:val="0"/>
                <w:i w:val="0"/>
                <w:sz w:val="17"/>
              </w:rPr>
              <w:t>取 1 时本组首条命中即停止求值，不影响其他分组</w:t>
            </w:r>
          </w:p>
        </w:tc>
      </w:tr>
      <w:tr>
        <w:trPr>
          <w:cantSplit w:val="true"/>
        </w:trPr>
        <w:tc>
          <w:tcPr>
            <w:tcW w:type="dxa" w:w="2301"/>
          </w:tcPr>
          <w:p>
            <w:pPr>
              <w:spacing w:after="20"/>
            </w:pPr>
            <w:r/>
            <w:r>
              <w:rPr>
                <w:rFonts w:ascii="Times New Roman" w:hAnsi="Times New Roman" w:eastAsia="宋体"/>
                <w:b w:val="0"/>
                <w:i w:val="0"/>
                <w:sz w:val="17"/>
              </w:rPr>
              <w:t>max_hits</w:t>
            </w:r>
          </w:p>
        </w:tc>
        <w:tc>
          <w:tcPr>
            <w:tcW w:type="dxa" w:w="1973"/>
          </w:tcPr>
          <w:p>
            <w:pPr>
              <w:spacing w:after="20"/>
            </w:pPr>
            <w:r/>
            <w:r>
              <w:rPr>
                <w:rFonts w:ascii="Times New Roman" w:hAnsi="Times New Roman" w:eastAsia="宋体"/>
                <w:b w:val="0"/>
                <w:i w:val="0"/>
                <w:sz w:val="17"/>
              </w:rPr>
              <w:t>INT</w:t>
            </w:r>
          </w:p>
        </w:tc>
        <w:tc>
          <w:tcPr>
            <w:tcW w:type="dxa" w:w="4726"/>
          </w:tcPr>
          <w:p>
            <w:pPr>
              <w:spacing w:after="20"/>
            </w:pPr>
            <w:r/>
            <w:r>
              <w:rPr>
                <w:rFonts w:ascii="Times New Roman" w:hAnsi="Times New Roman" w:eastAsia="宋体"/>
                <w:b w:val="0"/>
                <w:i w:val="0"/>
                <w:sz w:val="17"/>
              </w:rPr>
              <w:t>本组命中条数上限，取 0 表示不限</w:t>
            </w:r>
          </w:p>
        </w:tc>
      </w:tr>
      <w:tr>
        <w:trPr>
          <w:cantSplit w:val="true"/>
        </w:trPr>
        <w:tc>
          <w:tcPr>
            <w:tcW w:type="dxa" w:w="2301"/>
          </w:tcPr>
          <w:p>
            <w:pPr>
              <w:spacing w:after="20"/>
            </w:pPr>
            <w:r/>
            <w:r>
              <w:rPr>
                <w:rFonts w:ascii="Times New Roman" w:hAnsi="Times New Roman" w:eastAsia="宋体"/>
                <w:b w:val="0"/>
                <w:i w:val="0"/>
                <w:sz w:val="17"/>
              </w:rPr>
              <w:t>enabled</w:t>
            </w:r>
          </w:p>
        </w:tc>
        <w:tc>
          <w:tcPr>
            <w:tcW w:type="dxa" w:w="1973"/>
          </w:tcPr>
          <w:p>
            <w:pPr>
              <w:spacing w:after="20"/>
            </w:pPr>
            <w:r/>
            <w:r>
              <w:rPr>
                <w:rFonts w:ascii="Times New Roman" w:hAnsi="Times New Roman" w:eastAsia="宋体"/>
                <w:b w:val="0"/>
                <w:i w:val="0"/>
                <w:sz w:val="17"/>
              </w:rPr>
              <w:t>TINYINT</w:t>
            </w:r>
          </w:p>
        </w:tc>
        <w:tc>
          <w:tcPr>
            <w:tcW w:type="dxa" w:w="4726"/>
          </w:tcPr>
          <w:p>
            <w:pPr>
              <w:spacing w:after="20"/>
            </w:pPr>
            <w:r/>
            <w:r>
              <w:rPr>
                <w:rFonts w:ascii="Times New Roman" w:hAnsi="Times New Roman" w:eastAsia="宋体"/>
                <w:b w:val="0"/>
                <w:i w:val="0"/>
                <w:sz w:val="17"/>
              </w:rPr>
              <w:t>是否参与求值；停用后保留定义，供历史结论回溯</w:t>
            </w:r>
          </w:p>
        </w:tc>
      </w:tr>
      <w:tr>
        <w:trPr>
          <w:cantSplit w:val="true"/>
        </w:trPr>
        <w:tc>
          <w:tcPr>
            <w:tcW w:type="dxa" w:w="2301"/>
          </w:tcPr>
          <w:p>
            <w:pPr>
              <w:spacing w:after="20"/>
            </w:pPr>
            <w:r/>
            <w:r>
              <w:rPr>
                <w:rFonts w:ascii="Times New Roman" w:hAnsi="Times New Roman" w:eastAsia="宋体"/>
                <w:b w:val="0"/>
                <w:i w:val="0"/>
                <w:sz w:val="17"/>
              </w:rPr>
              <w:t>remark</w:t>
            </w:r>
          </w:p>
        </w:tc>
        <w:tc>
          <w:tcPr>
            <w:tcW w:type="dxa" w:w="1973"/>
          </w:tcPr>
          <w:p>
            <w:pPr>
              <w:spacing w:after="20"/>
            </w:pPr>
            <w:r/>
            <w:r>
              <w:rPr>
                <w:rFonts w:ascii="Times New Roman" w:hAnsi="Times New Roman" w:eastAsia="宋体"/>
                <w:b w:val="0"/>
                <w:i w:val="0"/>
                <w:sz w:val="17"/>
              </w:rPr>
              <w:t>VARCHAR(255)</w:t>
            </w:r>
          </w:p>
        </w:tc>
        <w:tc>
          <w:tcPr>
            <w:tcW w:type="dxa" w:w="4726"/>
          </w:tcPr>
          <w:p>
            <w:pPr>
              <w:spacing w:after="20"/>
            </w:pPr>
            <w:r/>
            <w:r>
              <w:rPr>
                <w:rFonts w:ascii="Times New Roman" w:hAnsi="Times New Roman" w:eastAsia="宋体"/>
                <w:b w:val="0"/>
                <w:i w:val="0"/>
                <w:sz w:val="17"/>
              </w:rPr>
              <w:t>维护说明，同时作为条件语义的业务依据</w:t>
            </w:r>
          </w:p>
        </w:tc>
      </w:tr>
    </w:tbl>
    <w:p>
      <w:pPr>
        <w:spacing w:after="40"/>
      </w:pPr>
    </w:p>
    <w:p>
      <w:pPr>
        <w:spacing w:before="160" w:after="40"/>
        <w:jc w:val="center"/>
      </w:pPr>
      <w:r>
        <w:rPr>
          <w:rFonts w:ascii="Times New Roman" w:hAnsi="Times New Roman" w:eastAsia="宋体"/>
          <w:b/>
          <w:i w:val="0"/>
          <w:sz w:val="18"/>
        </w:rPr>
        <w:t xml:space="preserve">表 4　</w:t>
      </w:r>
      <w:r>
        <w:rPr>
          <w:rFonts w:ascii="Times New Roman" w:hAnsi="Times New Roman" w:eastAsia="宋体"/>
          <w:b w:val="0"/>
          <w:i w:val="0"/>
          <w:sz w:val="18"/>
        </w:rPr>
        <w:t>条件算子白名单。无法判定的条件进入跳过通道并记录原因，不中断执行。</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140"/>
        <w:gridCol w:w="5282"/>
        <w:gridCol w:w="2578"/>
      </w:tblGrid>
      <w:tr>
        <w:trPr>
          <w:tblHeader w:val="true"/>
          <w:cantSplit w:val="true"/>
        </w:trPr>
        <w:tc>
          <w:tcPr>
            <w:tcW w:type="dxa" w:w="1140"/>
          </w:tcPr>
          <w:p>
            <w:pPr>
              <w:spacing w:after="20"/>
              <w:jc w:val="center"/>
            </w:pPr>
            <w:r/>
            <w:r>
              <w:rPr>
                <w:rFonts w:ascii="Times New Roman" w:hAnsi="Times New Roman" w:eastAsia="宋体"/>
                <w:b/>
                <w:i w:val="0"/>
                <w:sz w:val="17"/>
              </w:rPr>
              <w:t>类别</w:t>
            </w:r>
          </w:p>
        </w:tc>
        <w:tc>
          <w:tcPr>
            <w:tcW w:type="dxa" w:w="5282"/>
          </w:tcPr>
          <w:p>
            <w:pPr>
              <w:spacing w:after="20"/>
              <w:jc w:val="center"/>
            </w:pPr>
            <w:r/>
            <w:r>
              <w:rPr>
                <w:rFonts w:ascii="Times New Roman" w:hAnsi="Times New Roman" w:eastAsia="宋体"/>
                <w:b/>
                <w:i w:val="0"/>
                <w:sz w:val="17"/>
              </w:rPr>
              <w:t>算子</w:t>
            </w:r>
          </w:p>
        </w:tc>
        <w:tc>
          <w:tcPr>
            <w:tcW w:type="dxa" w:w="2578"/>
          </w:tcPr>
          <w:p>
            <w:pPr>
              <w:spacing w:after="20"/>
              <w:jc w:val="center"/>
            </w:pPr>
            <w:r/>
            <w:r>
              <w:rPr>
                <w:rFonts w:ascii="Times New Roman" w:hAnsi="Times New Roman" w:eastAsia="宋体"/>
                <w:b/>
                <w:i w:val="0"/>
                <w:sz w:val="17"/>
              </w:rPr>
              <w:t>不可判定时的处置</w:t>
            </w:r>
          </w:p>
        </w:tc>
      </w:tr>
      <w:tr>
        <w:trPr>
          <w:cantSplit w:val="true"/>
        </w:trPr>
        <w:tc>
          <w:tcPr>
            <w:tcW w:type="dxa" w:w="1140"/>
          </w:tcPr>
          <w:p>
            <w:pPr>
              <w:spacing w:after="20"/>
            </w:pPr>
            <w:r/>
            <w:r>
              <w:rPr>
                <w:rFonts w:ascii="Times New Roman" w:hAnsi="Times New Roman" w:eastAsia="宋体"/>
                <w:b w:val="0"/>
                <w:i w:val="0"/>
                <w:sz w:val="17"/>
              </w:rPr>
              <w:t>数值比较</w:t>
            </w:r>
          </w:p>
        </w:tc>
        <w:tc>
          <w:tcPr>
            <w:tcW w:type="dxa" w:w="5282"/>
          </w:tcPr>
          <w:p>
            <w:pPr>
              <w:spacing w:after="20"/>
            </w:pPr>
            <w:r/>
            <w:r>
              <w:rPr>
                <w:rFonts w:ascii="Times New Roman" w:hAnsi="Times New Roman" w:eastAsia="宋体"/>
                <w:b w:val="0"/>
                <w:i w:val="0"/>
                <w:sz w:val="17"/>
              </w:rPr>
              <w:t>eq, ne, gt, gte, lt, lte, between</w:t>
            </w:r>
          </w:p>
        </w:tc>
        <w:tc>
          <w:tcPr>
            <w:tcW w:type="dxa" w:w="2578"/>
          </w:tcPr>
          <w:p>
            <w:pPr>
              <w:spacing w:after="20"/>
            </w:pPr>
            <w:r/>
            <w:r>
              <w:rPr>
                <w:rFonts w:ascii="Times New Roman" w:hAnsi="Times New Roman" w:eastAsia="宋体"/>
                <w:b w:val="0"/>
                <w:i w:val="0"/>
                <w:sz w:val="17"/>
              </w:rPr>
              <w:t>类型不符则跳过并记录原因</w:t>
            </w:r>
          </w:p>
        </w:tc>
      </w:tr>
      <w:tr>
        <w:trPr>
          <w:cantSplit w:val="true"/>
        </w:trPr>
        <w:tc>
          <w:tcPr>
            <w:tcW w:type="dxa" w:w="1140"/>
          </w:tcPr>
          <w:p>
            <w:pPr>
              <w:spacing w:after="20"/>
            </w:pPr>
            <w:r/>
            <w:r>
              <w:rPr>
                <w:rFonts w:ascii="Times New Roman" w:hAnsi="Times New Roman" w:eastAsia="宋体"/>
                <w:b w:val="0"/>
                <w:i w:val="0"/>
                <w:sz w:val="17"/>
              </w:rPr>
              <w:t>集合判断</w:t>
            </w:r>
          </w:p>
        </w:tc>
        <w:tc>
          <w:tcPr>
            <w:tcW w:type="dxa" w:w="5282"/>
          </w:tcPr>
          <w:p>
            <w:pPr>
              <w:spacing w:after="20"/>
            </w:pPr>
            <w:r/>
            <w:r>
              <w:rPr>
                <w:rFonts w:ascii="Times New Roman" w:hAnsi="Times New Roman" w:eastAsia="宋体"/>
                <w:b w:val="0"/>
                <w:i w:val="0"/>
                <w:sz w:val="17"/>
              </w:rPr>
              <w:t>in, not_in</w:t>
            </w:r>
          </w:p>
        </w:tc>
        <w:tc>
          <w:tcPr>
            <w:tcW w:type="dxa" w:w="2578"/>
          </w:tcPr>
          <w:p>
            <w:pPr>
              <w:spacing w:after="20"/>
            </w:pPr>
            <w:r/>
            <w:r>
              <w:rPr>
                <w:rFonts w:ascii="Times New Roman" w:hAnsi="Times New Roman" w:eastAsia="宋体"/>
                <w:b w:val="0"/>
                <w:i w:val="0"/>
                <w:sz w:val="17"/>
              </w:rPr>
              <w:t>取值不在集合内判为假，不跳过</w:t>
            </w:r>
          </w:p>
        </w:tc>
      </w:tr>
      <w:tr>
        <w:trPr>
          <w:cantSplit w:val="true"/>
        </w:trPr>
        <w:tc>
          <w:tcPr>
            <w:tcW w:type="dxa" w:w="1140"/>
          </w:tcPr>
          <w:p>
            <w:pPr>
              <w:spacing w:after="20"/>
            </w:pPr>
            <w:r/>
            <w:r>
              <w:rPr>
                <w:rFonts w:ascii="Times New Roman" w:hAnsi="Times New Roman" w:eastAsia="宋体"/>
                <w:b w:val="0"/>
                <w:i w:val="0"/>
                <w:sz w:val="17"/>
              </w:rPr>
              <w:t>文本匹配</w:t>
            </w:r>
          </w:p>
        </w:tc>
        <w:tc>
          <w:tcPr>
            <w:tcW w:type="dxa" w:w="5282"/>
          </w:tcPr>
          <w:p>
            <w:pPr>
              <w:spacing w:after="20"/>
            </w:pPr>
            <w:r/>
            <w:r>
              <w:rPr>
                <w:rFonts w:ascii="Times New Roman" w:hAnsi="Times New Roman" w:eastAsia="宋体"/>
                <w:b w:val="0"/>
                <w:i w:val="0"/>
                <w:sz w:val="17"/>
              </w:rPr>
              <w:t>contains, not_contains, contains_any, starts_with, ends_with</w:t>
            </w:r>
          </w:p>
        </w:tc>
        <w:tc>
          <w:tcPr>
            <w:tcW w:type="dxa" w:w="2578"/>
          </w:tcPr>
          <w:p>
            <w:pPr>
              <w:spacing w:after="20"/>
            </w:pPr>
            <w:r/>
            <w:r>
              <w:rPr>
                <w:rFonts w:ascii="Times New Roman" w:hAnsi="Times New Roman" w:eastAsia="宋体"/>
                <w:b w:val="0"/>
                <w:i w:val="0"/>
                <w:sz w:val="17"/>
              </w:rPr>
              <w:t>事实缺失则跳过</w:t>
            </w:r>
          </w:p>
        </w:tc>
      </w:tr>
      <w:tr>
        <w:trPr>
          <w:cantSplit w:val="true"/>
        </w:trPr>
        <w:tc>
          <w:tcPr>
            <w:tcW w:type="dxa" w:w="1140"/>
          </w:tcPr>
          <w:p>
            <w:pPr>
              <w:spacing w:after="20"/>
            </w:pPr>
            <w:r/>
            <w:r>
              <w:rPr>
                <w:rFonts w:ascii="Times New Roman" w:hAnsi="Times New Roman" w:eastAsia="宋体"/>
                <w:b w:val="0"/>
                <w:i w:val="0"/>
                <w:sz w:val="17"/>
              </w:rPr>
              <w:t>布尔与存在性</w:t>
            </w:r>
          </w:p>
        </w:tc>
        <w:tc>
          <w:tcPr>
            <w:tcW w:type="dxa" w:w="5282"/>
          </w:tcPr>
          <w:p>
            <w:pPr>
              <w:spacing w:after="20"/>
            </w:pPr>
            <w:r/>
            <w:r>
              <w:rPr>
                <w:rFonts w:ascii="Times New Roman" w:hAnsi="Times New Roman" w:eastAsia="宋体"/>
                <w:b w:val="0"/>
                <w:i w:val="0"/>
                <w:sz w:val="17"/>
              </w:rPr>
              <w:t>is_true, is_false, exists, missing</w:t>
            </w:r>
          </w:p>
        </w:tc>
        <w:tc>
          <w:tcPr>
            <w:tcW w:type="dxa" w:w="2578"/>
          </w:tcPr>
          <w:p>
            <w:pPr>
              <w:spacing w:after="20"/>
            </w:pPr>
            <w:r/>
            <w:r>
              <w:rPr>
                <w:rFonts w:ascii="Times New Roman" w:hAnsi="Times New Roman" w:eastAsia="宋体"/>
                <w:b w:val="0"/>
                <w:i w:val="0"/>
                <w:sz w:val="17"/>
              </w:rPr>
              <w:t>非布尔值则跳过，不做隐式转换</w:t>
            </w:r>
          </w:p>
        </w:tc>
      </w:tr>
      <w:tr>
        <w:trPr>
          <w:cantSplit w:val="true"/>
        </w:trPr>
        <w:tc>
          <w:tcPr>
            <w:tcW w:type="dxa" w:w="1140"/>
          </w:tcPr>
          <w:p>
            <w:pPr>
              <w:spacing w:after="20"/>
            </w:pPr>
            <w:r/>
            <w:r>
              <w:rPr>
                <w:rFonts w:ascii="Times New Roman" w:hAnsi="Times New Roman" w:eastAsia="宋体"/>
                <w:b w:val="0"/>
                <w:i w:val="0"/>
                <w:sz w:val="17"/>
              </w:rPr>
              <w:t>组合器</w:t>
            </w:r>
          </w:p>
        </w:tc>
        <w:tc>
          <w:tcPr>
            <w:tcW w:type="dxa" w:w="5282"/>
          </w:tcPr>
          <w:p>
            <w:pPr>
              <w:spacing w:after="20"/>
            </w:pPr>
            <w:r/>
            <w:r>
              <w:rPr>
                <w:rFonts w:ascii="Times New Roman" w:hAnsi="Times New Roman" w:eastAsia="宋体"/>
                <w:b w:val="0"/>
                <w:i w:val="0"/>
                <w:sz w:val="17"/>
              </w:rPr>
              <w:t>all、any、not，可嵌套</w:t>
            </w:r>
          </w:p>
        </w:tc>
        <w:tc>
          <w:tcPr>
            <w:tcW w:type="dxa" w:w="2578"/>
          </w:tcPr>
          <w:p>
            <w:pPr>
              <w:spacing w:after="20"/>
            </w:pPr>
            <w:r/>
            <w:r>
              <w:rPr>
                <w:rFonts w:ascii="Times New Roman" w:hAnsi="Times New Roman" w:eastAsia="宋体"/>
                <w:b w:val="0"/>
                <w:i w:val="0"/>
                <w:sz w:val="17"/>
              </w:rPr>
              <w:t>子条件跳过则本条件记为跳过</w:t>
            </w:r>
          </w:p>
        </w:tc>
      </w:tr>
      <w:tr>
        <w:trPr>
          <w:cantSplit w:val="true"/>
        </w:trPr>
        <w:tc>
          <w:tcPr>
            <w:tcW w:type="dxa" w:w="1140"/>
          </w:tcPr>
          <w:p>
            <w:pPr>
              <w:spacing w:after="20"/>
            </w:pPr>
            <w:r/>
            <w:r>
              <w:rPr>
                <w:rFonts w:ascii="Times New Roman" w:hAnsi="Times New Roman" w:eastAsia="宋体"/>
                <w:b w:val="0"/>
                <w:i w:val="0"/>
                <w:sz w:val="17"/>
              </w:rPr>
              <w:t>事实间比较</w:t>
            </w:r>
          </w:p>
        </w:tc>
        <w:tc>
          <w:tcPr>
            <w:tcW w:type="dxa" w:w="5282"/>
          </w:tcPr>
          <w:p>
            <w:pPr>
              <w:spacing w:after="20"/>
            </w:pPr>
            <w:r/>
            <w:r>
              <w:rPr>
                <w:rFonts w:ascii="Times New Roman" w:hAnsi="Times New Roman" w:eastAsia="宋体"/>
                <w:b w:val="0"/>
                <w:i w:val="0"/>
                <w:sz w:val="17"/>
              </w:rPr>
              <w:t>以 other_fact 代替 value，直接比较两个事实</w:t>
            </w:r>
          </w:p>
        </w:tc>
        <w:tc>
          <w:tcPr>
            <w:tcW w:type="dxa" w:w="2578"/>
          </w:tcPr>
          <w:p>
            <w:pPr>
              <w:spacing w:after="20"/>
            </w:pPr>
            <w:r/>
            <w:r>
              <w:rPr>
                <w:rFonts w:ascii="Times New Roman" w:hAnsi="Times New Roman" w:eastAsia="宋体"/>
                <w:b w:val="0"/>
                <w:i w:val="0"/>
                <w:sz w:val="17"/>
              </w:rPr>
              <w:t>任一事实缺失则跳过</w:t>
            </w:r>
          </w:p>
        </w:tc>
      </w:tr>
    </w:tbl>
    <w:p>
      <w:pPr>
        <w:spacing w:after="40"/>
      </w:pPr>
    </w:p>
    <w:p>
      <w:pPr>
        <w:ind w:firstLine="420"/>
        <w:jc w:val="both"/>
      </w:pPr>
      <w:r>
        <w:rPr>
          <w:rFonts w:ascii="Times New Roman" w:hAnsi="Times New Roman" w:eastAsia="宋体"/>
          <w:b w:val="0"/>
          <w:i w:val="0"/>
          <w:sz w:val="21"/>
        </w:rPr>
        <w:t>求值过程见算法 1。其中两处设计保证结果可复现：</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9000"/>
      </w:tblGrid>
      <w:tr>
        <w:tc>
          <w:tcPr>
            <w:tcW w:type="dxa" w:w="9072"/>
            <w:shd w:val="clear" w:fill="F7F7F7"/>
          </w:tcPr>
          <w:p>
            <w:pPr>
              <w:spacing w:before="60" w:after="60"/>
            </w:pPr>
            <w:r/>
            <w:r>
              <w:rPr>
                <w:rFonts w:ascii="Times New Roman" w:hAnsi="Times New Roman" w:eastAsia="黑体"/>
                <w:b/>
                <w:i w:val="0"/>
                <w:sz w:val="17"/>
              </w:rPr>
              <w:t>算法 1　规则求值（输入场景与事实表，输出命中集合与合并结论）</w:t>
            </w:r>
          </w:p>
          <w:p>
            <w:pPr>
              <w:spacing w:before="0" w:after="0" w:line="269" w:lineRule="auto"/>
            </w:pPr>
            <w:r>
              <w:rPr>
                <w:rFonts w:ascii="Consolas" w:hAnsi="Consolas" w:eastAsia="宋体"/>
                <w:b w:val="0"/>
                <w:i w:val="0"/>
                <w:sz w:val="16"/>
              </w:rPr>
              <w:t>输入：scene，facts；输出：命中集合 H</w:t>
            </w:r>
          </w:p>
          <w:p>
            <w:pPr>
              <w:spacing w:before="0" w:after="0" w:line="269" w:lineRule="auto"/>
            </w:pPr>
            <w:r>
              <w:rPr>
                <w:rFonts w:ascii="Consolas" w:hAnsi="Consolas" w:eastAsia="宋体"/>
                <w:b w:val="0"/>
                <w:i w:val="0"/>
                <w:sz w:val="16"/>
              </w:rPr>
              <w:t xml:space="preserve"> 1  R ← { r | r.enabled = 1 ∧ r.scene = scene }</w:t>
            </w:r>
          </w:p>
          <w:p>
            <w:pPr>
              <w:spacing w:before="0" w:after="0" w:line="269" w:lineRule="auto"/>
            </w:pPr>
            <w:r>
              <w:rPr>
                <w:rFonts w:ascii="Consolas" w:hAnsi="Consolas" w:eastAsia="宋体"/>
                <w:b w:val="0"/>
                <w:i w:val="0"/>
                <w:sz w:val="16"/>
              </w:rPr>
              <w:t xml:space="preserve"> 2  R ← sort(R, key = (priority ↓, rule_code ↑))        // 与物理行序无关</w:t>
            </w:r>
          </w:p>
          <w:p>
            <w:pPr>
              <w:spacing w:before="0" w:after="0" w:line="269" w:lineRule="auto"/>
            </w:pPr>
            <w:r>
              <w:rPr>
                <w:rFonts w:ascii="Consolas" w:hAnsi="Consolas" w:eastAsia="宋体"/>
                <w:b w:val="0"/>
                <w:i w:val="0"/>
                <w:sz w:val="16"/>
              </w:rPr>
              <w:t xml:space="preserve"> 3  H ← ∅；closed ← ∅</w:t>
            </w:r>
          </w:p>
          <w:p>
            <w:pPr>
              <w:spacing w:before="0" w:after="0" w:line="269" w:lineRule="auto"/>
            </w:pPr>
            <w:r>
              <w:rPr>
                <w:rFonts w:ascii="Consolas" w:hAnsi="Consolas" w:eastAsia="宋体"/>
                <w:b w:val="0"/>
                <w:i w:val="0"/>
                <w:sz w:val="16"/>
              </w:rPr>
              <w:t xml:space="preserve"> 4  for r in R do</w:t>
            </w:r>
          </w:p>
          <w:p>
            <w:pPr>
              <w:spacing w:before="0" w:after="0" w:line="269" w:lineRule="auto"/>
            </w:pPr>
            <w:r>
              <w:rPr>
                <w:rFonts w:ascii="Consolas" w:hAnsi="Consolas" w:eastAsia="宋体"/>
                <w:b w:val="0"/>
                <w:i w:val="0"/>
                <w:sz w:val="16"/>
              </w:rPr>
              <w:t xml:space="preserve"> 5      if r.rule_group ∈ closed then 记跳过原因「本组已收敛」; continue</w:t>
            </w:r>
          </w:p>
          <w:p>
            <w:pPr>
              <w:spacing w:before="0" w:after="0" w:line="269" w:lineRule="auto"/>
            </w:pPr>
            <w:r>
              <w:rPr>
                <w:rFonts w:ascii="Consolas" w:hAnsi="Consolas" w:eastAsia="宋体"/>
                <w:b w:val="0"/>
                <w:i w:val="0"/>
                <w:sz w:val="16"/>
              </w:rPr>
              <w:t xml:space="preserve"> 6      ok, why ← eval(r.condition_json, facts)          // 真 / 假 / 不可判定</w:t>
            </w:r>
          </w:p>
          <w:p>
            <w:pPr>
              <w:spacing w:before="0" w:after="0" w:line="269" w:lineRule="auto"/>
            </w:pPr>
            <w:r>
              <w:rPr>
                <w:rFonts w:ascii="Consolas" w:hAnsi="Consolas" w:eastAsia="宋体"/>
                <w:b w:val="0"/>
                <w:i w:val="0"/>
                <w:sz w:val="16"/>
              </w:rPr>
              <w:t xml:space="preserve"> 7      if ok = unknown then 记跳过原因 why; continue</w:t>
            </w:r>
          </w:p>
          <w:p>
            <w:pPr>
              <w:spacing w:before="0" w:after="0" w:line="269" w:lineRule="auto"/>
            </w:pPr>
            <w:r>
              <w:rPr>
                <w:rFonts w:ascii="Consolas" w:hAnsi="Consolas" w:eastAsia="宋体"/>
                <w:b w:val="0"/>
                <w:i w:val="0"/>
                <w:sz w:val="16"/>
              </w:rPr>
              <w:t xml:space="preserve"> 8      if ok = false then continue</w:t>
            </w:r>
          </w:p>
          <w:p>
            <w:pPr>
              <w:spacing w:before="0" w:after="0" w:line="269" w:lineRule="auto"/>
            </w:pPr>
            <w:r>
              <w:rPr>
                <w:rFonts w:ascii="Consolas" w:hAnsi="Consolas" w:eastAsia="宋体"/>
                <w:b w:val="0"/>
                <w:i w:val="0"/>
                <w:sz w:val="16"/>
              </w:rPr>
              <w:t xml:space="preserve"> 9      H ← H ∪ { (r, resolve(r.action_json, facts)) }    // *_from 在此取事实值</w:t>
            </w:r>
          </w:p>
          <w:p>
            <w:pPr>
              <w:spacing w:before="0" w:after="0" w:line="269" w:lineRule="auto"/>
            </w:pPr>
            <w:r>
              <w:rPr>
                <w:rFonts w:ascii="Consolas" w:hAnsi="Consolas" w:eastAsia="宋体"/>
                <w:b w:val="0"/>
                <w:i w:val="0"/>
                <w:sz w:val="16"/>
              </w:rPr>
              <w:t>10      if r.stop_on_match = 1 then closed ← closed ∪ { r.rule_group }</w:t>
            </w:r>
          </w:p>
          <w:p>
            <w:pPr>
              <w:spacing w:before="0" w:after="0" w:line="269" w:lineRule="auto"/>
            </w:pPr>
            <w:r>
              <w:rPr>
                <w:rFonts w:ascii="Consolas" w:hAnsi="Consolas" w:eastAsia="宋体"/>
                <w:b w:val="0"/>
                <w:i w:val="0"/>
                <w:sz w:val="16"/>
              </w:rPr>
              <w:t>11      if r.max_hits &gt; 0 then</w:t>
            </w:r>
          </w:p>
          <w:p>
            <w:pPr>
              <w:spacing w:before="0" w:after="0" w:line="269" w:lineRule="auto"/>
            </w:pPr>
            <w:r>
              <w:rPr>
                <w:rFonts w:ascii="Consolas" w:hAnsi="Consolas" w:eastAsia="宋体"/>
                <w:b w:val="0"/>
                <w:i w:val="0"/>
                <w:sz w:val="16"/>
              </w:rPr>
              <w:t>12          if |H ∩ group(r)| ≥ r.max_hits then closed ← closed ∪ { r.rule_group }</w:t>
            </w:r>
          </w:p>
          <w:p>
            <w:pPr>
              <w:spacing w:before="0" w:after="0" w:line="269" w:lineRule="auto"/>
            </w:pPr>
            <w:r>
              <w:rPr>
                <w:rFonts w:ascii="Consolas" w:hAnsi="Consolas" w:eastAsia="宋体"/>
                <w:b w:val="0"/>
                <w:i w:val="0"/>
                <w:sz w:val="16"/>
              </w:rPr>
              <w:t>13  return merge(H)                                      // 式（1）</w:t>
            </w:r>
          </w:p>
        </w:tc>
      </w:tr>
    </w:tbl>
    <w:p>
      <w:pPr>
        <w:spacing w:after="40"/>
      </w:pPr>
    </w:p>
    <w:p>
      <w:pPr>
        <w:ind w:firstLine="420"/>
        <w:jc w:val="both"/>
      </w:pPr>
      <w:r>
        <w:rPr>
          <w:rFonts w:ascii="Times New Roman" w:hAnsi="Times New Roman" w:eastAsia="宋体"/>
          <w:b w:val="0"/>
          <w:i w:val="0"/>
          <w:sz w:val="21"/>
        </w:rPr>
        <w:t>两处设计保证结果可复现：规则先按优先级降序、再按规则编号升序排列，求值顺序与物理行序无关；跳过通道显式记录原因，使「未触发」同样可作为数据回放。收敛作用于分组而非整场，故定档与关键词补充互不压制，未分组规则归入默认组，保留「最高优先级命中即出结果」的语义。</w:t>
      </w:r>
    </w:p>
    <w:p>
      <w:pPr>
        <w:ind w:firstLine="420"/>
        <w:jc w:val="both"/>
      </w:pPr>
      <w:r>
        <w:rPr>
          <w:rFonts w:ascii="Times New Roman" w:hAnsi="Times New Roman" w:eastAsia="宋体"/>
          <w:b w:val="0"/>
          <w:i w:val="0"/>
          <w:sz w:val="21"/>
        </w:rPr>
        <w:t>多条规则命中时按下式合并结论：</w:t>
      </w:r>
    </w:p>
    <w:p>
      <w:pPr>
        <w:spacing w:before="120" w:after="120"/>
        <w:jc w:val="center"/>
      </w:pPr>
      <m:oMathPara>
        <m:oMath>
          <m:r>
            <m:rPr/>
            <w:t xml:space="preserve">p</w:t>
          </m:r>
          <m:sSub>
            <m:e>
              <m:r>
                <m:rPr/>
                <w:t xml:space="preserve"/>
              </m:r>
            </m:e>
            <m:sub>
              <m:r>
                <m:rPr/>
                <w:t xml:space="preserve">i</w:t>
              </m:r>
              <m:r>
                <m:rPr>
                  <m:sty m:val="p"/>
                </m:rPr>
                <w:t xml:space="preserve">,</w:t>
              </m:r>
              <m:r>
                <m:rPr/>
                <w:t xml:space="preserve">k</w:t>
              </m:r>
            </m:sub>
          </m:sSub>
          <m:r>
            <m:rPr>
              <m:sty m:val="p"/>
            </m:rPr>
            <w:t xml:space="preserve"> = </w:t>
          </m:r>
          <m:r>
            <m:rPr/>
            <w:t xml:space="preserve">P1</w:t>
          </m:r>
          <m:r>
            <m:rPr>
              <m:sty m:val="p"/>
            </m:rPr>
            <w:t xml:space="preserve">  if </w:t>
          </m:r>
          <m:r>
            <m:rPr/>
            <w:t xml:space="preserve">Pr</w:t>
          </m:r>
          <m:sSub>
            <m:e>
              <m:r>
                <m:rPr/>
                <w:t xml:space="preserve"/>
              </m:r>
            </m:e>
            <m:sub>
              <m:r>
                <m:rPr/>
                <w:t xml:space="preserve">i</w:t>
              </m:r>
              <m:r>
                <m:rPr>
                  <m:sty m:val="p"/>
                </m:rPr>
                <w:t xml:space="preserve">,</w:t>
              </m:r>
              <m:r>
                <m:rPr/>
                <w:t xml:space="preserve">k</w:t>
              </m:r>
            </m:sub>
          </m:sSub>
          <m:r>
            <m:rPr>
              <m:sty m:val="p"/>
            </m:rPr>
            <w:t xml:space="preserve"> ≥ </w:t>
          </m:r>
          <m:r>
            <m:rPr/>
            <w:t xml:space="preserve">θ</w:t>
          </m:r>
          <m:sSub>
            <m:e>
              <m:r>
                <m:rPr/>
                <w:t xml:space="preserve"/>
              </m:r>
            </m:e>
            <m:sub>
              <m:r>
                <m:rPr>
                  <m:sty m:val="p"/>
                </m:rPr>
                <w:t xml:space="preserve">1</w:t>
              </m:r>
            </m:sub>
          </m:sSub>
          <m:r>
            <m:rPr>
              <m:sty m:val="p"/>
            </m:rPr>
            <w:t xml:space="preserve">;   </w:t>
          </m:r>
          <m:r>
            <m:rPr/>
            <w:t xml:space="preserve">P2</w:t>
          </m:r>
          <m:r>
            <m:rPr>
              <m:sty m:val="p"/>
            </m:rPr>
            <w:t xml:space="preserve">  if </w:t>
          </m:r>
          <m:r>
            <m:rPr/>
            <w:t xml:space="preserve">θ</w:t>
          </m:r>
          <m:sSub>
            <m:e>
              <m:r>
                <m:rPr/>
                <w:t xml:space="preserve"/>
              </m:r>
            </m:e>
            <m:sub>
              <m:r>
                <m:rPr>
                  <m:sty m:val="p"/>
                </m:rPr>
                <w:t xml:space="preserve">2</w:t>
              </m:r>
            </m:sub>
          </m:sSub>
          <m:r>
            <m:rPr>
              <m:sty m:val="p"/>
            </m:rPr>
            <w:t xml:space="preserve"> ≤ </w:t>
          </m:r>
          <m:r>
            <m:rPr/>
            <w:t xml:space="preserve">Pr</w:t>
          </m:r>
          <m:sSub>
            <m:e>
              <m:r>
                <m:rPr/>
                <w:t xml:space="preserve"/>
              </m:r>
            </m:e>
            <m:sub>
              <m:r>
                <m:rPr/>
                <w:t xml:space="preserve">i</w:t>
              </m:r>
              <m:r>
                <m:rPr>
                  <m:sty m:val="p"/>
                </m:rPr>
                <w:t xml:space="preserve">,</w:t>
              </m:r>
              <m:r>
                <m:rPr/>
                <w:t xml:space="preserve">k</w:t>
              </m:r>
            </m:sub>
          </m:sSub>
          <m:r>
            <m:rPr>
              <m:sty m:val="p"/>
            </m:rPr>
            <w:t xml:space="preserve"> &lt; </w:t>
          </m:r>
          <m:r>
            <m:rPr/>
            <w:t xml:space="preserve">θ</w:t>
          </m:r>
          <m:sSub>
            <m:e>
              <m:r>
                <m:rPr/>
                <w:t xml:space="preserve"/>
              </m:r>
            </m:e>
            <m:sub>
              <m:r>
                <m:rPr>
                  <m:sty m:val="p"/>
                </m:rPr>
                <w:t xml:space="preserve">1</w:t>
              </m:r>
            </m:sub>
          </m:sSub>
          <m:r>
            <m:rPr>
              <m:sty m:val="p"/>
            </m:rPr>
            <w:t xml:space="preserve">;   </w:t>
          </m:r>
          <m:r>
            <m:rPr/>
            <w:t xml:space="preserve">P3</w:t>
          </m:r>
          <m:r>
            <m:rPr>
              <m:sty m:val="p"/>
            </m:rPr>
            <w:t xml:space="preserve">  otherwise</w:t>
          </m:r>
        </m:oMath>
      </m:oMathPara>
      <w:r>
        <w:rPr>
          <w:rFonts w:ascii="Times New Roman" w:hAnsi="Times New Roman" w:eastAsia="宋体"/>
          <w:b w:val="0"/>
          <w:i w:val="0"/>
          <w:sz w:val="21"/>
        </w:rPr>
        <w:tab/>
        <w:t>（1）</w:t>
      </w:r>
    </w:p>
    <w:p>
      <w:pPr>
        <w:ind w:firstLine="420"/>
        <w:jc w:val="both"/>
      </w:pPr>
      <w:r>
        <w:rPr>
          <w:rFonts w:ascii="Times New Roman" w:hAnsi="Times New Roman" w:eastAsia="宋体"/>
          <w:b w:val="0"/>
          <w:i w:val="0"/>
          <w:sz w:val="21"/>
        </w:rPr>
        <w:t>其中 rank(低) &lt; rank(中) &lt; rank(高)，actions 与 causes 去重后按命中顺序保留，主因取首条命中的取值。若无任何规则命中，引擎返回 matched 为 false 并附带未命中原因，不抛出异常，以保证批量回放可完整执行。</w:t>
      </w:r>
    </w:p>
    <w:p>
      <w:pPr>
        <w:spacing w:before="200" w:after="80"/>
      </w:pPr>
      <w:r>
        <w:rPr>
          <w:rFonts w:ascii="Times New Roman" w:hAnsi="Times New Roman" w:eastAsia="黑体"/>
          <w:b/>
          <w:i w:val="0"/>
          <w:sz w:val="21"/>
        </w:rPr>
        <w:t>3.4　可靠性保障与回退</w:t>
      </w:r>
    </w:p>
    <w:p>
      <w:pPr>
        <w:ind w:firstLine="420"/>
        <w:jc w:val="both"/>
      </w:pPr>
      <w:r>
        <w:rPr>
          <w:rFonts w:ascii="Times New Roman" w:hAnsi="Times New Roman" w:eastAsia="宋体"/>
          <w:b w:val="0"/>
          <w:i w:val="0"/>
          <w:sz w:val="21"/>
        </w:rPr>
        <w:t>模型输出须通过四重校验方可采纳，各环节的判定对象与不通过时的处置见表 5。校验次序按代价由低到高排列：先验结构，再验事实，最后验安全与权限，避免无效的模型调用与数据访问。与可编程护栏[8]相比，本文把判定放在规则库而非护栏语言中，使规则可由业务方维护。形式化地，见式（2）：</w:t>
      </w:r>
    </w:p>
    <w:p>
      <w:pPr>
        <w:spacing w:before="120" w:after="120"/>
        <w:jc w:val="center"/>
      </w:pPr>
      <m:oMathPara>
        <m:oMath>
          <m:r>
            <m:rPr/>
            <w:t xml:space="preserve">F</w:t>
          </m:r>
          <m:sSub>
            <m:e>
              <m:r>
                <m:rPr/>
                <w:t xml:space="preserve"/>
              </m:r>
            </m:e>
            <m:sub>
              <m:r>
                <m:rPr/>
                <w:t xml:space="preserve">i</w:t>
              </m:r>
              <m:r>
                <m:rPr>
                  <m:sty m:val="p"/>
                </m:rPr>
                <w:t xml:space="preserve">,</w:t>
              </m:r>
              <m:r>
                <m:rPr/>
                <w:t xml:space="preserve">k</w:t>
              </m:r>
            </m:sub>
          </m:sSub>
          <m:r>
            <m:rPr>
              <m:sty m:val="p"/>
            </m:rPr>
            <w:t xml:space="preserve"> = max(0, </w:t>
          </m:r>
          <m:r>
            <m:rPr/>
            <w:t xml:space="preserve">D</w:t>
          </m:r>
          <m:sSub>
            <m:e>
              <m:r>
                <m:rPr/>
                <w:t xml:space="preserve"/>
              </m:r>
            </m:e>
            <m:sub>
              <m:r>
                <m:rPr/>
                <w:t xml:space="preserve">i</w:t>
              </m:r>
              <m:r>
                <m:rPr>
                  <m:sty m:val="p"/>
                </m:rPr>
                <w:t xml:space="preserve">,</w:t>
              </m:r>
              <m:r>
                <m:rPr/>
                <w:t xml:space="preserve">k</w:t>
              </m:r>
            </m:sub>
          </m:sSub>
          <m:r>
            <m:rPr>
              <m:sty m:val="p"/>
            </m:rPr>
            <w:t xml:space="preserve"> − </w:t>
          </m:r>
          <m:r>
            <m:rPr/>
            <w:t xml:space="preserve">S</w:t>
          </m:r>
          <m:sSub>
            <m:e>
              <m:r>
                <m:rPr/>
                <w:t xml:space="preserve"/>
              </m:r>
            </m:e>
            <m:sub>
              <m:r>
                <m:rPr/>
                <w:t xml:space="preserve">i</w:t>
              </m:r>
              <m:r>
                <m:rPr>
                  <m:sty m:val="p"/>
                </m:rPr>
                <w:t xml:space="preserve">,</w:t>
              </m:r>
              <m:r>
                <m:rPr/>
                <w:t xml:space="preserve">k</w:t>
              </m:r>
            </m:sub>
          </m:sSub>
          <m:r>
            <m:rPr>
              <m:sty m:val="p"/>
            </m:rPr>
            <w:t xml:space="preserve">)</w:t>
          </m:r>
        </m:oMath>
      </m:oMathPara>
      <w:r>
        <w:rPr>
          <w:rFonts w:ascii="Times New Roman" w:hAnsi="Times New Roman" w:eastAsia="宋体"/>
          <w:b w:val="0"/>
          <w:i w:val="0"/>
          <w:sz w:val="21"/>
        </w:rPr>
        <w:tab/>
        <w:t>（2）</w:t>
      </w:r>
    </w:p>
    <w:p>
      <w:pPr>
        <w:ind w:firstLine="420"/>
        <w:jc w:val="both"/>
      </w:pPr>
      <w:r>
        <w:rPr>
          <w:rFonts w:ascii="Times New Roman" w:hAnsi="Times New Roman" w:eastAsia="宋体"/>
          <w:b w:val="0"/>
          <w:i w:val="0"/>
          <w:sz w:val="21"/>
        </w:rPr>
        <w:t>被拒绝的输出最多触发一次有界重写；仍不通过时，系统返回规则路径的结论，并写入 fallback_note 说明回退原因。重写次数限制为一次，是为避免反复重写演变为变相放行。由于响应中 source 只取 rule 与 model 两个值，且三个智能体端点的请求与响应结构固定，更换模型只需替换服务实现，控制器、数据传输对象、接口路径与前端均无需改动。完整流程如图 2 所示。</w:t>
      </w:r>
    </w:p>
    <w:p>
      <w:pPr>
        <w:spacing w:before="160" w:after="40"/>
        <w:jc w:val="center"/>
      </w:pPr>
      <w:r>
        <w:rPr>
          <w:rFonts w:ascii="Times New Roman" w:hAnsi="Times New Roman" w:eastAsia="宋体"/>
          <w:b/>
          <w:i w:val="0"/>
          <w:sz w:val="18"/>
        </w:rPr>
        <w:t xml:space="preserve">表 5　</w:t>
      </w:r>
      <w:r>
        <w:rPr>
          <w:rFonts w:ascii="Times New Roman" w:hAnsi="Times New Roman" w:eastAsia="宋体"/>
          <w:b w:val="0"/>
          <w:i w:val="0"/>
          <w:sz w:val="18"/>
        </w:rPr>
        <w:t>模型输出的四重校验。前两项为硬校验，不通过时整份结论作废并回退。</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970"/>
        <w:gridCol w:w="2593"/>
        <w:gridCol w:w="2643"/>
        <w:gridCol w:w="2795"/>
      </w:tblGrid>
      <w:tr>
        <w:trPr>
          <w:tblHeader w:val="true"/>
          <w:cantSplit w:val="true"/>
        </w:trPr>
        <w:tc>
          <w:tcPr>
            <w:tcW w:type="dxa" w:w="970"/>
          </w:tcPr>
          <w:p>
            <w:pPr>
              <w:spacing w:after="20"/>
              <w:jc w:val="center"/>
            </w:pPr>
            <w:r/>
            <w:r>
              <w:rPr>
                <w:rFonts w:ascii="Times New Roman" w:hAnsi="Times New Roman" w:eastAsia="宋体"/>
                <w:b/>
                <w:i w:val="0"/>
                <w:sz w:val="17"/>
              </w:rPr>
              <w:t>校验环节</w:t>
            </w:r>
          </w:p>
        </w:tc>
        <w:tc>
          <w:tcPr>
            <w:tcW w:type="dxa" w:w="2593"/>
          </w:tcPr>
          <w:p>
            <w:pPr>
              <w:spacing w:after="20"/>
              <w:jc w:val="center"/>
            </w:pPr>
            <w:r/>
            <w:r>
              <w:rPr>
                <w:rFonts w:ascii="Times New Roman" w:hAnsi="Times New Roman" w:eastAsia="宋体"/>
                <w:b/>
                <w:i w:val="0"/>
                <w:sz w:val="17"/>
              </w:rPr>
              <w:t>判定对象</w:t>
            </w:r>
          </w:p>
        </w:tc>
        <w:tc>
          <w:tcPr>
            <w:tcW w:type="dxa" w:w="2643"/>
          </w:tcPr>
          <w:p>
            <w:pPr>
              <w:spacing w:after="20"/>
              <w:jc w:val="center"/>
            </w:pPr>
            <w:r/>
            <w:r>
              <w:rPr>
                <w:rFonts w:ascii="Times New Roman" w:hAnsi="Times New Roman" w:eastAsia="宋体"/>
                <w:b/>
                <w:i w:val="0"/>
                <w:sz w:val="17"/>
              </w:rPr>
              <w:t>不通过时的处置</w:t>
            </w:r>
          </w:p>
        </w:tc>
        <w:tc>
          <w:tcPr>
            <w:tcW w:type="dxa" w:w="2795"/>
          </w:tcPr>
          <w:p>
            <w:pPr>
              <w:spacing w:after="20"/>
              <w:jc w:val="center"/>
            </w:pPr>
            <w:r/>
            <w:r>
              <w:rPr>
                <w:rFonts w:ascii="Times New Roman" w:hAnsi="Times New Roman" w:eastAsia="宋体"/>
                <w:b/>
                <w:i w:val="0"/>
                <w:sz w:val="17"/>
              </w:rPr>
              <w:t>实现位置</w:t>
            </w:r>
          </w:p>
        </w:tc>
      </w:tr>
      <w:tr>
        <w:trPr>
          <w:cantSplit w:val="true"/>
        </w:trPr>
        <w:tc>
          <w:tcPr>
            <w:tcW w:type="dxa" w:w="970"/>
          </w:tcPr>
          <w:p>
            <w:pPr>
              <w:spacing w:after="20"/>
            </w:pPr>
            <w:r/>
            <w:r>
              <w:rPr>
                <w:rFonts w:ascii="Times New Roman" w:hAnsi="Times New Roman" w:eastAsia="宋体"/>
                <w:b w:val="0"/>
                <w:i w:val="0"/>
                <w:sz w:val="17"/>
              </w:rPr>
              <w:t>结构契约</w:t>
            </w:r>
          </w:p>
        </w:tc>
        <w:tc>
          <w:tcPr>
            <w:tcW w:type="dxa" w:w="2593"/>
          </w:tcPr>
          <w:p>
            <w:pPr>
              <w:spacing w:after="20"/>
            </w:pPr>
            <w:r/>
            <w:r>
              <w:rPr>
                <w:rFonts w:ascii="Times New Roman" w:hAnsi="Times New Roman" w:eastAsia="宋体"/>
                <w:b w:val="0"/>
                <w:i w:val="0"/>
                <w:sz w:val="17"/>
              </w:rPr>
              <w:t>字段完整性、数据类型、枚举取值、数组非空、技能名不重复</w:t>
            </w:r>
          </w:p>
        </w:tc>
        <w:tc>
          <w:tcPr>
            <w:tcW w:type="dxa" w:w="2643"/>
          </w:tcPr>
          <w:p>
            <w:pPr>
              <w:spacing w:after="20"/>
            </w:pPr>
            <w:r/>
            <w:r>
              <w:rPr>
                <w:rFonts w:ascii="Times New Roman" w:hAnsi="Times New Roman" w:eastAsia="宋体"/>
                <w:b w:val="0"/>
                <w:i w:val="0"/>
                <w:sz w:val="17"/>
              </w:rPr>
              <w:t>整份结论不合格，回退规则路径</w:t>
            </w:r>
          </w:p>
        </w:tc>
        <w:tc>
          <w:tcPr>
            <w:tcW w:type="dxa" w:w="2795"/>
          </w:tcPr>
          <w:p>
            <w:pPr>
              <w:spacing w:after="20"/>
            </w:pPr>
            <w:r/>
            <w:r>
              <w:rPr>
                <w:rFonts w:ascii="Times New Roman" w:hAnsi="Times New Roman" w:eastAsia="宋体"/>
                <w:b w:val="0"/>
                <w:i w:val="0"/>
                <w:sz w:val="17"/>
              </w:rPr>
              <w:t>DiagnosisContract.validatePersonal</w:t>
            </w:r>
          </w:p>
        </w:tc>
      </w:tr>
      <w:tr>
        <w:trPr>
          <w:cantSplit w:val="true"/>
        </w:trPr>
        <w:tc>
          <w:tcPr>
            <w:tcW w:type="dxa" w:w="970"/>
          </w:tcPr>
          <w:p>
            <w:pPr>
              <w:spacing w:after="20"/>
            </w:pPr>
            <w:r/>
            <w:r>
              <w:rPr>
                <w:rFonts w:ascii="Times New Roman" w:hAnsi="Times New Roman" w:eastAsia="宋体"/>
                <w:b w:val="0"/>
                <w:i w:val="0"/>
                <w:sz w:val="17"/>
              </w:rPr>
              <w:t>事实一致性</w:t>
            </w:r>
          </w:p>
        </w:tc>
        <w:tc>
          <w:tcPr>
            <w:tcW w:type="dxa" w:w="2593"/>
          </w:tcPr>
          <w:p>
            <w:pPr>
              <w:spacing w:after="20"/>
            </w:pPr>
            <w:r/>
            <w:r>
              <w:rPr>
                <w:rFonts w:ascii="Times New Roman" w:hAnsi="Times New Roman" w:eastAsia="宋体"/>
                <w:b w:val="0"/>
                <w:i w:val="0"/>
                <w:sz w:val="17"/>
              </w:rPr>
              <w:t>等级取值与事实清单是否一致；正文数值能否在事实清单中找到出处</w:t>
            </w:r>
          </w:p>
        </w:tc>
        <w:tc>
          <w:tcPr>
            <w:tcW w:type="dxa" w:w="2643"/>
          </w:tcPr>
          <w:p>
            <w:pPr>
              <w:spacing w:after="20"/>
            </w:pPr>
            <w:r/>
            <w:r>
              <w:rPr>
                <w:rFonts w:ascii="Times New Roman" w:hAnsi="Times New Roman" w:eastAsia="宋体"/>
                <w:b w:val="0"/>
                <w:i w:val="0"/>
                <w:sz w:val="17"/>
              </w:rPr>
              <w:t>等级不符则回退；数值无出处则记入 unverified_numbers，并将 confidence 限制在 0.6 以下</w:t>
            </w:r>
          </w:p>
        </w:tc>
        <w:tc>
          <w:tcPr>
            <w:tcW w:type="dxa" w:w="2795"/>
          </w:tcPr>
          <w:p>
            <w:pPr>
              <w:spacing w:after="20"/>
            </w:pPr>
            <w:r/>
            <w:r>
              <w:rPr>
                <w:rFonts w:ascii="Times New Roman" w:hAnsi="Times New Roman" w:eastAsia="宋体"/>
                <w:b w:val="0"/>
                <w:i w:val="0"/>
                <w:sz w:val="17"/>
              </w:rPr>
              <w:t>validatePersonal 与 numbersOf</w:t>
            </w:r>
          </w:p>
        </w:tc>
      </w:tr>
      <w:tr>
        <w:trPr>
          <w:cantSplit w:val="true"/>
        </w:trPr>
        <w:tc>
          <w:tcPr>
            <w:tcW w:type="dxa" w:w="970"/>
          </w:tcPr>
          <w:p>
            <w:pPr>
              <w:spacing w:after="20"/>
            </w:pPr>
            <w:r/>
            <w:r>
              <w:rPr>
                <w:rFonts w:ascii="Times New Roman" w:hAnsi="Times New Roman" w:eastAsia="宋体"/>
                <w:b w:val="0"/>
                <w:i w:val="0"/>
                <w:sz w:val="17"/>
              </w:rPr>
              <w:t>权限边界</w:t>
            </w:r>
          </w:p>
        </w:tc>
        <w:tc>
          <w:tcPr>
            <w:tcW w:type="dxa" w:w="2593"/>
          </w:tcPr>
          <w:p>
            <w:pPr>
              <w:spacing w:after="20"/>
            </w:pPr>
            <w:r/>
            <w:r>
              <w:rPr>
                <w:rFonts w:ascii="Times New Roman" w:hAnsi="Times New Roman" w:eastAsia="宋体"/>
                <w:b w:val="0"/>
                <w:i w:val="0"/>
                <w:sz w:val="17"/>
              </w:rPr>
              <w:t>角色数据范围；心理与关怀类字段仅本人可见</w:t>
            </w:r>
          </w:p>
        </w:tc>
        <w:tc>
          <w:tcPr>
            <w:tcW w:type="dxa" w:w="2643"/>
          </w:tcPr>
          <w:p>
            <w:pPr>
              <w:spacing w:after="20"/>
            </w:pPr>
            <w:r/>
            <w:r>
              <w:rPr>
                <w:rFonts w:ascii="Times New Roman" w:hAnsi="Times New Roman" w:eastAsia="宋体"/>
                <w:b w:val="0"/>
                <w:i w:val="0"/>
                <w:sz w:val="17"/>
              </w:rPr>
              <w:t>该字段或该记录不予下发</w:t>
            </w:r>
          </w:p>
        </w:tc>
        <w:tc>
          <w:tcPr>
            <w:tcW w:type="dxa" w:w="2795"/>
          </w:tcPr>
          <w:p>
            <w:pPr>
              <w:spacing w:after="20"/>
            </w:pPr>
            <w:r/>
            <w:r>
              <w:rPr>
                <w:rFonts w:ascii="Times New Roman" w:hAnsi="Times New Roman" w:eastAsia="宋体"/>
                <w:b w:val="0"/>
                <w:i w:val="0"/>
                <w:sz w:val="17"/>
              </w:rPr>
              <w:t>路径前缀授权与四类角色数据范围</w:t>
            </w:r>
          </w:p>
        </w:tc>
      </w:tr>
      <w:tr>
        <w:trPr>
          <w:cantSplit w:val="true"/>
        </w:trPr>
        <w:tc>
          <w:tcPr>
            <w:tcW w:type="dxa" w:w="970"/>
          </w:tcPr>
          <w:p>
            <w:pPr>
              <w:spacing w:after="20"/>
            </w:pPr>
            <w:r/>
            <w:r>
              <w:rPr>
                <w:rFonts w:ascii="Times New Roman" w:hAnsi="Times New Roman" w:eastAsia="宋体"/>
                <w:b w:val="0"/>
                <w:i w:val="0"/>
                <w:sz w:val="17"/>
              </w:rPr>
              <w:t>安全规则</w:t>
            </w:r>
          </w:p>
        </w:tc>
        <w:tc>
          <w:tcPr>
            <w:tcW w:type="dxa" w:w="2593"/>
          </w:tcPr>
          <w:p>
            <w:pPr>
              <w:spacing w:after="20"/>
            </w:pPr>
            <w:r/>
            <w:r>
              <w:rPr>
                <w:rFonts w:ascii="Times New Roman" w:hAnsi="Times New Roman" w:eastAsia="宋体"/>
                <w:b w:val="0"/>
                <w:i w:val="0"/>
                <w:sz w:val="17"/>
              </w:rPr>
              <w:t>安全记录是否被安全优先组显式处置</w:t>
            </w:r>
          </w:p>
        </w:tc>
        <w:tc>
          <w:tcPr>
            <w:tcW w:type="dxa" w:w="2643"/>
          </w:tcPr>
          <w:p>
            <w:pPr>
              <w:spacing w:after="20"/>
            </w:pPr>
            <w:r/>
            <w:r>
              <w:rPr>
                <w:rFonts w:ascii="Times New Roman" w:hAnsi="Times New Roman" w:eastAsia="宋体"/>
                <w:b w:val="0"/>
                <w:i w:val="0"/>
                <w:sz w:val="17"/>
              </w:rPr>
              <w:t>回退规则路径并写入 fallback_note</w:t>
            </w:r>
          </w:p>
        </w:tc>
        <w:tc>
          <w:tcPr>
            <w:tcW w:type="dxa" w:w="2795"/>
          </w:tcPr>
          <w:p>
            <w:pPr>
              <w:spacing w:after="20"/>
            </w:pPr>
            <w:r/>
            <w:r>
              <w:rPr>
                <w:rFonts w:ascii="Times New Roman" w:hAnsi="Times New Roman" w:eastAsia="宋体"/>
                <w:b w:val="0"/>
                <w:i w:val="0"/>
                <w:sz w:val="17"/>
              </w:rPr>
              <w:t>事实组装与 SAFETY 规则组</w:t>
            </w:r>
          </w:p>
        </w:tc>
      </w:tr>
    </w:tbl>
    <w:p>
      <w:pPr>
        <w:spacing w:after="40"/>
      </w:pPr>
    </w:p>
    <w:p>
      <w:pPr>
        <w:jc w:val="center"/>
      </w:pPr>
      <w:r>
        <w:drawing>
          <wp:inline xmlns:a="http://schemas.openxmlformats.org/drawingml/2006/main" xmlns:pic="http://schemas.openxmlformats.org/drawingml/2006/picture">
            <wp:extent cx="3931920" cy="3849850"/>
            <wp:docPr id="2" name="Picture 2"/>
            <wp:cNvGraphicFramePr>
              <a:graphicFrameLocks noChangeAspect="1"/>
            </wp:cNvGraphicFramePr>
            <a:graphic>
              <a:graphicData uri="http://schemas.openxmlformats.org/drawingml/2006/picture">
                <pic:pic>
                  <pic:nvPicPr>
                    <pic:cNvPr id="0" name="fig2_guardrail_zh.png"/>
                    <pic:cNvPicPr/>
                  </pic:nvPicPr>
                  <pic:blipFill>
                    <a:blip r:embed="rId10"/>
                    <a:stretch>
                      <a:fillRect/>
                    </a:stretch>
                  </pic:blipFill>
                  <pic:spPr>
                    <a:xfrm>
                      <a:off x="0" y="0"/>
                      <a:ext cx="3931920" cy="3849850"/>
                    </a:xfrm>
                    <a:prstGeom prst="rect"/>
                  </pic:spPr>
                </pic:pic>
              </a:graphicData>
            </a:graphic>
          </wp:inline>
        </w:drawing>
      </w:r>
    </w:p>
    <w:p>
      <w:pPr>
        <w:spacing w:after="200"/>
        <w:jc w:val="center"/>
      </w:pPr>
      <w:r>
        <w:rPr>
          <w:rFonts w:ascii="Times New Roman" w:hAnsi="Times New Roman" w:eastAsia="宋体"/>
          <w:b/>
          <w:i w:val="0"/>
          <w:sz w:val="18"/>
        </w:rPr>
        <w:t xml:space="preserve">图 2　</w:t>
      </w:r>
      <w:r>
        <w:rPr>
          <w:rFonts w:ascii="Times New Roman" w:hAnsi="Times New Roman" w:eastAsia="宋体"/>
          <w:b w:val="0"/>
          <w:i w:val="0"/>
          <w:sz w:val="18"/>
        </w:rPr>
        <w:t>可靠性保障流程。依次校验字段完整性、事实一致性与安全合规；未通过时触发一次有界重写，继而回退规则路径；高风险输出最终进入人工确认。</w:t>
      </w:r>
    </w:p>
    <w:p>
      <w:pPr>
        <w:spacing w:before="280" w:after="120"/>
      </w:pPr>
      <w:r>
        <w:rPr>
          <w:rFonts w:ascii="Times New Roman" w:hAnsi="Times New Roman" w:eastAsia="黑体"/>
          <w:b/>
          <w:i w:val="0"/>
          <w:sz w:val="24"/>
        </w:rPr>
        <w:t>4　关键实现</w:t>
      </w:r>
    </w:p>
    <w:p>
      <w:pPr>
        <w:spacing w:before="200" w:after="80"/>
      </w:pPr>
      <w:r>
        <w:rPr>
          <w:rFonts w:ascii="Times New Roman" w:hAnsi="Times New Roman" w:eastAsia="黑体"/>
          <w:b/>
          <w:i w:val="0"/>
          <w:sz w:val="21"/>
        </w:rPr>
        <w:t>4.1　规则集设计</w:t>
      </w:r>
    </w:p>
    <w:p>
      <w:pPr>
        <w:ind w:firstLine="420"/>
        <w:jc w:val="both"/>
      </w:pPr>
      <w:r>
        <w:rPr>
          <w:rFonts w:ascii="Times New Roman" w:hAnsi="Times New Roman" w:eastAsia="宋体"/>
          <w:b w:val="0"/>
          <w:i w:val="0"/>
          <w:sz w:val="21"/>
        </w:rPr>
        <w:t>规则库覆盖五个场景，共 22 条规则，其中 20 条参与求值，2 条为历史版本保留以便回溯，分布见表 6。建模遵循两条原则。其一，阈值引用事实而非写入字面量：合格线与要求等级取自事实表，同一条规则可适配 80 分与 85 分、L2 至 L4 等不同口径。其二，组合优于枚举：归因与措施经 *_from 从气体配置取值，五条定档规则即服务全部气体，否则规则数将随气体种类线性增长。</w:t>
      </w:r>
    </w:p>
    <w:p>
      <w:pPr>
        <w:spacing w:before="160" w:after="40"/>
        <w:jc w:val="center"/>
      </w:pPr>
      <w:r>
        <w:rPr>
          <w:rFonts w:ascii="Times New Roman" w:hAnsi="Times New Roman" w:eastAsia="宋体"/>
          <w:b/>
          <w:i w:val="0"/>
          <w:sz w:val="18"/>
        </w:rPr>
        <w:t xml:space="preserve">表 6　</w:t>
      </w:r>
      <w:r>
        <w:rPr>
          <w:rFonts w:ascii="Times New Roman" w:hAnsi="Times New Roman" w:eastAsia="宋体"/>
          <w:b w:val="0"/>
          <w:i w:val="0"/>
          <w:sz w:val="18"/>
        </w:rPr>
        <w:t>五个场景的规则分布。规则库共 22 条，其中 20 条参与求值，2 条为历史版本保留。</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697"/>
        <w:gridCol w:w="630"/>
        <w:gridCol w:w="1621"/>
        <w:gridCol w:w="2621"/>
        <w:gridCol w:w="2430"/>
      </w:tblGrid>
      <w:tr>
        <w:trPr>
          <w:tblHeader w:val="true"/>
          <w:cantSplit w:val="true"/>
        </w:trPr>
        <w:tc>
          <w:tcPr>
            <w:tcW w:type="dxa" w:w="1697"/>
          </w:tcPr>
          <w:p>
            <w:pPr>
              <w:spacing w:after="20"/>
              <w:jc w:val="center"/>
            </w:pPr>
            <w:r/>
            <w:r>
              <w:rPr>
                <w:rFonts w:ascii="Times New Roman" w:hAnsi="Times New Roman" w:eastAsia="宋体"/>
                <w:b/>
                <w:i w:val="0"/>
                <w:sz w:val="17"/>
              </w:rPr>
              <w:t>场景</w:t>
            </w:r>
          </w:p>
        </w:tc>
        <w:tc>
          <w:tcPr>
            <w:tcW w:type="dxa" w:w="630"/>
          </w:tcPr>
          <w:p>
            <w:pPr>
              <w:spacing w:after="20"/>
              <w:jc w:val="center"/>
            </w:pPr>
            <w:r/>
            <w:r>
              <w:rPr>
                <w:rFonts w:ascii="Times New Roman" w:hAnsi="Times New Roman" w:eastAsia="宋体"/>
                <w:b/>
                <w:i w:val="0"/>
                <w:sz w:val="17"/>
              </w:rPr>
              <w:t>规则数</w:t>
            </w:r>
          </w:p>
        </w:tc>
        <w:tc>
          <w:tcPr>
            <w:tcW w:type="dxa" w:w="1621"/>
          </w:tcPr>
          <w:p>
            <w:pPr>
              <w:spacing w:after="20"/>
              <w:jc w:val="center"/>
            </w:pPr>
            <w:r/>
            <w:r>
              <w:rPr>
                <w:rFonts w:ascii="Times New Roman" w:hAnsi="Times New Roman" w:eastAsia="宋体"/>
                <w:b/>
                <w:i w:val="0"/>
                <w:sz w:val="17"/>
              </w:rPr>
              <w:t>匹配分组</w:t>
            </w:r>
          </w:p>
        </w:tc>
        <w:tc>
          <w:tcPr>
            <w:tcW w:type="dxa" w:w="2621"/>
          </w:tcPr>
          <w:p>
            <w:pPr>
              <w:spacing w:after="20"/>
              <w:jc w:val="center"/>
            </w:pPr>
            <w:r/>
            <w:r>
              <w:rPr>
                <w:rFonts w:ascii="Times New Roman" w:hAnsi="Times New Roman" w:eastAsia="宋体"/>
                <w:b/>
                <w:i w:val="0"/>
                <w:sz w:val="17"/>
              </w:rPr>
              <w:t>规则编号</w:t>
            </w:r>
          </w:p>
        </w:tc>
        <w:tc>
          <w:tcPr>
            <w:tcW w:type="dxa" w:w="2430"/>
          </w:tcPr>
          <w:p>
            <w:pPr>
              <w:spacing w:after="20"/>
              <w:jc w:val="center"/>
            </w:pPr>
            <w:r/>
            <w:r>
              <w:rPr>
                <w:rFonts w:ascii="Times New Roman" w:hAnsi="Times New Roman" w:eastAsia="宋体"/>
                <w:b/>
                <w:i w:val="0"/>
                <w:sz w:val="17"/>
              </w:rPr>
              <w:t>消费的事实</w:t>
            </w:r>
          </w:p>
        </w:tc>
      </w:tr>
      <w:tr>
        <w:trPr>
          <w:cantSplit w:val="true"/>
        </w:trPr>
        <w:tc>
          <w:tcPr>
            <w:tcW w:type="dxa" w:w="1697"/>
          </w:tcPr>
          <w:p>
            <w:pPr>
              <w:spacing w:after="20"/>
            </w:pPr>
            <w:r/>
            <w:r>
              <w:rPr>
                <w:rFonts w:ascii="Times New Roman" w:hAnsi="Times New Roman" w:eastAsia="宋体"/>
                <w:b w:val="0"/>
                <w:i w:val="0"/>
                <w:sz w:val="17"/>
              </w:rPr>
              <w:t>PERSONAL_GAP</w:t>
            </w:r>
          </w:p>
        </w:tc>
        <w:tc>
          <w:tcPr>
            <w:tcW w:type="dxa" w:w="630"/>
          </w:tcPr>
          <w:p>
            <w:pPr>
              <w:spacing w:after="20"/>
            </w:pPr>
            <w:r/>
            <w:r>
              <w:rPr>
                <w:rFonts w:ascii="Times New Roman" w:hAnsi="Times New Roman" w:eastAsia="宋体"/>
                <w:b w:val="0"/>
                <w:i w:val="0"/>
                <w:sz w:val="17"/>
              </w:rPr>
              <w:t>3</w:t>
            </w:r>
          </w:p>
        </w:tc>
        <w:tc>
          <w:tcPr>
            <w:tcW w:type="dxa" w:w="1621"/>
          </w:tcPr>
          <w:p>
            <w:pPr>
              <w:spacing w:after="20"/>
            </w:pPr>
            <w:r/>
            <w:r>
              <w:rPr>
                <w:rFonts w:ascii="Times New Roman" w:hAnsi="Times New Roman" w:eastAsia="宋体"/>
                <w:b w:val="0"/>
                <w:i w:val="0"/>
                <w:sz w:val="17"/>
              </w:rPr>
              <w:t>SAFETY、默认组</w:t>
            </w:r>
          </w:p>
        </w:tc>
        <w:tc>
          <w:tcPr>
            <w:tcW w:type="dxa" w:w="2621"/>
          </w:tcPr>
          <w:p>
            <w:pPr>
              <w:spacing w:after="20"/>
            </w:pPr>
            <w:r/>
            <w:r>
              <w:rPr>
                <w:rFonts w:ascii="Times New Roman" w:hAnsi="Times New Roman" w:eastAsia="宋体"/>
                <w:b w:val="0"/>
                <w:i w:val="0"/>
                <w:sz w:val="17"/>
              </w:rPr>
              <w:t>SAFETY_VETO_VIOLATION、SAFETY_DEDUCTION、SKILL_BELOW_REQUIRED</w:t>
            </w:r>
          </w:p>
        </w:tc>
        <w:tc>
          <w:tcPr>
            <w:tcW w:type="dxa" w:w="2430"/>
          </w:tcPr>
          <w:p>
            <w:pPr>
              <w:spacing w:after="20"/>
            </w:pPr>
            <w:r/>
            <w:r>
              <w:rPr>
                <w:rFonts w:ascii="Times New Roman" w:hAnsi="Times New Roman" w:eastAsia="宋体"/>
                <w:b w:val="0"/>
                <w:i w:val="0"/>
                <w:sz w:val="17"/>
              </w:rPr>
              <w:t>safety_risk、current_level、required_level</w:t>
            </w:r>
          </w:p>
        </w:tc>
      </w:tr>
      <w:tr>
        <w:trPr>
          <w:cantSplit w:val="true"/>
        </w:trPr>
        <w:tc>
          <w:tcPr>
            <w:tcW w:type="dxa" w:w="1697"/>
          </w:tcPr>
          <w:p>
            <w:pPr>
              <w:spacing w:after="20"/>
            </w:pPr>
            <w:r/>
            <w:r>
              <w:rPr>
                <w:rFonts w:ascii="Times New Roman" w:hAnsi="Times New Roman" w:eastAsia="宋体"/>
                <w:b w:val="0"/>
                <w:i w:val="0"/>
                <w:sz w:val="17"/>
              </w:rPr>
              <w:t>EXAM_RESULT</w:t>
            </w:r>
          </w:p>
        </w:tc>
        <w:tc>
          <w:tcPr>
            <w:tcW w:type="dxa" w:w="630"/>
          </w:tcPr>
          <w:p>
            <w:pPr>
              <w:spacing w:after="20"/>
            </w:pPr>
            <w:r/>
            <w:r>
              <w:rPr>
                <w:rFonts w:ascii="Times New Roman" w:hAnsi="Times New Roman" w:eastAsia="宋体"/>
                <w:b w:val="0"/>
                <w:i w:val="0"/>
                <w:sz w:val="17"/>
              </w:rPr>
              <w:t>1</w:t>
            </w:r>
          </w:p>
        </w:tc>
        <w:tc>
          <w:tcPr>
            <w:tcW w:type="dxa" w:w="1621"/>
          </w:tcPr>
          <w:p>
            <w:pPr>
              <w:spacing w:after="20"/>
            </w:pPr>
            <w:r/>
            <w:r>
              <w:rPr>
                <w:rFonts w:ascii="Times New Roman" w:hAnsi="Times New Roman" w:eastAsia="宋体"/>
                <w:b w:val="0"/>
                <w:i w:val="0"/>
                <w:sz w:val="17"/>
              </w:rPr>
              <w:t>默认组</w:t>
            </w:r>
          </w:p>
        </w:tc>
        <w:tc>
          <w:tcPr>
            <w:tcW w:type="dxa" w:w="2621"/>
          </w:tcPr>
          <w:p>
            <w:pPr>
              <w:spacing w:after="20"/>
            </w:pPr>
            <w:r/>
            <w:r>
              <w:rPr>
                <w:rFonts w:ascii="Times New Roman" w:hAnsi="Times New Roman" w:eastAsia="宋体"/>
                <w:b w:val="0"/>
                <w:i w:val="0"/>
                <w:sz w:val="17"/>
              </w:rPr>
              <w:t>EXAM_BELOW_PASS</w:t>
            </w:r>
          </w:p>
        </w:tc>
        <w:tc>
          <w:tcPr>
            <w:tcW w:type="dxa" w:w="2430"/>
          </w:tcPr>
          <w:p>
            <w:pPr>
              <w:spacing w:after="20"/>
            </w:pPr>
            <w:r/>
            <w:r>
              <w:rPr>
                <w:rFonts w:ascii="Times New Roman" w:hAnsi="Times New Roman" w:eastAsia="宋体"/>
                <w:b w:val="0"/>
                <w:i w:val="0"/>
                <w:sz w:val="17"/>
              </w:rPr>
              <w:t>score、pass_score</w:t>
            </w:r>
          </w:p>
        </w:tc>
      </w:tr>
      <w:tr>
        <w:trPr>
          <w:cantSplit w:val="true"/>
        </w:trPr>
        <w:tc>
          <w:tcPr>
            <w:tcW w:type="dxa" w:w="1697"/>
          </w:tcPr>
          <w:p>
            <w:pPr>
              <w:spacing w:after="20"/>
            </w:pPr>
            <w:r/>
            <w:r>
              <w:rPr>
                <w:rFonts w:ascii="Times New Roman" w:hAnsi="Times New Roman" w:eastAsia="宋体"/>
                <w:b w:val="0"/>
                <w:i w:val="0"/>
                <w:sz w:val="17"/>
              </w:rPr>
              <w:t>TALENT_GAP</w:t>
            </w:r>
          </w:p>
        </w:tc>
        <w:tc>
          <w:tcPr>
            <w:tcW w:type="dxa" w:w="630"/>
          </w:tcPr>
          <w:p>
            <w:pPr>
              <w:spacing w:after="20"/>
            </w:pPr>
            <w:r/>
            <w:r>
              <w:rPr>
                <w:rFonts w:ascii="Times New Roman" w:hAnsi="Times New Roman" w:eastAsia="宋体"/>
                <w:b w:val="0"/>
                <w:i w:val="0"/>
                <w:sz w:val="17"/>
              </w:rPr>
              <w:t>2</w:t>
            </w:r>
          </w:p>
        </w:tc>
        <w:tc>
          <w:tcPr>
            <w:tcW w:type="dxa" w:w="1621"/>
          </w:tcPr>
          <w:p>
            <w:pPr>
              <w:spacing w:after="20"/>
            </w:pPr>
            <w:r/>
            <w:r>
              <w:rPr>
                <w:rFonts w:ascii="Times New Roman" w:hAnsi="Times New Roman" w:eastAsia="宋体"/>
                <w:b w:val="0"/>
                <w:i w:val="0"/>
                <w:sz w:val="17"/>
              </w:rPr>
              <w:t>默认组</w:t>
            </w:r>
          </w:p>
        </w:tc>
        <w:tc>
          <w:tcPr>
            <w:tcW w:type="dxa" w:w="2621"/>
          </w:tcPr>
          <w:p>
            <w:pPr>
              <w:spacing w:after="20"/>
            </w:pPr>
            <w:r/>
            <w:r>
              <w:rPr>
                <w:rFonts w:ascii="Times New Roman" w:hAnsi="Times New Roman" w:eastAsia="宋体"/>
                <w:b w:val="0"/>
                <w:i w:val="0"/>
                <w:sz w:val="17"/>
              </w:rPr>
              <w:t>BACKUP_SHORTAGE、FUTURE_DEMAND_GAP</w:t>
            </w:r>
          </w:p>
        </w:tc>
        <w:tc>
          <w:tcPr>
            <w:tcW w:type="dxa" w:w="2430"/>
          </w:tcPr>
          <w:p>
            <w:pPr>
              <w:spacing w:after="20"/>
            </w:pPr>
            <w:r/>
            <w:r>
              <w:rPr>
                <w:rFonts w:ascii="Times New Roman" w:hAnsi="Times New Roman" w:eastAsia="宋体"/>
                <w:b w:val="0"/>
                <w:i w:val="0"/>
                <w:sz w:val="17"/>
              </w:rPr>
              <w:t>backup_count；future_demand、current_supply</w:t>
            </w:r>
          </w:p>
        </w:tc>
      </w:tr>
      <w:tr>
        <w:trPr>
          <w:cantSplit w:val="true"/>
        </w:trPr>
        <w:tc>
          <w:tcPr>
            <w:tcW w:type="dxa" w:w="1697"/>
          </w:tcPr>
          <w:p>
            <w:pPr>
              <w:spacing w:after="20"/>
            </w:pPr>
            <w:r/>
            <w:r>
              <w:rPr>
                <w:rFonts w:ascii="Times New Roman" w:hAnsi="Times New Roman" w:eastAsia="宋体"/>
                <w:b w:val="0"/>
                <w:i w:val="0"/>
                <w:sz w:val="17"/>
              </w:rPr>
              <w:t>REPORT_ANALYSIS</w:t>
            </w:r>
          </w:p>
        </w:tc>
        <w:tc>
          <w:tcPr>
            <w:tcW w:type="dxa" w:w="630"/>
          </w:tcPr>
          <w:p>
            <w:pPr>
              <w:spacing w:after="20"/>
            </w:pPr>
            <w:r/>
            <w:r>
              <w:rPr>
                <w:rFonts w:ascii="Times New Roman" w:hAnsi="Times New Roman" w:eastAsia="宋体"/>
                <w:b w:val="0"/>
                <w:i w:val="0"/>
                <w:sz w:val="17"/>
              </w:rPr>
              <w:t>2</w:t>
            </w:r>
          </w:p>
        </w:tc>
        <w:tc>
          <w:tcPr>
            <w:tcW w:type="dxa" w:w="1621"/>
          </w:tcPr>
          <w:p>
            <w:pPr>
              <w:spacing w:after="20"/>
            </w:pPr>
            <w:r/>
            <w:r>
              <w:rPr>
                <w:rFonts w:ascii="Times New Roman" w:hAnsi="Times New Roman" w:eastAsia="宋体"/>
                <w:b w:val="0"/>
                <w:i w:val="0"/>
                <w:sz w:val="17"/>
              </w:rPr>
              <w:t>默认组</w:t>
            </w:r>
          </w:p>
        </w:tc>
        <w:tc>
          <w:tcPr>
            <w:tcW w:type="dxa" w:w="2621"/>
          </w:tcPr>
          <w:p>
            <w:pPr>
              <w:spacing w:after="20"/>
            </w:pPr>
            <w:r/>
            <w:r>
              <w:rPr>
                <w:rFonts w:ascii="Times New Roman" w:hAnsi="Times New Roman" w:eastAsia="宋体"/>
                <w:b w:val="0"/>
                <w:i w:val="0"/>
                <w:sz w:val="17"/>
              </w:rPr>
              <w:t>PRACTICE_HUMAN_CAUSE、PRACTICE_SKILL_CAUSE</w:t>
            </w:r>
          </w:p>
        </w:tc>
        <w:tc>
          <w:tcPr>
            <w:tcW w:type="dxa" w:w="2430"/>
          </w:tcPr>
          <w:p>
            <w:pPr>
              <w:spacing w:after="20"/>
            </w:pPr>
            <w:r/>
            <w:r>
              <w:rPr>
                <w:rFonts w:ascii="Times New Roman" w:hAnsi="Times New Roman" w:eastAsia="宋体"/>
                <w:b w:val="0"/>
                <w:i w:val="0"/>
                <w:sz w:val="17"/>
              </w:rPr>
              <w:t>sop_preparation；actual_hours_ratio、skill_missing</w:t>
            </w:r>
          </w:p>
        </w:tc>
      </w:tr>
      <w:tr>
        <w:trPr>
          <w:cantSplit w:val="true"/>
        </w:trPr>
        <w:tc>
          <w:tcPr>
            <w:tcW w:type="dxa" w:w="1697"/>
          </w:tcPr>
          <w:p>
            <w:pPr>
              <w:spacing w:after="20"/>
            </w:pPr>
            <w:r/>
            <w:r>
              <w:rPr>
                <w:rFonts w:ascii="Times New Roman" w:hAnsi="Times New Roman" w:eastAsia="宋体"/>
                <w:b w:val="0"/>
                <w:i w:val="0"/>
                <w:sz w:val="17"/>
              </w:rPr>
              <w:t>REPORT_GAS</w:t>
            </w:r>
          </w:p>
        </w:tc>
        <w:tc>
          <w:tcPr>
            <w:tcW w:type="dxa" w:w="630"/>
          </w:tcPr>
          <w:p>
            <w:pPr>
              <w:spacing w:after="20"/>
            </w:pPr>
            <w:r/>
            <w:r>
              <w:rPr>
                <w:rFonts w:ascii="Times New Roman" w:hAnsi="Times New Roman" w:eastAsia="宋体"/>
                <w:b w:val="0"/>
                <w:i w:val="0"/>
                <w:sz w:val="17"/>
              </w:rPr>
              <w:t>12</w:t>
            </w:r>
          </w:p>
        </w:tc>
        <w:tc>
          <w:tcPr>
            <w:tcW w:type="dxa" w:w="1621"/>
          </w:tcPr>
          <w:p>
            <w:pPr>
              <w:spacing w:after="20"/>
            </w:pPr>
            <w:r/>
            <w:r>
              <w:rPr>
                <w:rFonts w:ascii="Times New Roman" w:hAnsi="Times New Roman" w:eastAsia="宋体"/>
                <w:b w:val="0"/>
                <w:i w:val="0"/>
                <w:sz w:val="17"/>
              </w:rPr>
              <w:t>VALUE（5）、KEYWORD（7）</w:t>
            </w:r>
          </w:p>
        </w:tc>
        <w:tc>
          <w:tcPr>
            <w:tcW w:type="dxa" w:w="2621"/>
          </w:tcPr>
          <w:p>
            <w:pPr>
              <w:spacing w:after="20"/>
            </w:pPr>
            <w:r/>
            <w:r>
              <w:rPr>
                <w:rFonts w:ascii="Times New Roman" w:hAnsi="Times New Roman" w:eastAsia="宋体"/>
                <w:b w:val="0"/>
                <w:i w:val="0"/>
                <w:sz w:val="17"/>
              </w:rPr>
              <w:t>见表 8</w:t>
            </w:r>
          </w:p>
        </w:tc>
        <w:tc>
          <w:tcPr>
            <w:tcW w:type="dxa" w:w="2430"/>
          </w:tcPr>
          <w:p>
            <w:pPr>
              <w:spacing w:after="20"/>
            </w:pPr>
            <w:r/>
            <w:r>
              <w:rPr>
                <w:rFonts w:ascii="Times New Roman" w:hAnsi="Times New Roman" w:eastAsia="宋体"/>
                <w:b w:val="0"/>
                <w:i w:val="0"/>
                <w:sz w:val="17"/>
              </w:rPr>
              <w:t>over_threshold、ratio、document_text、gas_attribution、gas_actions</w:t>
            </w:r>
          </w:p>
        </w:tc>
      </w:tr>
    </w:tbl>
    <w:p>
      <w:pPr>
        <w:spacing w:after="40"/>
      </w:pPr>
    </w:p>
    <w:p>
      <w:pPr>
        <w:ind w:firstLine="420"/>
        <w:jc w:val="both"/>
      </w:pPr>
      <w:r>
        <w:rPr>
          <w:rFonts w:ascii="Times New Roman" w:hAnsi="Times New Roman" w:eastAsia="宋体"/>
          <w:b w:val="0"/>
          <w:i w:val="0"/>
          <w:sz w:val="21"/>
        </w:rPr>
        <w:t>个人诊断与实操归因场景的八条规则见表 7。其中 SAFETY 组优先级最高，授权类违规（越权、无票、未监护）判为高严重度并建议暂停独立作业授权，一般扣分记录判为中严重度并要求复训，二者分属同一分组的不同规则，互不遮蔽。技能差距与考试不合格两类规则的条件均为事实间比较，不包含字面阈值。</w:t>
      </w:r>
    </w:p>
    <w:p>
      <w:pPr>
        <w:spacing w:before="160" w:after="40"/>
        <w:jc w:val="center"/>
      </w:pPr>
      <w:r>
        <w:rPr>
          <w:rFonts w:ascii="Times New Roman" w:hAnsi="Times New Roman" w:eastAsia="宋体"/>
          <w:b/>
          <w:i w:val="0"/>
          <w:sz w:val="18"/>
        </w:rPr>
        <w:t xml:space="preserve">表 7　</w:t>
      </w:r>
      <w:r>
        <w:rPr>
          <w:rFonts w:ascii="Times New Roman" w:hAnsi="Times New Roman" w:eastAsia="宋体"/>
          <w:b w:val="0"/>
          <w:i w:val="0"/>
          <w:sz w:val="18"/>
        </w:rPr>
        <w:t>个人诊断与实操归因场景的八条规则。条件列与 condition_json 等价。</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2320"/>
        <w:gridCol w:w="1697"/>
        <w:gridCol w:w="762"/>
        <w:gridCol w:w="630"/>
        <w:gridCol w:w="1643"/>
        <w:gridCol w:w="1947"/>
      </w:tblGrid>
      <w:tr>
        <w:trPr>
          <w:tblHeader w:val="true"/>
          <w:cantSplit w:val="true"/>
        </w:trPr>
        <w:tc>
          <w:tcPr>
            <w:tcW w:type="dxa" w:w="2320"/>
          </w:tcPr>
          <w:p>
            <w:pPr>
              <w:spacing w:after="20"/>
              <w:jc w:val="center"/>
            </w:pPr>
            <w:r/>
            <w:r>
              <w:rPr>
                <w:rFonts w:ascii="Times New Roman" w:hAnsi="Times New Roman" w:eastAsia="宋体"/>
                <w:b/>
                <w:i w:val="0"/>
                <w:sz w:val="17"/>
              </w:rPr>
              <w:t>规则编号</w:t>
            </w:r>
          </w:p>
        </w:tc>
        <w:tc>
          <w:tcPr>
            <w:tcW w:type="dxa" w:w="1697"/>
          </w:tcPr>
          <w:p>
            <w:pPr>
              <w:spacing w:after="20"/>
              <w:jc w:val="center"/>
            </w:pPr>
            <w:r/>
            <w:r>
              <w:rPr>
                <w:rFonts w:ascii="Times New Roman" w:hAnsi="Times New Roman" w:eastAsia="宋体"/>
                <w:b/>
                <w:i w:val="0"/>
                <w:sz w:val="17"/>
              </w:rPr>
              <w:t>场景</w:t>
            </w:r>
          </w:p>
        </w:tc>
        <w:tc>
          <w:tcPr>
            <w:tcW w:type="dxa" w:w="762"/>
          </w:tcPr>
          <w:p>
            <w:pPr>
              <w:spacing w:after="20"/>
              <w:jc w:val="center"/>
            </w:pPr>
            <w:r/>
            <w:r>
              <w:rPr>
                <w:rFonts w:ascii="Times New Roman" w:hAnsi="Times New Roman" w:eastAsia="宋体"/>
                <w:b/>
                <w:i w:val="0"/>
                <w:sz w:val="17"/>
              </w:rPr>
              <w:t>分组</w:t>
            </w:r>
          </w:p>
        </w:tc>
        <w:tc>
          <w:tcPr>
            <w:tcW w:type="dxa" w:w="630"/>
          </w:tcPr>
          <w:p>
            <w:pPr>
              <w:spacing w:after="20"/>
              <w:jc w:val="center"/>
            </w:pPr>
            <w:r/>
            <w:r>
              <w:rPr>
                <w:rFonts w:ascii="Times New Roman" w:hAnsi="Times New Roman" w:eastAsia="宋体"/>
                <w:b/>
                <w:i w:val="0"/>
                <w:sz w:val="17"/>
              </w:rPr>
              <w:t>优先级</w:t>
            </w:r>
          </w:p>
        </w:tc>
        <w:tc>
          <w:tcPr>
            <w:tcW w:type="dxa" w:w="1643"/>
          </w:tcPr>
          <w:p>
            <w:pPr>
              <w:spacing w:after="20"/>
              <w:jc w:val="center"/>
            </w:pPr>
            <w:r/>
            <w:r>
              <w:rPr>
                <w:rFonts w:ascii="Times New Roman" w:hAnsi="Times New Roman" w:eastAsia="宋体"/>
                <w:b/>
                <w:i w:val="0"/>
                <w:sz w:val="17"/>
              </w:rPr>
              <w:t>条件</w:t>
            </w:r>
          </w:p>
        </w:tc>
        <w:tc>
          <w:tcPr>
            <w:tcW w:type="dxa" w:w="1947"/>
          </w:tcPr>
          <w:p>
            <w:pPr>
              <w:spacing w:after="20"/>
              <w:jc w:val="center"/>
            </w:pPr>
            <w:r/>
            <w:r>
              <w:rPr>
                <w:rFonts w:ascii="Times New Roman" w:hAnsi="Times New Roman" w:eastAsia="宋体"/>
                <w:b/>
                <w:i w:val="0"/>
                <w:sz w:val="17"/>
              </w:rPr>
              <w:t>处置动作</w:t>
            </w:r>
          </w:p>
        </w:tc>
      </w:tr>
      <w:tr>
        <w:trPr>
          <w:cantSplit w:val="true"/>
        </w:trPr>
        <w:tc>
          <w:tcPr>
            <w:tcW w:type="dxa" w:w="2320"/>
          </w:tcPr>
          <w:p>
            <w:pPr>
              <w:spacing w:after="20"/>
            </w:pPr>
            <w:r/>
            <w:r>
              <w:rPr>
                <w:rFonts w:ascii="Times New Roman" w:hAnsi="Times New Roman" w:eastAsia="宋体"/>
                <w:b w:val="0"/>
                <w:i w:val="0"/>
                <w:sz w:val="17"/>
              </w:rPr>
              <w:t>SAFETY_VETO_VIOLATION</w:t>
            </w:r>
          </w:p>
        </w:tc>
        <w:tc>
          <w:tcPr>
            <w:tcW w:type="dxa" w:w="1697"/>
          </w:tcPr>
          <w:p>
            <w:pPr>
              <w:spacing w:after="20"/>
            </w:pPr>
            <w:r/>
            <w:r>
              <w:rPr>
                <w:rFonts w:ascii="Times New Roman" w:hAnsi="Times New Roman" w:eastAsia="宋体"/>
                <w:b w:val="0"/>
                <w:i w:val="0"/>
                <w:sz w:val="17"/>
              </w:rPr>
              <w:t>PERSONAL_GAP</w:t>
            </w:r>
          </w:p>
        </w:tc>
        <w:tc>
          <w:tcPr>
            <w:tcW w:type="dxa" w:w="762"/>
          </w:tcPr>
          <w:p>
            <w:pPr>
              <w:spacing w:after="20"/>
            </w:pPr>
            <w:r/>
            <w:r>
              <w:rPr>
                <w:rFonts w:ascii="Times New Roman" w:hAnsi="Times New Roman" w:eastAsia="宋体"/>
                <w:b w:val="0"/>
                <w:i w:val="0"/>
                <w:sz w:val="17"/>
              </w:rPr>
              <w:t>SAFETY</w:t>
            </w:r>
          </w:p>
        </w:tc>
        <w:tc>
          <w:tcPr>
            <w:tcW w:type="dxa" w:w="630"/>
          </w:tcPr>
          <w:p>
            <w:pPr>
              <w:spacing w:after="20"/>
            </w:pPr>
            <w:r/>
            <w:r>
              <w:rPr>
                <w:rFonts w:ascii="Times New Roman" w:hAnsi="Times New Roman" w:eastAsia="宋体"/>
                <w:b w:val="0"/>
                <w:i w:val="0"/>
                <w:sz w:val="17"/>
              </w:rPr>
              <w:t>200</w:t>
            </w:r>
          </w:p>
        </w:tc>
        <w:tc>
          <w:tcPr>
            <w:tcW w:type="dxa" w:w="1643"/>
          </w:tcPr>
          <w:p>
            <w:pPr>
              <w:spacing w:after="20"/>
            </w:pPr>
            <w:r/>
            <w:r>
              <w:rPr>
                <w:rFonts w:ascii="Times New Roman" w:hAnsi="Times New Roman" w:eastAsia="宋体"/>
                <w:b w:val="0"/>
                <w:i w:val="0"/>
                <w:sz w:val="17"/>
              </w:rPr>
              <w:t>safety_risk ≥ 2</w:t>
            </w:r>
          </w:p>
        </w:tc>
        <w:tc>
          <w:tcPr>
            <w:tcW w:type="dxa" w:w="1947"/>
          </w:tcPr>
          <w:p>
            <w:pPr>
              <w:spacing w:after="20"/>
            </w:pPr>
            <w:r/>
            <w:r>
              <w:rPr>
                <w:rFonts w:ascii="Times New Roman" w:hAnsi="Times New Roman" w:eastAsia="宋体"/>
                <w:b w:val="0"/>
                <w:i w:val="0"/>
                <w:sz w:val="17"/>
              </w:rPr>
              <w:t>严重度 高；暂停独立作业授权，重新培训并考核</w:t>
            </w:r>
          </w:p>
        </w:tc>
      </w:tr>
      <w:tr>
        <w:trPr>
          <w:cantSplit w:val="true"/>
        </w:trPr>
        <w:tc>
          <w:tcPr>
            <w:tcW w:type="dxa" w:w="2320"/>
          </w:tcPr>
          <w:p>
            <w:pPr>
              <w:spacing w:after="20"/>
            </w:pPr>
            <w:r/>
            <w:r>
              <w:rPr>
                <w:rFonts w:ascii="Times New Roman" w:hAnsi="Times New Roman" w:eastAsia="宋体"/>
                <w:b w:val="0"/>
                <w:i w:val="0"/>
                <w:sz w:val="17"/>
              </w:rPr>
              <w:t>SAFETY_DEDUCTION</w:t>
            </w:r>
          </w:p>
        </w:tc>
        <w:tc>
          <w:tcPr>
            <w:tcW w:type="dxa" w:w="1697"/>
          </w:tcPr>
          <w:p>
            <w:pPr>
              <w:spacing w:after="20"/>
            </w:pPr>
            <w:r/>
            <w:r>
              <w:rPr>
                <w:rFonts w:ascii="Times New Roman" w:hAnsi="Times New Roman" w:eastAsia="宋体"/>
                <w:b w:val="0"/>
                <w:i w:val="0"/>
                <w:sz w:val="17"/>
              </w:rPr>
              <w:t>PERSONAL_GAP</w:t>
            </w:r>
          </w:p>
        </w:tc>
        <w:tc>
          <w:tcPr>
            <w:tcW w:type="dxa" w:w="762"/>
          </w:tcPr>
          <w:p>
            <w:pPr>
              <w:spacing w:after="20"/>
            </w:pPr>
            <w:r/>
            <w:r>
              <w:rPr>
                <w:rFonts w:ascii="Times New Roman" w:hAnsi="Times New Roman" w:eastAsia="宋体"/>
                <w:b w:val="0"/>
                <w:i w:val="0"/>
                <w:sz w:val="17"/>
              </w:rPr>
              <w:t>SAFETY</w:t>
            </w:r>
          </w:p>
        </w:tc>
        <w:tc>
          <w:tcPr>
            <w:tcW w:type="dxa" w:w="630"/>
          </w:tcPr>
          <w:p>
            <w:pPr>
              <w:spacing w:after="20"/>
            </w:pPr>
            <w:r/>
            <w:r>
              <w:rPr>
                <w:rFonts w:ascii="Times New Roman" w:hAnsi="Times New Roman" w:eastAsia="宋体"/>
                <w:b w:val="0"/>
                <w:i w:val="0"/>
                <w:sz w:val="17"/>
              </w:rPr>
              <w:t>190</w:t>
            </w:r>
          </w:p>
        </w:tc>
        <w:tc>
          <w:tcPr>
            <w:tcW w:type="dxa" w:w="1643"/>
          </w:tcPr>
          <w:p>
            <w:pPr>
              <w:spacing w:after="20"/>
            </w:pPr>
            <w:r/>
            <w:r>
              <w:rPr>
                <w:rFonts w:ascii="Times New Roman" w:hAnsi="Times New Roman" w:eastAsia="宋体"/>
                <w:b w:val="0"/>
                <w:i w:val="0"/>
                <w:sz w:val="17"/>
              </w:rPr>
              <w:t>safety_risk = 1</w:t>
            </w:r>
          </w:p>
        </w:tc>
        <w:tc>
          <w:tcPr>
            <w:tcW w:type="dxa" w:w="1947"/>
          </w:tcPr>
          <w:p>
            <w:pPr>
              <w:spacing w:after="20"/>
            </w:pPr>
            <w:r/>
            <w:r>
              <w:rPr>
                <w:rFonts w:ascii="Times New Roman" w:hAnsi="Times New Roman" w:eastAsia="宋体"/>
                <w:b w:val="0"/>
                <w:i w:val="0"/>
                <w:sz w:val="17"/>
              </w:rPr>
              <w:t>严重度 中；复训相关条款并留存记录</w:t>
            </w:r>
          </w:p>
        </w:tc>
      </w:tr>
      <w:tr>
        <w:trPr>
          <w:cantSplit w:val="true"/>
        </w:trPr>
        <w:tc>
          <w:tcPr>
            <w:tcW w:type="dxa" w:w="2320"/>
          </w:tcPr>
          <w:p>
            <w:pPr>
              <w:spacing w:after="20"/>
            </w:pPr>
            <w:r/>
            <w:r>
              <w:rPr>
                <w:rFonts w:ascii="Times New Roman" w:hAnsi="Times New Roman" w:eastAsia="宋体"/>
                <w:b w:val="0"/>
                <w:i w:val="0"/>
                <w:sz w:val="17"/>
              </w:rPr>
              <w:t>SKILL_BELOW_REQUIRED</w:t>
            </w:r>
          </w:p>
        </w:tc>
        <w:tc>
          <w:tcPr>
            <w:tcW w:type="dxa" w:w="1697"/>
          </w:tcPr>
          <w:p>
            <w:pPr>
              <w:spacing w:after="20"/>
            </w:pPr>
            <w:r/>
            <w:r>
              <w:rPr>
                <w:rFonts w:ascii="Times New Roman" w:hAnsi="Times New Roman" w:eastAsia="宋体"/>
                <w:b w:val="0"/>
                <w:i w:val="0"/>
                <w:sz w:val="17"/>
              </w:rPr>
              <w:t>PERSONAL_GAP</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120</w:t>
            </w:r>
          </w:p>
        </w:tc>
        <w:tc>
          <w:tcPr>
            <w:tcW w:type="dxa" w:w="1643"/>
          </w:tcPr>
          <w:p>
            <w:pPr>
              <w:spacing w:after="20"/>
            </w:pPr>
            <w:r/>
            <w:r>
              <w:rPr>
                <w:rFonts w:ascii="Times New Roman" w:hAnsi="Times New Roman" w:eastAsia="宋体"/>
                <w:b w:val="0"/>
                <w:i w:val="0"/>
                <w:sz w:val="17"/>
              </w:rPr>
              <w:t>current_level &lt; required_level</w:t>
            </w:r>
          </w:p>
        </w:tc>
        <w:tc>
          <w:tcPr>
            <w:tcW w:type="dxa" w:w="1947"/>
          </w:tcPr>
          <w:p>
            <w:pPr>
              <w:spacing w:after="20"/>
            </w:pPr>
            <w:r/>
            <w:r>
              <w:rPr>
                <w:rFonts w:ascii="Times New Roman" w:hAnsi="Times New Roman" w:eastAsia="宋体"/>
                <w:b w:val="0"/>
                <w:i w:val="0"/>
                <w:sz w:val="17"/>
              </w:rPr>
              <w:t>课程、带教、模拟考；课程指向 PROTECTION_LOGIC</w:t>
            </w:r>
          </w:p>
        </w:tc>
      </w:tr>
      <w:tr>
        <w:trPr>
          <w:cantSplit w:val="true"/>
        </w:trPr>
        <w:tc>
          <w:tcPr>
            <w:tcW w:type="dxa" w:w="2320"/>
          </w:tcPr>
          <w:p>
            <w:pPr>
              <w:spacing w:after="20"/>
            </w:pPr>
            <w:r/>
            <w:r>
              <w:rPr>
                <w:rFonts w:ascii="Times New Roman" w:hAnsi="Times New Roman" w:eastAsia="宋体"/>
                <w:b w:val="0"/>
                <w:i w:val="0"/>
                <w:sz w:val="17"/>
              </w:rPr>
              <w:t>EXAM_BELOW_PASS</w:t>
            </w:r>
          </w:p>
        </w:tc>
        <w:tc>
          <w:tcPr>
            <w:tcW w:type="dxa" w:w="1697"/>
          </w:tcPr>
          <w:p>
            <w:pPr>
              <w:spacing w:after="20"/>
            </w:pPr>
            <w:r/>
            <w:r>
              <w:rPr>
                <w:rFonts w:ascii="Times New Roman" w:hAnsi="Times New Roman" w:eastAsia="宋体"/>
                <w:b w:val="0"/>
                <w:i w:val="0"/>
                <w:sz w:val="17"/>
              </w:rPr>
              <w:t>EXAM_RESULT</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120</w:t>
            </w:r>
          </w:p>
        </w:tc>
        <w:tc>
          <w:tcPr>
            <w:tcW w:type="dxa" w:w="1643"/>
          </w:tcPr>
          <w:p>
            <w:pPr>
              <w:spacing w:after="20"/>
            </w:pPr>
            <w:r/>
            <w:r>
              <w:rPr>
                <w:rFonts w:ascii="Times New Roman" w:hAnsi="Times New Roman" w:eastAsia="宋体"/>
                <w:b w:val="0"/>
                <w:i w:val="0"/>
                <w:sz w:val="17"/>
              </w:rPr>
              <w:t>score &lt; pass_score</w:t>
            </w:r>
          </w:p>
        </w:tc>
        <w:tc>
          <w:tcPr>
            <w:tcW w:type="dxa" w:w="1947"/>
          </w:tcPr>
          <w:p>
            <w:pPr>
              <w:spacing w:after="20"/>
            </w:pPr>
            <w:r/>
            <w:r>
              <w:rPr>
                <w:rFonts w:ascii="Times New Roman" w:hAnsi="Times New Roman" w:eastAsia="宋体"/>
                <w:b w:val="0"/>
                <w:i w:val="0"/>
                <w:sz w:val="17"/>
              </w:rPr>
              <w:t>错题知识点复盘并写入能力记忆</w:t>
            </w:r>
          </w:p>
        </w:tc>
      </w:tr>
      <w:tr>
        <w:trPr>
          <w:cantSplit w:val="true"/>
        </w:trPr>
        <w:tc>
          <w:tcPr>
            <w:tcW w:type="dxa" w:w="2320"/>
          </w:tcPr>
          <w:p>
            <w:pPr>
              <w:spacing w:after="20"/>
            </w:pPr>
            <w:r/>
            <w:r>
              <w:rPr>
                <w:rFonts w:ascii="Times New Roman" w:hAnsi="Times New Roman" w:eastAsia="宋体"/>
                <w:b w:val="0"/>
                <w:i w:val="0"/>
                <w:sz w:val="17"/>
              </w:rPr>
              <w:t>PRACTICE_HUMAN_CAUSE</w:t>
            </w:r>
          </w:p>
        </w:tc>
        <w:tc>
          <w:tcPr>
            <w:tcW w:type="dxa" w:w="1697"/>
          </w:tcPr>
          <w:p>
            <w:pPr>
              <w:spacing w:after="20"/>
            </w:pPr>
            <w:r/>
            <w:r>
              <w:rPr>
                <w:rFonts w:ascii="Times New Roman" w:hAnsi="Times New Roman" w:eastAsia="宋体"/>
                <w:b w:val="0"/>
                <w:i w:val="0"/>
                <w:sz w:val="17"/>
              </w:rPr>
              <w:t>REPORT_ANALYSIS</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110</w:t>
            </w:r>
          </w:p>
        </w:tc>
        <w:tc>
          <w:tcPr>
            <w:tcW w:type="dxa" w:w="1643"/>
          </w:tcPr>
          <w:p>
            <w:pPr>
              <w:spacing w:after="20"/>
            </w:pPr>
            <w:r/>
            <w:r>
              <w:rPr>
                <w:rFonts w:ascii="Times New Roman" w:hAnsi="Times New Roman" w:eastAsia="宋体"/>
                <w:b w:val="0"/>
                <w:i w:val="0"/>
                <w:sz w:val="17"/>
              </w:rPr>
              <w:t>sop_preparation = false</w:t>
            </w:r>
          </w:p>
        </w:tc>
        <w:tc>
          <w:tcPr>
            <w:tcW w:type="dxa" w:w="1947"/>
          </w:tcPr>
          <w:p>
            <w:pPr>
              <w:spacing w:after="20"/>
            </w:pPr>
            <w:r/>
            <w:r>
              <w:rPr>
                <w:rFonts w:ascii="Times New Roman" w:hAnsi="Times New Roman" w:eastAsia="宋体"/>
                <w:b w:val="0"/>
                <w:i w:val="0"/>
                <w:sz w:val="17"/>
              </w:rPr>
              <w:t>归因人为或流程；更新 SOP 并复训</w:t>
            </w:r>
          </w:p>
        </w:tc>
      </w:tr>
      <w:tr>
        <w:trPr>
          <w:cantSplit w:val="true"/>
        </w:trPr>
        <w:tc>
          <w:tcPr>
            <w:tcW w:type="dxa" w:w="2320"/>
          </w:tcPr>
          <w:p>
            <w:pPr>
              <w:spacing w:after="20"/>
            </w:pPr>
            <w:r/>
            <w:r>
              <w:rPr>
                <w:rFonts w:ascii="Times New Roman" w:hAnsi="Times New Roman" w:eastAsia="宋体"/>
                <w:b w:val="0"/>
                <w:i w:val="0"/>
                <w:sz w:val="17"/>
              </w:rPr>
              <w:t>PRACTICE_SKILL_CAUSE</w:t>
            </w:r>
          </w:p>
        </w:tc>
        <w:tc>
          <w:tcPr>
            <w:tcW w:type="dxa" w:w="1697"/>
          </w:tcPr>
          <w:p>
            <w:pPr>
              <w:spacing w:after="20"/>
            </w:pPr>
            <w:r/>
            <w:r>
              <w:rPr>
                <w:rFonts w:ascii="Times New Roman" w:hAnsi="Times New Roman" w:eastAsia="宋体"/>
                <w:b w:val="0"/>
                <w:i w:val="0"/>
                <w:sz w:val="17"/>
              </w:rPr>
              <w:t>REPORT_ANALYSIS</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100</w:t>
            </w:r>
          </w:p>
        </w:tc>
        <w:tc>
          <w:tcPr>
            <w:tcW w:type="dxa" w:w="1643"/>
          </w:tcPr>
          <w:p>
            <w:pPr>
              <w:spacing w:after="20"/>
            </w:pPr>
            <w:r/>
            <w:r>
              <w:rPr>
                <w:rFonts w:ascii="Times New Roman" w:hAnsi="Times New Roman" w:eastAsia="宋体"/>
                <w:b w:val="0"/>
                <w:i w:val="0"/>
                <w:sz w:val="17"/>
              </w:rPr>
              <w:t>actual_hours_ratio &gt; 1.2 且 skill_missing = true</w:t>
            </w:r>
          </w:p>
        </w:tc>
        <w:tc>
          <w:tcPr>
            <w:tcW w:type="dxa" w:w="1947"/>
          </w:tcPr>
          <w:p>
            <w:pPr>
              <w:spacing w:after="20"/>
            </w:pPr>
            <w:r/>
            <w:r>
              <w:rPr>
                <w:rFonts w:ascii="Times New Roman" w:hAnsi="Times New Roman" w:eastAsia="宋体"/>
                <w:b w:val="0"/>
                <w:i w:val="0"/>
                <w:sz w:val="17"/>
              </w:rPr>
              <w:t>归因技能不足；课程与带教</w:t>
            </w:r>
          </w:p>
        </w:tc>
      </w:tr>
      <w:tr>
        <w:trPr>
          <w:cantSplit w:val="true"/>
        </w:trPr>
        <w:tc>
          <w:tcPr>
            <w:tcW w:type="dxa" w:w="2320"/>
          </w:tcPr>
          <w:p>
            <w:pPr>
              <w:spacing w:after="20"/>
            </w:pPr>
            <w:r/>
            <w:r>
              <w:rPr>
                <w:rFonts w:ascii="Times New Roman" w:hAnsi="Times New Roman" w:eastAsia="宋体"/>
                <w:b w:val="0"/>
                <w:i w:val="0"/>
                <w:sz w:val="17"/>
              </w:rPr>
              <w:t>BACKUP_SHORTAGE</w:t>
            </w:r>
          </w:p>
        </w:tc>
        <w:tc>
          <w:tcPr>
            <w:tcW w:type="dxa" w:w="1697"/>
          </w:tcPr>
          <w:p>
            <w:pPr>
              <w:spacing w:after="20"/>
            </w:pPr>
            <w:r/>
            <w:r>
              <w:rPr>
                <w:rFonts w:ascii="Times New Roman" w:hAnsi="Times New Roman" w:eastAsia="宋体"/>
                <w:b w:val="0"/>
                <w:i w:val="0"/>
                <w:sz w:val="17"/>
              </w:rPr>
              <w:t>TALENT_GAP</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80</w:t>
            </w:r>
          </w:p>
        </w:tc>
        <w:tc>
          <w:tcPr>
            <w:tcW w:type="dxa" w:w="1643"/>
          </w:tcPr>
          <w:p>
            <w:pPr>
              <w:spacing w:after="20"/>
            </w:pPr>
            <w:r/>
            <w:r>
              <w:rPr>
                <w:rFonts w:ascii="Times New Roman" w:hAnsi="Times New Roman" w:eastAsia="宋体"/>
                <w:b w:val="0"/>
                <w:i w:val="0"/>
                <w:sz w:val="17"/>
              </w:rPr>
              <w:t>backup_count &lt; 2</w:t>
            </w:r>
          </w:p>
        </w:tc>
        <w:tc>
          <w:tcPr>
            <w:tcW w:type="dxa" w:w="1947"/>
          </w:tcPr>
          <w:p>
            <w:pPr>
              <w:spacing w:after="20"/>
            </w:pPr>
            <w:r/>
            <w:r>
              <w:rPr>
                <w:rFonts w:ascii="Times New Roman" w:hAnsi="Times New Roman" w:eastAsia="宋体"/>
                <w:b w:val="0"/>
                <w:i w:val="0"/>
                <w:sz w:val="17"/>
              </w:rPr>
              <w:t>预警并提示储备</w:t>
            </w:r>
          </w:p>
        </w:tc>
      </w:tr>
      <w:tr>
        <w:trPr>
          <w:cantSplit w:val="true"/>
        </w:trPr>
        <w:tc>
          <w:tcPr>
            <w:tcW w:type="dxa" w:w="2320"/>
          </w:tcPr>
          <w:p>
            <w:pPr>
              <w:spacing w:after="20"/>
            </w:pPr>
            <w:r/>
            <w:r>
              <w:rPr>
                <w:rFonts w:ascii="Times New Roman" w:hAnsi="Times New Roman" w:eastAsia="宋体"/>
                <w:b w:val="0"/>
                <w:i w:val="0"/>
                <w:sz w:val="17"/>
              </w:rPr>
              <w:t>FUTURE_DEMAND_GAP</w:t>
            </w:r>
          </w:p>
        </w:tc>
        <w:tc>
          <w:tcPr>
            <w:tcW w:type="dxa" w:w="1697"/>
          </w:tcPr>
          <w:p>
            <w:pPr>
              <w:spacing w:after="20"/>
            </w:pPr>
            <w:r/>
            <w:r>
              <w:rPr>
                <w:rFonts w:ascii="Times New Roman" w:hAnsi="Times New Roman" w:eastAsia="宋体"/>
                <w:b w:val="0"/>
                <w:i w:val="0"/>
                <w:sz w:val="17"/>
              </w:rPr>
              <w:t>TALENT_GAP</w:t>
            </w:r>
          </w:p>
        </w:tc>
        <w:tc>
          <w:tcPr>
            <w:tcW w:type="dxa" w:w="762"/>
          </w:tcPr>
          <w:p>
            <w:pPr>
              <w:spacing w:after="20"/>
            </w:pPr>
            <w:r/>
            <w:r>
              <w:rPr>
                <w:rFonts w:ascii="Times New Roman" w:hAnsi="Times New Roman" w:eastAsia="宋体"/>
                <w:b w:val="0"/>
                <w:i w:val="0"/>
                <w:sz w:val="17"/>
              </w:rPr>
              <w:t>默认组</w:t>
            </w:r>
          </w:p>
        </w:tc>
        <w:tc>
          <w:tcPr>
            <w:tcW w:type="dxa" w:w="630"/>
          </w:tcPr>
          <w:p>
            <w:pPr>
              <w:spacing w:after="20"/>
            </w:pPr>
            <w:r/>
            <w:r>
              <w:rPr>
                <w:rFonts w:ascii="Times New Roman" w:hAnsi="Times New Roman" w:eastAsia="宋体"/>
                <w:b w:val="0"/>
                <w:i w:val="0"/>
                <w:sz w:val="17"/>
              </w:rPr>
              <w:t>70</w:t>
            </w:r>
          </w:p>
        </w:tc>
        <w:tc>
          <w:tcPr>
            <w:tcW w:type="dxa" w:w="1643"/>
          </w:tcPr>
          <w:p>
            <w:pPr>
              <w:spacing w:after="20"/>
            </w:pPr>
            <w:r/>
            <w:r>
              <w:rPr>
                <w:rFonts w:ascii="Times New Roman" w:hAnsi="Times New Roman" w:eastAsia="宋体"/>
                <w:b w:val="0"/>
                <w:i w:val="0"/>
                <w:sz w:val="17"/>
              </w:rPr>
              <w:t>future_demand &gt; current_supply</w:t>
            </w:r>
          </w:p>
        </w:tc>
        <w:tc>
          <w:tcPr>
            <w:tcW w:type="dxa" w:w="1947"/>
          </w:tcPr>
          <w:p>
            <w:pPr>
              <w:spacing w:after="20"/>
            </w:pPr>
            <w:r/>
            <w:r>
              <w:rPr>
                <w:rFonts w:ascii="Times New Roman" w:hAnsi="Times New Roman" w:eastAsia="宋体"/>
                <w:b w:val="0"/>
                <w:i w:val="0"/>
                <w:sz w:val="17"/>
              </w:rPr>
              <w:t>转岗、招聘或外委</w:t>
            </w:r>
          </w:p>
        </w:tc>
      </w:tr>
    </w:tbl>
    <w:p>
      <w:pPr>
        <w:spacing w:after="40"/>
      </w:pPr>
    </w:p>
    <w:p>
      <w:pPr>
        <w:ind w:firstLine="420"/>
        <w:jc w:val="both"/>
      </w:pPr>
      <w:r>
        <w:rPr>
          <w:rFonts w:ascii="Times New Roman" w:hAnsi="Times New Roman" w:eastAsia="宋体"/>
          <w:b w:val="0"/>
          <w:i w:val="0"/>
          <w:sz w:val="21"/>
        </w:rPr>
        <w:t>气体检测归因场景的十二条规则见表 8。VALUE 组五条按余量比定档，组内首条命中即停；KEYWORD 组七条从报告正文中补充原因与措施，命中的规则自身可声明严重度，最终按最严重者合并。余量比定义为</w:t>
      </w:r>
    </w:p>
    <w:p>
      <w:pPr>
        <w:spacing w:before="120" w:after="120"/>
        <w:jc w:val="center"/>
      </w:pPr>
      <m:oMathPara>
        <m:oMath>
          <m:r>
            <m:rPr/>
            <w:t xml:space="preserve">Pr</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1</w:t>
              </m:r>
            </m:sub>
          </m:sSub>
          <m:r>
            <m:rPr/>
            <w:t xml:space="preserve">G</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2</w:t>
              </m:r>
            </m:sub>
          </m:sSub>
          <m:r>
            <m:rPr/>
            <w:t xml:space="preserve">F</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3</w:t>
              </m:r>
            </m:sub>
          </m:sSub>
          <m:r>
            <m:rPr/>
            <w:t xml:space="preserve">E</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4</w:t>
              </m:r>
            </m:sub>
          </m:sSub>
          <m:r>
            <m:rPr/>
            <w:t xml:space="preserve">Q</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5</w:t>
              </m:r>
            </m:sub>
          </m:sSub>
          <m:r>
            <m:rPr/>
            <w:t xml:space="preserve">C</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6</w:t>
              </m:r>
            </m:sub>
          </m:sSub>
          <m:r>
            <m:rPr/>
            <w:t xml:space="preserve">A</w:t>
          </m:r>
          <m:sSub>
            <m:e>
              <m:r>
                <m:rPr/>
                <w:t xml:space="preserve"/>
              </m:r>
            </m:e>
            <m:sub>
              <m:r>
                <m:rPr/>
                <w:t xml:space="preserve">i</w:t>
              </m:r>
              <m:r>
                <m:rPr>
                  <m:sty m:val="p"/>
                </m:rPr>
                <w:t xml:space="preserve">,</w:t>
              </m:r>
              <m:r>
                <m:rPr/>
                <w:t xml:space="preserve">k</w:t>
              </m:r>
            </m:sub>
          </m:sSub>
        </m:oMath>
      </m:oMathPara>
      <w:r>
        <w:rPr>
          <w:rFonts w:ascii="Times New Roman" w:hAnsi="Times New Roman" w:eastAsia="宋体"/>
          <w:b w:val="0"/>
          <w:i w:val="0"/>
          <w:sz w:val="21"/>
        </w:rPr>
        <w:tab/>
        <w:t>（3）</w:t>
      </w:r>
    </w:p>
    <w:p>
      <w:pPr>
        <w:ind w:firstLine="420"/>
        <w:jc w:val="both"/>
      </w:pPr>
      <w:r>
        <w:rPr>
          <w:rFonts w:ascii="Times New Roman" w:hAnsi="Times New Roman" w:eastAsia="宋体"/>
          <w:b w:val="0"/>
          <w:i w:val="0"/>
          <w:sz w:val="21"/>
        </w:rPr>
        <w:t>其中 u 为检测值，u₀ 为报警阈值，u_max 为仪器量程上限。定档规则将余量比与配置区间比较，再通过 *_from 取得该气体的归因与措施。余量比的正负号携带方向信息：低于阈值时为负，高于阈值为正。因此临近阈值档（REPORT_GAS_WITHIN_NEAR）须同时约束上下界，否则负余量将恒满足上界条件，导致终端规则不可达。</w:t>
      </w:r>
    </w:p>
    <w:p>
      <w:pPr>
        <w:spacing w:before="160" w:after="40"/>
        <w:jc w:val="center"/>
      </w:pPr>
      <w:r>
        <w:rPr>
          <w:rFonts w:ascii="Times New Roman" w:hAnsi="Times New Roman" w:eastAsia="宋体"/>
          <w:b/>
          <w:i w:val="0"/>
          <w:sz w:val="18"/>
        </w:rPr>
        <w:t xml:space="preserve">表 8　</w:t>
      </w:r>
      <w:r>
        <w:rPr>
          <w:rFonts w:ascii="Times New Roman" w:hAnsi="Times New Roman" w:eastAsia="宋体"/>
          <w:b w:val="0"/>
          <w:i w:val="0"/>
          <w:sz w:val="18"/>
        </w:rPr>
        <w:t>气体检测归因的十二条规则。VALUE 组定档且首条命中即停，KEYWORD 组最多命中三条并抬升严重度。</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3029"/>
        <w:gridCol w:w="989"/>
        <w:gridCol w:w="630"/>
        <w:gridCol w:w="2140"/>
        <w:gridCol w:w="2213"/>
      </w:tblGrid>
      <w:tr>
        <w:trPr>
          <w:tblHeader w:val="true"/>
          <w:cantSplit w:val="true"/>
        </w:trPr>
        <w:tc>
          <w:tcPr>
            <w:tcW w:type="dxa" w:w="3029"/>
          </w:tcPr>
          <w:p>
            <w:pPr>
              <w:spacing w:after="20"/>
              <w:jc w:val="center"/>
            </w:pPr>
            <w:r/>
            <w:r>
              <w:rPr>
                <w:rFonts w:ascii="Times New Roman" w:hAnsi="Times New Roman" w:eastAsia="宋体"/>
                <w:b/>
                <w:i w:val="0"/>
                <w:sz w:val="17"/>
              </w:rPr>
              <w:t>规则编号</w:t>
            </w:r>
          </w:p>
        </w:tc>
        <w:tc>
          <w:tcPr>
            <w:tcW w:type="dxa" w:w="989"/>
          </w:tcPr>
          <w:p>
            <w:pPr>
              <w:spacing w:after="20"/>
              <w:jc w:val="center"/>
            </w:pPr>
            <w:r/>
            <w:r>
              <w:rPr>
                <w:rFonts w:ascii="Times New Roman" w:hAnsi="Times New Roman" w:eastAsia="宋体"/>
                <w:b/>
                <w:i w:val="0"/>
                <w:sz w:val="17"/>
              </w:rPr>
              <w:t>分组</w:t>
            </w:r>
          </w:p>
        </w:tc>
        <w:tc>
          <w:tcPr>
            <w:tcW w:type="dxa" w:w="630"/>
          </w:tcPr>
          <w:p>
            <w:pPr>
              <w:spacing w:after="20"/>
              <w:jc w:val="center"/>
            </w:pPr>
            <w:r/>
            <w:r>
              <w:rPr>
                <w:rFonts w:ascii="Times New Roman" w:hAnsi="Times New Roman" w:eastAsia="宋体"/>
                <w:b/>
                <w:i w:val="0"/>
                <w:sz w:val="17"/>
              </w:rPr>
              <w:t>优先级</w:t>
            </w:r>
          </w:p>
        </w:tc>
        <w:tc>
          <w:tcPr>
            <w:tcW w:type="dxa" w:w="2140"/>
          </w:tcPr>
          <w:p>
            <w:pPr>
              <w:spacing w:after="20"/>
              <w:jc w:val="center"/>
            </w:pPr>
            <w:r/>
            <w:r>
              <w:rPr>
                <w:rFonts w:ascii="Times New Roman" w:hAnsi="Times New Roman" w:eastAsia="宋体"/>
                <w:b/>
                <w:i w:val="0"/>
                <w:sz w:val="17"/>
              </w:rPr>
              <w:t>条件</w:t>
            </w:r>
          </w:p>
        </w:tc>
        <w:tc>
          <w:tcPr>
            <w:tcW w:type="dxa" w:w="2213"/>
          </w:tcPr>
          <w:p>
            <w:pPr>
              <w:spacing w:after="20"/>
              <w:jc w:val="center"/>
            </w:pPr>
            <w:r/>
            <w:r>
              <w:rPr>
                <w:rFonts w:ascii="Times New Roman" w:hAnsi="Times New Roman" w:eastAsia="宋体"/>
                <w:b/>
                <w:i w:val="0"/>
                <w:sz w:val="17"/>
              </w:rPr>
              <w:t>产出</w:t>
            </w:r>
          </w:p>
        </w:tc>
      </w:tr>
      <w:tr>
        <w:trPr>
          <w:cantSplit w:val="true"/>
        </w:trPr>
        <w:tc>
          <w:tcPr>
            <w:tcW w:type="dxa" w:w="3029"/>
          </w:tcPr>
          <w:p>
            <w:pPr>
              <w:spacing w:after="20"/>
            </w:pPr>
            <w:r/>
            <w:r>
              <w:rPr>
                <w:rFonts w:ascii="Times New Roman" w:hAnsi="Times New Roman" w:eastAsia="宋体"/>
                <w:b w:val="0"/>
                <w:i w:val="0"/>
                <w:sz w:val="17"/>
              </w:rPr>
              <w:t>REPORT_GAS_OVER_MARGIN_HIGH</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150</w:t>
            </w:r>
          </w:p>
        </w:tc>
        <w:tc>
          <w:tcPr>
            <w:tcW w:type="dxa" w:w="2140"/>
          </w:tcPr>
          <w:p>
            <w:pPr>
              <w:spacing w:after="20"/>
            </w:pPr>
            <w:r/>
            <w:r>
              <w:rPr>
                <w:rFonts w:ascii="Times New Roman" w:hAnsi="Times New Roman" w:eastAsia="宋体"/>
                <w:b w:val="0"/>
                <w:i w:val="0"/>
                <w:sz w:val="17"/>
              </w:rPr>
              <w:t>over_threshold 且 ρ ≥ 0.20</w:t>
            </w:r>
          </w:p>
        </w:tc>
        <w:tc>
          <w:tcPr>
            <w:tcW w:type="dxa" w:w="2213"/>
          </w:tcPr>
          <w:p>
            <w:pPr>
              <w:spacing w:after="20"/>
            </w:pPr>
            <w:r/>
            <w:r>
              <w:rPr>
                <w:rFonts w:ascii="Times New Roman" w:hAnsi="Times New Roman" w:eastAsia="宋体"/>
                <w:b w:val="0"/>
                <w:i w:val="0"/>
                <w:sz w:val="17"/>
              </w:rPr>
              <w:t>严重度 高；归因与措施经 *_from 取该气体配置</w:t>
            </w:r>
          </w:p>
        </w:tc>
      </w:tr>
      <w:tr>
        <w:trPr>
          <w:cantSplit w:val="true"/>
        </w:trPr>
        <w:tc>
          <w:tcPr>
            <w:tcW w:type="dxa" w:w="3029"/>
          </w:tcPr>
          <w:p>
            <w:pPr>
              <w:spacing w:after="20"/>
            </w:pPr>
            <w:r/>
            <w:r>
              <w:rPr>
                <w:rFonts w:ascii="Times New Roman" w:hAnsi="Times New Roman" w:eastAsia="宋体"/>
                <w:b w:val="0"/>
                <w:i w:val="0"/>
                <w:sz w:val="17"/>
              </w:rPr>
              <w:t>REPORT_GAS_OVER_MARGIN_MID</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140</w:t>
            </w:r>
          </w:p>
        </w:tc>
        <w:tc>
          <w:tcPr>
            <w:tcW w:type="dxa" w:w="2140"/>
          </w:tcPr>
          <w:p>
            <w:pPr>
              <w:spacing w:after="20"/>
            </w:pPr>
            <w:r/>
            <w:r>
              <w:rPr>
                <w:rFonts w:ascii="Times New Roman" w:hAnsi="Times New Roman" w:eastAsia="宋体"/>
                <w:b w:val="0"/>
                <w:i w:val="0"/>
                <w:sz w:val="17"/>
              </w:rPr>
              <w:t>over_threshold 且 ρ ≥ 0.05</w:t>
            </w:r>
          </w:p>
        </w:tc>
        <w:tc>
          <w:tcPr>
            <w:tcW w:type="dxa" w:w="2213"/>
          </w:tcPr>
          <w:p>
            <w:pPr>
              <w:spacing w:after="20"/>
            </w:pPr>
            <w:r/>
            <w:r>
              <w:rPr>
                <w:rFonts w:ascii="Times New Roman" w:hAnsi="Times New Roman" w:eastAsia="宋体"/>
                <w:b w:val="0"/>
                <w:i w:val="0"/>
                <w:sz w:val="17"/>
              </w:rPr>
              <w:t>严重度 中；同上</w:t>
            </w:r>
          </w:p>
        </w:tc>
      </w:tr>
      <w:tr>
        <w:trPr>
          <w:cantSplit w:val="true"/>
        </w:trPr>
        <w:tc>
          <w:tcPr>
            <w:tcW w:type="dxa" w:w="3029"/>
          </w:tcPr>
          <w:p>
            <w:pPr>
              <w:spacing w:after="20"/>
            </w:pPr>
            <w:r/>
            <w:r>
              <w:rPr>
                <w:rFonts w:ascii="Times New Roman" w:hAnsi="Times New Roman" w:eastAsia="宋体"/>
                <w:b w:val="0"/>
                <w:i w:val="0"/>
                <w:sz w:val="17"/>
              </w:rPr>
              <w:t>REPORT_GAS_OVER_MARGIN_LOW</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130</w:t>
            </w:r>
          </w:p>
        </w:tc>
        <w:tc>
          <w:tcPr>
            <w:tcW w:type="dxa" w:w="2140"/>
          </w:tcPr>
          <w:p>
            <w:pPr>
              <w:spacing w:after="20"/>
            </w:pPr>
            <w:r/>
            <w:r>
              <w:rPr>
                <w:rFonts w:ascii="Times New Roman" w:hAnsi="Times New Roman" w:eastAsia="宋体"/>
                <w:b w:val="0"/>
                <w:i w:val="0"/>
                <w:sz w:val="17"/>
              </w:rPr>
              <w:t>over_threshold</w:t>
            </w:r>
          </w:p>
        </w:tc>
        <w:tc>
          <w:tcPr>
            <w:tcW w:type="dxa" w:w="2213"/>
          </w:tcPr>
          <w:p>
            <w:pPr>
              <w:spacing w:after="20"/>
            </w:pPr>
            <w:r/>
            <w:r>
              <w:rPr>
                <w:rFonts w:ascii="Times New Roman" w:hAnsi="Times New Roman" w:eastAsia="宋体"/>
                <w:b w:val="0"/>
                <w:i w:val="0"/>
                <w:sz w:val="17"/>
              </w:rPr>
              <w:t>严重度 低；同上</w:t>
            </w:r>
          </w:p>
        </w:tc>
      </w:tr>
      <w:tr>
        <w:trPr>
          <w:cantSplit w:val="true"/>
        </w:trPr>
        <w:tc>
          <w:tcPr>
            <w:tcW w:type="dxa" w:w="3029"/>
          </w:tcPr>
          <w:p>
            <w:pPr>
              <w:spacing w:after="20"/>
            </w:pPr>
            <w:r/>
            <w:r>
              <w:rPr>
                <w:rFonts w:ascii="Times New Roman" w:hAnsi="Times New Roman" w:eastAsia="宋体"/>
                <w:b w:val="0"/>
                <w:i w:val="0"/>
                <w:sz w:val="17"/>
              </w:rPr>
              <w:t>REPORT_GAS_WITHIN_NEAR</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120</w:t>
            </w:r>
          </w:p>
        </w:tc>
        <w:tc>
          <w:tcPr>
            <w:tcW w:type="dxa" w:w="2140"/>
          </w:tcPr>
          <w:p>
            <w:pPr>
              <w:spacing w:after="20"/>
            </w:pPr>
            <w:r/>
            <w:r>
              <w:rPr>
                <w:rFonts w:ascii="Times New Roman" w:hAnsi="Times New Roman" w:eastAsia="宋体"/>
                <w:b w:val="0"/>
                <w:i w:val="0"/>
                <w:sz w:val="17"/>
              </w:rPr>
              <w:t>未超阈值且 −0.10 &lt; ρ ≤ 0.10</w:t>
            </w:r>
          </w:p>
        </w:tc>
        <w:tc>
          <w:tcPr>
            <w:tcW w:type="dxa" w:w="2213"/>
          </w:tcPr>
          <w:p>
            <w:pPr>
              <w:spacing w:after="20"/>
            </w:pPr>
            <w:r/>
            <w:r>
              <w:rPr>
                <w:rFonts w:ascii="Times New Roman" w:hAnsi="Times New Roman" w:eastAsia="宋体"/>
                <w:b w:val="0"/>
                <w:i w:val="0"/>
                <w:sz w:val="17"/>
              </w:rPr>
              <w:t>严重度 中；加密监测至每 2 h 一次</w:t>
            </w:r>
          </w:p>
        </w:tc>
      </w:tr>
      <w:tr>
        <w:trPr>
          <w:cantSplit w:val="true"/>
        </w:trPr>
        <w:tc>
          <w:tcPr>
            <w:tcW w:type="dxa" w:w="3029"/>
          </w:tcPr>
          <w:p>
            <w:pPr>
              <w:spacing w:after="20"/>
            </w:pPr>
            <w:r/>
            <w:r>
              <w:rPr>
                <w:rFonts w:ascii="Times New Roman" w:hAnsi="Times New Roman" w:eastAsia="宋体"/>
                <w:b w:val="0"/>
                <w:i w:val="0"/>
                <w:sz w:val="17"/>
              </w:rPr>
              <w:t>REPORT_GAS_WITHIN</w:t>
            </w:r>
          </w:p>
        </w:tc>
        <w:tc>
          <w:tcPr>
            <w:tcW w:type="dxa" w:w="989"/>
          </w:tcPr>
          <w:p>
            <w:pPr>
              <w:spacing w:after="20"/>
            </w:pPr>
            <w:r/>
            <w:r>
              <w:rPr>
                <w:rFonts w:ascii="Times New Roman" w:hAnsi="Times New Roman" w:eastAsia="宋体"/>
                <w:b w:val="0"/>
                <w:i w:val="0"/>
                <w:sz w:val="17"/>
              </w:rPr>
              <w:t>VALUE</w:t>
            </w:r>
          </w:p>
        </w:tc>
        <w:tc>
          <w:tcPr>
            <w:tcW w:type="dxa" w:w="630"/>
          </w:tcPr>
          <w:p>
            <w:pPr>
              <w:spacing w:after="20"/>
            </w:pPr>
            <w:r/>
            <w:r>
              <w:rPr>
                <w:rFonts w:ascii="Times New Roman" w:hAnsi="Times New Roman" w:eastAsia="宋体"/>
                <w:b w:val="0"/>
                <w:i w:val="0"/>
                <w:sz w:val="17"/>
              </w:rPr>
              <w:t>110</w:t>
            </w:r>
          </w:p>
        </w:tc>
        <w:tc>
          <w:tcPr>
            <w:tcW w:type="dxa" w:w="2140"/>
          </w:tcPr>
          <w:p>
            <w:pPr>
              <w:spacing w:after="20"/>
            </w:pPr>
            <w:r/>
            <w:r>
              <w:rPr>
                <w:rFonts w:ascii="Times New Roman" w:hAnsi="Times New Roman" w:eastAsia="宋体"/>
                <w:b w:val="0"/>
                <w:i w:val="0"/>
                <w:sz w:val="17"/>
              </w:rPr>
              <w:t>未超阈值</w:t>
            </w:r>
          </w:p>
        </w:tc>
        <w:tc>
          <w:tcPr>
            <w:tcW w:type="dxa" w:w="2213"/>
          </w:tcPr>
          <w:p>
            <w:pPr>
              <w:spacing w:after="20"/>
            </w:pPr>
            <w:r/>
            <w:r>
              <w:rPr>
                <w:rFonts w:ascii="Times New Roman" w:hAnsi="Times New Roman" w:eastAsia="宋体"/>
                <w:b w:val="0"/>
                <w:i w:val="0"/>
                <w:sz w:val="17"/>
              </w:rPr>
              <w:t>严重度 低；按周期复测</w:t>
            </w:r>
          </w:p>
        </w:tc>
      </w:tr>
      <w:tr>
        <w:trPr>
          <w:cantSplit w:val="true"/>
        </w:trPr>
        <w:tc>
          <w:tcPr>
            <w:tcW w:type="dxa" w:w="3029"/>
          </w:tcPr>
          <w:p>
            <w:pPr>
              <w:spacing w:after="20"/>
            </w:pPr>
            <w:r/>
            <w:r>
              <w:rPr>
                <w:rFonts w:ascii="Times New Roman" w:hAnsi="Times New Roman" w:eastAsia="宋体"/>
                <w:b w:val="0"/>
                <w:i w:val="0"/>
                <w:sz w:val="17"/>
              </w:rPr>
              <w:t>RULE-KW-LEAK</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100</w:t>
            </w:r>
          </w:p>
        </w:tc>
        <w:tc>
          <w:tcPr>
            <w:tcW w:type="dxa" w:w="2140"/>
          </w:tcPr>
          <w:p>
            <w:pPr>
              <w:spacing w:after="20"/>
            </w:pPr>
            <w:r/>
            <w:r>
              <w:rPr>
                <w:rFonts w:ascii="Times New Roman" w:hAnsi="Times New Roman" w:eastAsia="宋体"/>
                <w:b w:val="0"/>
                <w:i w:val="0"/>
                <w:sz w:val="17"/>
              </w:rPr>
              <w:t>正文含泄漏、漏气、压力下降、压降、降压</w:t>
            </w:r>
          </w:p>
        </w:tc>
        <w:tc>
          <w:tcPr>
            <w:tcW w:type="dxa" w:w="2213"/>
          </w:tcPr>
          <w:p>
            <w:pPr>
              <w:spacing w:after="20"/>
            </w:pPr>
            <w:r/>
            <w:r>
              <w:rPr>
                <w:rFonts w:ascii="Times New Roman" w:hAnsi="Times New Roman" w:eastAsia="宋体"/>
                <w:b w:val="0"/>
                <w:i w:val="0"/>
                <w:sz w:val="17"/>
              </w:rPr>
              <w:t>密封件老化或法兰面失效；检漏定位</w:t>
            </w:r>
          </w:p>
        </w:tc>
      </w:tr>
      <w:tr>
        <w:trPr>
          <w:cantSplit w:val="true"/>
        </w:trPr>
        <w:tc>
          <w:tcPr>
            <w:tcW w:type="dxa" w:w="3029"/>
          </w:tcPr>
          <w:p>
            <w:pPr>
              <w:spacing w:after="20"/>
            </w:pPr>
            <w:r/>
            <w:r>
              <w:rPr>
                <w:rFonts w:ascii="Times New Roman" w:hAnsi="Times New Roman" w:eastAsia="宋体"/>
                <w:b w:val="0"/>
                <w:i w:val="0"/>
                <w:sz w:val="17"/>
              </w:rPr>
              <w:t>RULE-KW-DECOMP</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99</w:t>
            </w:r>
          </w:p>
        </w:tc>
        <w:tc>
          <w:tcPr>
            <w:tcW w:type="dxa" w:w="2140"/>
          </w:tcPr>
          <w:p>
            <w:pPr>
              <w:spacing w:after="20"/>
            </w:pPr>
            <w:r/>
            <w:r>
              <w:rPr>
                <w:rFonts w:ascii="Times New Roman" w:hAnsi="Times New Roman" w:eastAsia="宋体"/>
                <w:b w:val="0"/>
                <w:i w:val="0"/>
                <w:sz w:val="17"/>
              </w:rPr>
              <w:t>正文含异味、刺激性、气味、分解、刺鼻</w:t>
            </w:r>
          </w:p>
        </w:tc>
        <w:tc>
          <w:tcPr>
            <w:tcW w:type="dxa" w:w="2213"/>
          </w:tcPr>
          <w:p>
            <w:pPr>
              <w:spacing w:after="20"/>
            </w:pPr>
            <w:r/>
            <w:r>
              <w:rPr>
                <w:rFonts w:ascii="Times New Roman" w:hAnsi="Times New Roman" w:eastAsia="宋体"/>
                <w:b w:val="0"/>
                <w:i w:val="0"/>
                <w:sz w:val="17"/>
              </w:rPr>
              <w:t>SF6 分解产物超标；带电检测与气体处理</w:t>
            </w:r>
          </w:p>
        </w:tc>
      </w:tr>
      <w:tr>
        <w:trPr>
          <w:cantSplit w:val="true"/>
        </w:trPr>
        <w:tc>
          <w:tcPr>
            <w:tcW w:type="dxa" w:w="3029"/>
          </w:tcPr>
          <w:p>
            <w:pPr>
              <w:spacing w:after="20"/>
            </w:pPr>
            <w:r/>
            <w:r>
              <w:rPr>
                <w:rFonts w:ascii="Times New Roman" w:hAnsi="Times New Roman" w:eastAsia="宋体"/>
                <w:b w:val="0"/>
                <w:i w:val="0"/>
                <w:sz w:val="17"/>
              </w:rPr>
              <w:t>RULE-KW-HEAT</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98</w:t>
            </w:r>
          </w:p>
        </w:tc>
        <w:tc>
          <w:tcPr>
            <w:tcW w:type="dxa" w:w="2140"/>
          </w:tcPr>
          <w:p>
            <w:pPr>
              <w:spacing w:after="20"/>
            </w:pPr>
            <w:r/>
            <w:r>
              <w:rPr>
                <w:rFonts w:ascii="Times New Roman" w:hAnsi="Times New Roman" w:eastAsia="宋体"/>
                <w:b w:val="0"/>
                <w:i w:val="0"/>
                <w:sz w:val="17"/>
              </w:rPr>
              <w:t>正文含发热、温度、烫、过热、温升</w:t>
            </w:r>
          </w:p>
        </w:tc>
        <w:tc>
          <w:tcPr>
            <w:tcW w:type="dxa" w:w="2213"/>
          </w:tcPr>
          <w:p>
            <w:pPr>
              <w:spacing w:after="20"/>
            </w:pPr>
            <w:r/>
            <w:r>
              <w:rPr>
                <w:rFonts w:ascii="Times New Roman" w:hAnsi="Times New Roman" w:eastAsia="宋体"/>
                <w:b w:val="0"/>
                <w:i w:val="0"/>
                <w:sz w:val="17"/>
              </w:rPr>
              <w:t>接触面氧化或接触不良；红外测温与复紧</w:t>
            </w:r>
          </w:p>
        </w:tc>
      </w:tr>
      <w:tr>
        <w:trPr>
          <w:cantSplit w:val="true"/>
        </w:trPr>
        <w:tc>
          <w:tcPr>
            <w:tcW w:type="dxa" w:w="3029"/>
          </w:tcPr>
          <w:p>
            <w:pPr>
              <w:spacing w:after="20"/>
            </w:pPr>
            <w:r/>
            <w:r>
              <w:rPr>
                <w:rFonts w:ascii="Times New Roman" w:hAnsi="Times New Roman" w:eastAsia="宋体"/>
                <w:b w:val="0"/>
                <w:i w:val="0"/>
                <w:sz w:val="17"/>
              </w:rPr>
              <w:t>RULE-KW-PD</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97</w:t>
            </w:r>
          </w:p>
        </w:tc>
        <w:tc>
          <w:tcPr>
            <w:tcW w:type="dxa" w:w="2140"/>
          </w:tcPr>
          <w:p>
            <w:pPr>
              <w:spacing w:after="20"/>
            </w:pPr>
            <w:r/>
            <w:r>
              <w:rPr>
                <w:rFonts w:ascii="Times New Roman" w:hAnsi="Times New Roman" w:eastAsia="宋体"/>
                <w:b w:val="0"/>
                <w:i w:val="0"/>
                <w:sz w:val="17"/>
              </w:rPr>
              <w:t>正文含异响、放电、闪络、电晕、滋滋</w:t>
            </w:r>
          </w:p>
        </w:tc>
        <w:tc>
          <w:tcPr>
            <w:tcW w:type="dxa" w:w="2213"/>
          </w:tcPr>
          <w:p>
            <w:pPr>
              <w:spacing w:after="20"/>
            </w:pPr>
            <w:r/>
            <w:r>
              <w:rPr>
                <w:rFonts w:ascii="Times New Roman" w:hAnsi="Times New Roman" w:eastAsia="宋体"/>
                <w:b w:val="0"/>
                <w:i w:val="0"/>
                <w:sz w:val="17"/>
              </w:rPr>
              <w:t>局部放电；超声波与特高频检测</w:t>
            </w:r>
          </w:p>
        </w:tc>
      </w:tr>
      <w:tr>
        <w:trPr>
          <w:cantSplit w:val="true"/>
        </w:trPr>
        <w:tc>
          <w:tcPr>
            <w:tcW w:type="dxa" w:w="3029"/>
          </w:tcPr>
          <w:p>
            <w:pPr>
              <w:spacing w:after="20"/>
            </w:pPr>
            <w:r/>
            <w:r>
              <w:rPr>
                <w:rFonts w:ascii="Times New Roman" w:hAnsi="Times New Roman" w:eastAsia="宋体"/>
                <w:b w:val="0"/>
                <w:i w:val="0"/>
                <w:sz w:val="17"/>
              </w:rPr>
              <w:t>RULE-KW-MOISTURE</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96</w:t>
            </w:r>
          </w:p>
        </w:tc>
        <w:tc>
          <w:tcPr>
            <w:tcW w:type="dxa" w:w="2140"/>
          </w:tcPr>
          <w:p>
            <w:pPr>
              <w:spacing w:after="20"/>
            </w:pPr>
            <w:r/>
            <w:r>
              <w:rPr>
                <w:rFonts w:ascii="Times New Roman" w:hAnsi="Times New Roman" w:eastAsia="宋体"/>
                <w:b w:val="0"/>
                <w:i w:val="0"/>
                <w:sz w:val="17"/>
              </w:rPr>
              <w:t>正文含渗水、潮气、受潮、积水、凝露</w:t>
            </w:r>
          </w:p>
        </w:tc>
        <w:tc>
          <w:tcPr>
            <w:tcW w:type="dxa" w:w="2213"/>
          </w:tcPr>
          <w:p>
            <w:pPr>
              <w:spacing w:after="20"/>
            </w:pPr>
            <w:r/>
            <w:r>
              <w:rPr>
                <w:rFonts w:ascii="Times New Roman" w:hAnsi="Times New Roman" w:eastAsia="宋体"/>
                <w:b w:val="0"/>
                <w:i w:val="0"/>
                <w:sz w:val="17"/>
              </w:rPr>
              <w:t>受潮或排水不畅；检查密封与吸附剂</w:t>
            </w:r>
          </w:p>
        </w:tc>
      </w:tr>
      <w:tr>
        <w:trPr>
          <w:cantSplit w:val="true"/>
        </w:trPr>
        <w:tc>
          <w:tcPr>
            <w:tcW w:type="dxa" w:w="3029"/>
          </w:tcPr>
          <w:p>
            <w:pPr>
              <w:spacing w:after="20"/>
            </w:pPr>
            <w:r/>
            <w:r>
              <w:rPr>
                <w:rFonts w:ascii="Times New Roman" w:hAnsi="Times New Roman" w:eastAsia="宋体"/>
                <w:b w:val="0"/>
                <w:i w:val="0"/>
                <w:sz w:val="17"/>
              </w:rPr>
              <w:t>RULE-KW-HEALTH</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95</w:t>
            </w:r>
          </w:p>
        </w:tc>
        <w:tc>
          <w:tcPr>
            <w:tcW w:type="dxa" w:w="2140"/>
          </w:tcPr>
          <w:p>
            <w:pPr>
              <w:spacing w:after="20"/>
            </w:pPr>
            <w:r/>
            <w:r>
              <w:rPr>
                <w:rFonts w:ascii="Times New Roman" w:hAnsi="Times New Roman" w:eastAsia="宋体"/>
                <w:b w:val="0"/>
                <w:i w:val="0"/>
                <w:sz w:val="17"/>
              </w:rPr>
              <w:t>正文含头晕、恶心、不适、呛、窒息</w:t>
            </w:r>
          </w:p>
        </w:tc>
        <w:tc>
          <w:tcPr>
            <w:tcW w:type="dxa" w:w="2213"/>
          </w:tcPr>
          <w:p>
            <w:pPr>
              <w:spacing w:after="20"/>
            </w:pPr>
            <w:r/>
            <w:r>
              <w:rPr>
                <w:rFonts w:ascii="Times New Roman" w:hAnsi="Times New Roman" w:eastAsia="宋体"/>
                <w:b w:val="0"/>
                <w:i w:val="0"/>
                <w:sz w:val="17"/>
              </w:rPr>
              <w:t>中毒或缺氧风险；撤离人员并通风，严重度 高</w:t>
            </w:r>
          </w:p>
        </w:tc>
      </w:tr>
      <w:tr>
        <w:trPr>
          <w:cantSplit w:val="true"/>
        </w:trPr>
        <w:tc>
          <w:tcPr>
            <w:tcW w:type="dxa" w:w="3029"/>
          </w:tcPr>
          <w:p>
            <w:pPr>
              <w:spacing w:after="20"/>
            </w:pPr>
            <w:r/>
            <w:r>
              <w:rPr>
                <w:rFonts w:ascii="Times New Roman" w:hAnsi="Times New Roman" w:eastAsia="宋体"/>
                <w:b w:val="0"/>
                <w:i w:val="0"/>
                <w:sz w:val="17"/>
              </w:rPr>
              <w:t>RULE-KW-WORSENING</w:t>
            </w:r>
          </w:p>
        </w:tc>
        <w:tc>
          <w:tcPr>
            <w:tcW w:type="dxa" w:w="989"/>
          </w:tcPr>
          <w:p>
            <w:pPr>
              <w:spacing w:after="20"/>
            </w:pPr>
            <w:r/>
            <w:r>
              <w:rPr>
                <w:rFonts w:ascii="Times New Roman" w:hAnsi="Times New Roman" w:eastAsia="宋体"/>
                <w:b w:val="0"/>
                <w:i w:val="0"/>
                <w:sz w:val="17"/>
              </w:rPr>
              <w:t>KEYWORD</w:t>
            </w:r>
          </w:p>
        </w:tc>
        <w:tc>
          <w:tcPr>
            <w:tcW w:type="dxa" w:w="630"/>
          </w:tcPr>
          <w:p>
            <w:pPr>
              <w:spacing w:after="20"/>
            </w:pPr>
            <w:r/>
            <w:r>
              <w:rPr>
                <w:rFonts w:ascii="Times New Roman" w:hAnsi="Times New Roman" w:eastAsia="宋体"/>
                <w:b w:val="0"/>
                <w:i w:val="0"/>
                <w:sz w:val="17"/>
              </w:rPr>
              <w:t>94</w:t>
            </w:r>
          </w:p>
        </w:tc>
        <w:tc>
          <w:tcPr>
            <w:tcW w:type="dxa" w:w="2140"/>
          </w:tcPr>
          <w:p>
            <w:pPr>
              <w:spacing w:after="20"/>
            </w:pPr>
            <w:r/>
            <w:r>
              <w:rPr>
                <w:rFonts w:ascii="Times New Roman" w:hAnsi="Times New Roman" w:eastAsia="宋体"/>
                <w:b w:val="0"/>
                <w:i w:val="0"/>
                <w:sz w:val="17"/>
              </w:rPr>
              <w:t>正文含持续、未恢复、扩大、加剧、继续上升、未回升</w:t>
            </w:r>
          </w:p>
        </w:tc>
        <w:tc>
          <w:tcPr>
            <w:tcW w:type="dxa" w:w="2213"/>
          </w:tcPr>
          <w:p>
            <w:pPr>
              <w:spacing w:after="20"/>
            </w:pPr>
            <w:r/>
            <w:r>
              <w:rPr>
                <w:rFonts w:ascii="Times New Roman" w:hAnsi="Times New Roman" w:eastAsia="宋体"/>
                <w:b w:val="0"/>
                <w:i w:val="0"/>
                <w:sz w:val="17"/>
              </w:rPr>
              <w:t>缺陷仍在发展；加密监测并上报，严重度 高</w:t>
            </w:r>
          </w:p>
        </w:tc>
      </w:tr>
    </w:tbl>
    <w:p>
      <w:pPr>
        <w:spacing w:after="40"/>
      </w:pPr>
    </w:p>
    <w:p>
      <w:pPr>
        <w:spacing w:before="200" w:after="80"/>
      </w:pPr>
      <w:r>
        <w:rPr>
          <w:rFonts w:ascii="Times New Roman" w:hAnsi="Times New Roman" w:eastAsia="黑体"/>
          <w:b/>
          <w:i w:val="0"/>
          <w:sz w:val="21"/>
        </w:rPr>
        <w:t>4.2　事实适配与个性化模型</w:t>
      </w:r>
    </w:p>
    <w:p>
      <w:pPr>
        <w:ind w:firstLine="420"/>
        <w:jc w:val="both"/>
      </w:pPr>
      <w:r>
        <w:rPr>
          <w:rFonts w:ascii="Times New Roman" w:hAnsi="Times New Roman" w:eastAsia="宋体"/>
          <w:b w:val="0"/>
          <w:i w:val="0"/>
          <w:sz w:val="21"/>
        </w:rPr>
        <w:t>一个场景只允许一个事实来源，适配层为确定性过程且只读业务档案，不读历史诊断，从而保证同一档案在多次执行中得到一致的规则引用（表 9）。安全记录映射为三档风险，授权类违规记为 2，一般扣分记为 1。</w:t>
      </w:r>
    </w:p>
    <w:p>
      <w:pPr>
        <w:spacing w:before="160" w:after="40"/>
        <w:jc w:val="center"/>
      </w:pPr>
      <w:r>
        <w:rPr>
          <w:rFonts w:ascii="Times New Roman" w:hAnsi="Times New Roman" w:eastAsia="宋体"/>
          <w:b/>
          <w:i w:val="0"/>
          <w:sz w:val="18"/>
        </w:rPr>
        <w:t xml:space="preserve">表 9　</w:t>
      </w:r>
      <w:r>
        <w:rPr>
          <w:rFonts w:ascii="Times New Roman" w:hAnsi="Times New Roman" w:eastAsia="宋体"/>
          <w:b w:val="0"/>
          <w:i w:val="0"/>
          <w:sz w:val="18"/>
        </w:rPr>
        <w:t>事实适配层规格。适配过程只读业务档案，不读取历史诊断结论。</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2077"/>
        <w:gridCol w:w="2250"/>
        <w:gridCol w:w="2250"/>
        <w:gridCol w:w="2423"/>
      </w:tblGrid>
      <w:tr>
        <w:trPr>
          <w:tblHeader w:val="true"/>
          <w:cantSplit w:val="true"/>
        </w:trPr>
        <w:tc>
          <w:tcPr>
            <w:tcW w:type="dxa" w:w="2077"/>
          </w:tcPr>
          <w:p>
            <w:pPr>
              <w:spacing w:after="20"/>
              <w:jc w:val="center"/>
            </w:pPr>
            <w:r/>
            <w:r>
              <w:rPr>
                <w:rFonts w:ascii="Times New Roman" w:hAnsi="Times New Roman" w:eastAsia="宋体"/>
                <w:b/>
                <w:i w:val="0"/>
                <w:sz w:val="17"/>
              </w:rPr>
              <w:t>档案字段</w:t>
            </w:r>
          </w:p>
        </w:tc>
        <w:tc>
          <w:tcPr>
            <w:tcW w:type="dxa" w:w="2250"/>
          </w:tcPr>
          <w:p>
            <w:pPr>
              <w:spacing w:after="20"/>
              <w:jc w:val="center"/>
            </w:pPr>
            <w:r/>
            <w:r>
              <w:rPr>
                <w:rFonts w:ascii="Times New Roman" w:hAnsi="Times New Roman" w:eastAsia="宋体"/>
                <w:b/>
                <w:i w:val="0"/>
                <w:sz w:val="17"/>
              </w:rPr>
              <w:t>事实名</w:t>
            </w:r>
          </w:p>
        </w:tc>
        <w:tc>
          <w:tcPr>
            <w:tcW w:type="dxa" w:w="2250"/>
          </w:tcPr>
          <w:p>
            <w:pPr>
              <w:spacing w:after="20"/>
              <w:jc w:val="center"/>
            </w:pPr>
            <w:r/>
            <w:r>
              <w:rPr>
                <w:rFonts w:ascii="Times New Roman" w:hAnsi="Times New Roman" w:eastAsia="宋体"/>
                <w:b/>
                <w:i w:val="0"/>
                <w:sz w:val="17"/>
              </w:rPr>
              <w:t>提取方式</w:t>
            </w:r>
          </w:p>
        </w:tc>
        <w:tc>
          <w:tcPr>
            <w:tcW w:type="dxa" w:w="2423"/>
          </w:tcPr>
          <w:p>
            <w:pPr>
              <w:spacing w:after="20"/>
              <w:jc w:val="center"/>
            </w:pPr>
            <w:r/>
            <w:r>
              <w:rPr>
                <w:rFonts w:ascii="Times New Roman" w:hAnsi="Times New Roman" w:eastAsia="宋体"/>
                <w:b/>
                <w:i w:val="0"/>
                <w:sz w:val="17"/>
              </w:rPr>
              <w:t>适用场景</w:t>
            </w:r>
          </w:p>
        </w:tc>
      </w:tr>
      <w:tr>
        <w:trPr>
          <w:cantSplit w:val="true"/>
        </w:trPr>
        <w:tc>
          <w:tcPr>
            <w:tcW w:type="dxa" w:w="2077"/>
          </w:tcPr>
          <w:p>
            <w:pPr>
              <w:spacing w:after="20"/>
            </w:pPr>
            <w:r/>
            <w:r>
              <w:rPr>
                <w:rFonts w:ascii="Times New Roman" w:hAnsi="Times New Roman" w:eastAsia="宋体"/>
                <w:b w:val="0"/>
                <w:i w:val="0"/>
                <w:sz w:val="17"/>
              </w:rPr>
              <w:t>证书：「变电运维值班员L1资格」</w:t>
            </w:r>
          </w:p>
        </w:tc>
        <w:tc>
          <w:tcPr>
            <w:tcW w:type="dxa" w:w="2250"/>
          </w:tcPr>
          <w:p>
            <w:pPr>
              <w:spacing w:after="20"/>
            </w:pPr>
            <w:r/>
            <w:r>
              <w:rPr>
                <w:rFonts w:ascii="Times New Roman" w:hAnsi="Times New Roman" w:eastAsia="宋体"/>
                <w:b w:val="0"/>
                <w:i w:val="0"/>
                <w:sz w:val="17"/>
              </w:rPr>
              <w:t>current_level</w:t>
            </w:r>
          </w:p>
        </w:tc>
        <w:tc>
          <w:tcPr>
            <w:tcW w:type="dxa" w:w="2250"/>
          </w:tcPr>
          <w:p>
            <w:pPr>
              <w:spacing w:after="20"/>
            </w:pPr>
            <w:r/>
            <w:r>
              <w:rPr>
                <w:rFonts w:ascii="Times New Roman" w:hAnsi="Times New Roman" w:eastAsia="宋体"/>
                <w:b w:val="0"/>
                <w:i w:val="0"/>
                <w:sz w:val="17"/>
              </w:rPr>
              <w:t>正则提取等级标识</w:t>
            </w:r>
          </w:p>
        </w:tc>
        <w:tc>
          <w:tcPr>
            <w:tcW w:type="dxa" w:w="2423"/>
          </w:tcPr>
          <w:p>
            <w:pPr>
              <w:spacing w:after="20"/>
            </w:pPr>
            <w:r/>
            <w:r>
              <w:rPr>
                <w:rFonts w:ascii="Times New Roman" w:hAnsi="Times New Roman" w:eastAsia="宋体"/>
                <w:b w:val="0"/>
                <w:i w:val="0"/>
                <w:sz w:val="17"/>
              </w:rPr>
              <w:t>PERSONAL_GAP</w:t>
            </w:r>
          </w:p>
        </w:tc>
      </w:tr>
      <w:tr>
        <w:trPr>
          <w:cantSplit w:val="true"/>
        </w:trPr>
        <w:tc>
          <w:tcPr>
            <w:tcW w:type="dxa" w:w="2077"/>
          </w:tcPr>
          <w:p>
            <w:pPr>
              <w:spacing w:after="20"/>
            </w:pPr>
            <w:r/>
            <w:r>
              <w:rPr>
                <w:rFonts w:ascii="Times New Roman" w:hAnsi="Times New Roman" w:eastAsia="宋体"/>
                <w:b w:val="0"/>
                <w:i w:val="0"/>
                <w:sz w:val="17"/>
              </w:rPr>
              <w:t>关键任务：「倒闸操作票复核达到L4」</w:t>
            </w:r>
          </w:p>
        </w:tc>
        <w:tc>
          <w:tcPr>
            <w:tcW w:type="dxa" w:w="2250"/>
          </w:tcPr>
          <w:p>
            <w:pPr>
              <w:spacing w:after="20"/>
            </w:pPr>
            <w:r/>
            <w:r>
              <w:rPr>
                <w:rFonts w:ascii="Times New Roman" w:hAnsi="Times New Roman" w:eastAsia="宋体"/>
                <w:b w:val="0"/>
                <w:i w:val="0"/>
                <w:sz w:val="17"/>
              </w:rPr>
              <w:t>required_level</w:t>
            </w:r>
          </w:p>
        </w:tc>
        <w:tc>
          <w:tcPr>
            <w:tcW w:type="dxa" w:w="2250"/>
          </w:tcPr>
          <w:p>
            <w:pPr>
              <w:spacing w:after="20"/>
            </w:pPr>
            <w:r/>
            <w:r>
              <w:rPr>
                <w:rFonts w:ascii="Times New Roman" w:hAnsi="Times New Roman" w:eastAsia="宋体"/>
                <w:b w:val="0"/>
                <w:i w:val="0"/>
                <w:sz w:val="17"/>
              </w:rPr>
              <w:t>正则提取授权门槛</w:t>
            </w:r>
          </w:p>
        </w:tc>
        <w:tc>
          <w:tcPr>
            <w:tcW w:type="dxa" w:w="2423"/>
          </w:tcPr>
          <w:p>
            <w:pPr>
              <w:spacing w:after="20"/>
            </w:pPr>
            <w:r/>
            <w:r>
              <w:rPr>
                <w:rFonts w:ascii="Times New Roman" w:hAnsi="Times New Roman" w:eastAsia="宋体"/>
                <w:b w:val="0"/>
                <w:i w:val="0"/>
                <w:sz w:val="17"/>
              </w:rPr>
              <w:t>PERSONAL_GAP</w:t>
            </w:r>
          </w:p>
        </w:tc>
      </w:tr>
      <w:tr>
        <w:trPr>
          <w:cantSplit w:val="true"/>
        </w:trPr>
        <w:tc>
          <w:tcPr>
            <w:tcW w:type="dxa" w:w="2077"/>
          </w:tcPr>
          <w:p>
            <w:pPr>
              <w:spacing w:after="20"/>
            </w:pPr>
            <w:r/>
            <w:r>
              <w:rPr>
                <w:rFonts w:ascii="Times New Roman" w:hAnsi="Times New Roman" w:eastAsia="宋体"/>
                <w:b w:val="0"/>
                <w:i w:val="0"/>
                <w:sz w:val="17"/>
              </w:rPr>
              <w:t>职业目标：「目标等级：L4」</w:t>
            </w:r>
          </w:p>
        </w:tc>
        <w:tc>
          <w:tcPr>
            <w:tcW w:type="dxa" w:w="2250"/>
          </w:tcPr>
          <w:p>
            <w:pPr>
              <w:spacing w:after="20"/>
            </w:pPr>
            <w:r/>
            <w:r>
              <w:rPr>
                <w:rFonts w:ascii="Times New Roman" w:hAnsi="Times New Roman" w:eastAsia="宋体"/>
                <w:b w:val="0"/>
                <w:i w:val="0"/>
                <w:sz w:val="17"/>
              </w:rPr>
              <w:t>future_level</w:t>
            </w:r>
          </w:p>
        </w:tc>
        <w:tc>
          <w:tcPr>
            <w:tcW w:type="dxa" w:w="2250"/>
          </w:tcPr>
          <w:p>
            <w:pPr>
              <w:spacing w:after="20"/>
            </w:pPr>
            <w:r/>
            <w:r>
              <w:rPr>
                <w:rFonts w:ascii="Times New Roman" w:hAnsi="Times New Roman" w:eastAsia="宋体"/>
                <w:b w:val="0"/>
                <w:i w:val="0"/>
                <w:sz w:val="17"/>
              </w:rPr>
              <w:t>正则提取目标等级</w:t>
            </w:r>
          </w:p>
        </w:tc>
        <w:tc>
          <w:tcPr>
            <w:tcW w:type="dxa" w:w="2423"/>
          </w:tcPr>
          <w:p>
            <w:pPr>
              <w:spacing w:after="20"/>
            </w:pPr>
            <w:r/>
            <w:r>
              <w:rPr>
                <w:rFonts w:ascii="Times New Roman" w:hAnsi="Times New Roman" w:eastAsia="宋体"/>
                <w:b w:val="0"/>
                <w:i w:val="0"/>
                <w:sz w:val="17"/>
              </w:rPr>
              <w:t>PERSONAL_GAP</w:t>
            </w:r>
          </w:p>
        </w:tc>
      </w:tr>
      <w:tr>
        <w:trPr>
          <w:cantSplit w:val="true"/>
        </w:trPr>
        <w:tc>
          <w:tcPr>
            <w:tcW w:type="dxa" w:w="2077"/>
          </w:tcPr>
          <w:p>
            <w:pPr>
              <w:spacing w:after="20"/>
            </w:pPr>
            <w:r/>
            <w:r>
              <w:rPr>
                <w:rFonts w:ascii="Times New Roman" w:hAnsi="Times New Roman" w:eastAsia="宋体"/>
                <w:b w:val="0"/>
                <w:i w:val="0"/>
                <w:sz w:val="17"/>
              </w:rPr>
              <w:t>安全记录：「越权操作 / 无票作业 / 未监护」</w:t>
            </w:r>
          </w:p>
        </w:tc>
        <w:tc>
          <w:tcPr>
            <w:tcW w:type="dxa" w:w="2250"/>
          </w:tcPr>
          <w:p>
            <w:pPr>
              <w:spacing w:after="20"/>
            </w:pPr>
            <w:r/>
            <w:r>
              <w:rPr>
                <w:rFonts w:ascii="Times New Roman" w:hAnsi="Times New Roman" w:eastAsia="宋体"/>
                <w:b w:val="0"/>
                <w:i w:val="0"/>
                <w:sz w:val="17"/>
              </w:rPr>
              <w:t>safety_risk、auth_violation</w:t>
            </w:r>
          </w:p>
        </w:tc>
        <w:tc>
          <w:tcPr>
            <w:tcW w:type="dxa" w:w="2250"/>
          </w:tcPr>
          <w:p>
            <w:pPr>
              <w:spacing w:after="20"/>
            </w:pPr>
            <w:r/>
            <w:r>
              <w:rPr>
                <w:rFonts w:ascii="Times New Roman" w:hAnsi="Times New Roman" w:eastAsia="宋体"/>
                <w:b w:val="0"/>
                <w:i w:val="0"/>
                <w:sz w:val="17"/>
              </w:rPr>
              <w:t>枚举映射至风险档位（0 无、1 扣分、2 授权违规）</w:t>
            </w:r>
          </w:p>
        </w:tc>
        <w:tc>
          <w:tcPr>
            <w:tcW w:type="dxa" w:w="2423"/>
          </w:tcPr>
          <w:p>
            <w:pPr>
              <w:spacing w:after="20"/>
            </w:pPr>
            <w:r/>
            <w:r>
              <w:rPr>
                <w:rFonts w:ascii="Times New Roman" w:hAnsi="Times New Roman" w:eastAsia="宋体"/>
                <w:b w:val="0"/>
                <w:i w:val="0"/>
                <w:sz w:val="17"/>
              </w:rPr>
              <w:t>PERSONAL_GAP、REPORT_ANALYSIS</w:t>
            </w:r>
          </w:p>
        </w:tc>
      </w:tr>
      <w:tr>
        <w:trPr>
          <w:cantSplit w:val="true"/>
        </w:trPr>
        <w:tc>
          <w:tcPr>
            <w:tcW w:type="dxa" w:w="2077"/>
          </w:tcPr>
          <w:p>
            <w:pPr>
              <w:spacing w:after="20"/>
            </w:pPr>
            <w:r/>
            <w:r>
              <w:rPr>
                <w:rFonts w:ascii="Times New Roman" w:hAnsi="Times New Roman" w:eastAsia="宋体"/>
                <w:b w:val="0"/>
                <w:i w:val="0"/>
                <w:sz w:val="17"/>
              </w:rPr>
              <w:t>考试与错题：「考试58分，合格线85分」</w:t>
            </w:r>
          </w:p>
        </w:tc>
        <w:tc>
          <w:tcPr>
            <w:tcW w:type="dxa" w:w="2250"/>
          </w:tcPr>
          <w:p>
            <w:pPr>
              <w:spacing w:after="20"/>
            </w:pPr>
            <w:r/>
            <w:r>
              <w:rPr>
                <w:rFonts w:ascii="Times New Roman" w:hAnsi="Times New Roman" w:eastAsia="宋体"/>
                <w:b w:val="0"/>
                <w:i w:val="0"/>
                <w:sz w:val="17"/>
              </w:rPr>
              <w:t>score、pass_score</w:t>
            </w:r>
          </w:p>
        </w:tc>
        <w:tc>
          <w:tcPr>
            <w:tcW w:type="dxa" w:w="2250"/>
          </w:tcPr>
          <w:p>
            <w:pPr>
              <w:spacing w:after="20"/>
            </w:pPr>
            <w:r/>
            <w:r>
              <w:rPr>
                <w:rFonts w:ascii="Times New Roman" w:hAnsi="Times New Roman" w:eastAsia="宋体"/>
                <w:b w:val="0"/>
                <w:i w:val="0"/>
                <w:sz w:val="17"/>
              </w:rPr>
              <w:t>数值直读</w:t>
            </w:r>
          </w:p>
        </w:tc>
        <w:tc>
          <w:tcPr>
            <w:tcW w:type="dxa" w:w="2423"/>
          </w:tcPr>
          <w:p>
            <w:pPr>
              <w:spacing w:after="20"/>
            </w:pPr>
            <w:r/>
            <w:r>
              <w:rPr>
                <w:rFonts w:ascii="Times New Roman" w:hAnsi="Times New Roman" w:eastAsia="宋体"/>
                <w:b w:val="0"/>
                <w:i w:val="0"/>
                <w:sz w:val="17"/>
              </w:rPr>
              <w:t>EXAM_RESULT</w:t>
            </w:r>
          </w:p>
        </w:tc>
      </w:tr>
      <w:tr>
        <w:trPr>
          <w:cantSplit w:val="true"/>
        </w:trPr>
        <w:tc>
          <w:tcPr>
            <w:tcW w:type="dxa" w:w="2077"/>
          </w:tcPr>
          <w:p>
            <w:pPr>
              <w:spacing w:after="20"/>
            </w:pPr>
            <w:r/>
            <w:r>
              <w:rPr>
                <w:rFonts w:ascii="Times New Roman" w:hAnsi="Times New Roman" w:eastAsia="宋体"/>
                <w:b w:val="0"/>
                <w:i w:val="0"/>
                <w:sz w:val="17"/>
              </w:rPr>
              <w:t>实操任务：「计划2.6小时，实际2.9小时」</w:t>
            </w:r>
          </w:p>
        </w:tc>
        <w:tc>
          <w:tcPr>
            <w:tcW w:type="dxa" w:w="2250"/>
          </w:tcPr>
          <w:p>
            <w:pPr>
              <w:spacing w:after="20"/>
            </w:pPr>
            <w:r/>
            <w:r>
              <w:rPr>
                <w:rFonts w:ascii="Times New Roman" w:hAnsi="Times New Roman" w:eastAsia="宋体"/>
                <w:b w:val="0"/>
                <w:i w:val="0"/>
                <w:sz w:val="17"/>
              </w:rPr>
              <w:t>actual_hours_ratio</w:t>
            </w:r>
          </w:p>
        </w:tc>
        <w:tc>
          <w:tcPr>
            <w:tcW w:type="dxa" w:w="2250"/>
          </w:tcPr>
          <w:p>
            <w:pPr>
              <w:spacing w:after="20"/>
            </w:pPr>
            <w:r/>
            <w:r>
              <w:rPr>
                <w:rFonts w:ascii="Times New Roman" w:hAnsi="Times New Roman" w:eastAsia="宋体"/>
                <w:b w:val="0"/>
                <w:i w:val="0"/>
                <w:sz w:val="17"/>
              </w:rPr>
              <w:t>实际耗时除以计划耗时</w:t>
            </w:r>
          </w:p>
        </w:tc>
        <w:tc>
          <w:tcPr>
            <w:tcW w:type="dxa" w:w="2423"/>
          </w:tcPr>
          <w:p>
            <w:pPr>
              <w:spacing w:after="20"/>
            </w:pPr>
            <w:r/>
            <w:r>
              <w:rPr>
                <w:rFonts w:ascii="Times New Roman" w:hAnsi="Times New Roman" w:eastAsia="宋体"/>
                <w:b w:val="0"/>
                <w:i w:val="0"/>
                <w:sz w:val="17"/>
              </w:rPr>
              <w:t>REPORT_ANALYSIS</w:t>
            </w:r>
          </w:p>
        </w:tc>
      </w:tr>
      <w:tr>
        <w:trPr>
          <w:cantSplit w:val="true"/>
        </w:trPr>
        <w:tc>
          <w:tcPr>
            <w:tcW w:type="dxa" w:w="2077"/>
          </w:tcPr>
          <w:p>
            <w:pPr>
              <w:spacing w:after="20"/>
            </w:pPr>
            <w:r/>
            <w:r>
              <w:rPr>
                <w:rFonts w:ascii="Times New Roman" w:hAnsi="Times New Roman" w:eastAsia="宋体"/>
                <w:b w:val="0"/>
                <w:i w:val="0"/>
                <w:sz w:val="17"/>
              </w:rPr>
              <w:t>安全记录（授权类）</w:t>
            </w:r>
          </w:p>
        </w:tc>
        <w:tc>
          <w:tcPr>
            <w:tcW w:type="dxa" w:w="2250"/>
          </w:tcPr>
          <w:p>
            <w:pPr>
              <w:spacing w:after="20"/>
            </w:pPr>
            <w:r/>
            <w:r>
              <w:rPr>
                <w:rFonts w:ascii="Times New Roman" w:hAnsi="Times New Roman" w:eastAsia="宋体"/>
                <w:b w:val="0"/>
                <w:i w:val="0"/>
                <w:sz w:val="17"/>
              </w:rPr>
              <w:t>sop_preparation</w:t>
            </w:r>
          </w:p>
        </w:tc>
        <w:tc>
          <w:tcPr>
            <w:tcW w:type="dxa" w:w="2250"/>
          </w:tcPr>
          <w:p>
            <w:pPr>
              <w:spacing w:after="20"/>
            </w:pPr>
            <w:r/>
            <w:r>
              <w:rPr>
                <w:rFonts w:ascii="Times New Roman" w:hAnsi="Times New Roman" w:eastAsia="宋体"/>
                <w:b w:val="0"/>
                <w:i w:val="0"/>
                <w:sz w:val="17"/>
              </w:rPr>
              <w:t>授权类违规记为 false，否则记为 true</w:t>
            </w:r>
          </w:p>
        </w:tc>
        <w:tc>
          <w:tcPr>
            <w:tcW w:type="dxa" w:w="2423"/>
          </w:tcPr>
          <w:p>
            <w:pPr>
              <w:spacing w:after="20"/>
            </w:pPr>
            <w:r/>
            <w:r>
              <w:rPr>
                <w:rFonts w:ascii="Times New Roman" w:hAnsi="Times New Roman" w:eastAsia="宋体"/>
                <w:b w:val="0"/>
                <w:i w:val="0"/>
                <w:sz w:val="17"/>
              </w:rPr>
              <w:t>REPORT_ANALYSIS</w:t>
            </w:r>
          </w:p>
        </w:tc>
      </w:tr>
    </w:tbl>
    <w:p>
      <w:pPr>
        <w:spacing w:after="40"/>
      </w:pPr>
    </w:p>
    <w:p>
      <w:pPr>
        <w:ind w:firstLine="420"/>
        <w:jc w:val="both"/>
      </w:pPr>
      <w:r>
        <w:rPr>
          <w:rFonts w:ascii="Times New Roman" w:hAnsi="Times New Roman" w:eastAsia="宋体"/>
          <w:b w:val="0"/>
          <w:i w:val="0"/>
          <w:sz w:val="21"/>
        </w:rPr>
        <w:t>模型接收的不是档案原文，而是编号事实清单：十组事实自 F1 起顺序编号并带来源标签（表 10），使结论中的每句话都能回指。第十组为结论性事实，「哪些技能进入差距清单」由后端按技能雷达给定，模型只负责转述；实测中模型最易犯的差距项遗漏与多余两类偏差，移至后端后均消除。无缺口时该组来源标签改为 skill_status_summary，提示词不再施加覆盖约束，避免生成空差距项。</w:t>
      </w:r>
    </w:p>
    <w:p>
      <w:pPr>
        <w:spacing w:before="160" w:after="40"/>
        <w:jc w:val="center"/>
      </w:pPr>
      <w:r>
        <w:rPr>
          <w:rFonts w:ascii="Times New Roman" w:hAnsi="Times New Roman" w:eastAsia="宋体"/>
          <w:b/>
          <w:i w:val="0"/>
          <w:sz w:val="18"/>
        </w:rPr>
        <w:t xml:space="preserve">表 10　</w:t>
      </w:r>
      <w:r>
        <w:rPr>
          <w:rFonts w:ascii="Times New Roman" w:hAnsi="Times New Roman" w:eastAsia="宋体"/>
          <w:b w:val="0"/>
          <w:i w:val="0"/>
          <w:sz w:val="18"/>
        </w:rPr>
        <w:t>个人诊断的事实清单。十组事实由后端给定，模型只能引用，不能新增。</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578"/>
        <w:gridCol w:w="3435"/>
        <w:gridCol w:w="3798"/>
        <w:gridCol w:w="1189"/>
      </w:tblGrid>
      <w:tr>
        <w:trPr>
          <w:tblHeader w:val="true"/>
          <w:cantSplit w:val="true"/>
        </w:trPr>
        <w:tc>
          <w:tcPr>
            <w:tcW w:type="dxa" w:w="578"/>
          </w:tcPr>
          <w:p>
            <w:pPr>
              <w:spacing w:after="20"/>
              <w:jc w:val="center"/>
            </w:pPr>
            <w:r/>
            <w:r>
              <w:rPr>
                <w:rFonts w:ascii="Times New Roman" w:hAnsi="Times New Roman" w:eastAsia="宋体"/>
                <w:b/>
                <w:i w:val="0"/>
                <w:sz w:val="17"/>
              </w:rPr>
              <w:t>序号</w:t>
            </w:r>
          </w:p>
        </w:tc>
        <w:tc>
          <w:tcPr>
            <w:tcW w:type="dxa" w:w="3435"/>
          </w:tcPr>
          <w:p>
            <w:pPr>
              <w:spacing w:after="20"/>
              <w:jc w:val="center"/>
            </w:pPr>
            <w:r/>
            <w:r>
              <w:rPr>
                <w:rFonts w:ascii="Times New Roman" w:hAnsi="Times New Roman" w:eastAsia="宋体"/>
                <w:b/>
                <w:i w:val="0"/>
                <w:sz w:val="17"/>
              </w:rPr>
              <w:t>来源标签</w:t>
            </w:r>
          </w:p>
        </w:tc>
        <w:tc>
          <w:tcPr>
            <w:tcW w:type="dxa" w:w="3798"/>
          </w:tcPr>
          <w:p>
            <w:pPr>
              <w:spacing w:after="20"/>
              <w:jc w:val="center"/>
            </w:pPr>
            <w:r/>
            <w:r>
              <w:rPr>
                <w:rFonts w:ascii="Times New Roman" w:hAnsi="Times New Roman" w:eastAsia="宋体"/>
                <w:b/>
                <w:i w:val="0"/>
                <w:sz w:val="17"/>
              </w:rPr>
              <w:t>内容</w:t>
            </w:r>
          </w:p>
        </w:tc>
        <w:tc>
          <w:tcPr>
            <w:tcW w:type="dxa" w:w="1189"/>
          </w:tcPr>
          <w:p>
            <w:pPr>
              <w:spacing w:after="20"/>
              <w:jc w:val="center"/>
            </w:pPr>
            <w:r/>
            <w:r>
              <w:rPr>
                <w:rFonts w:ascii="Times New Roman" w:hAnsi="Times New Roman" w:eastAsia="宋体"/>
                <w:b/>
                <w:i w:val="0"/>
                <w:sz w:val="17"/>
              </w:rPr>
              <w:t>用途</w:t>
            </w:r>
          </w:p>
        </w:tc>
      </w:tr>
      <w:tr>
        <w:trPr>
          <w:cantSplit w:val="true"/>
        </w:trPr>
        <w:tc>
          <w:tcPr>
            <w:tcW w:type="dxa" w:w="578"/>
          </w:tcPr>
          <w:p>
            <w:pPr>
              <w:spacing w:after="20"/>
            </w:pPr>
            <w:r/>
            <w:r>
              <w:rPr>
                <w:rFonts w:ascii="Times New Roman" w:hAnsi="Times New Roman" w:eastAsia="宋体"/>
                <w:b w:val="0"/>
                <w:i w:val="0"/>
                <w:sz w:val="17"/>
              </w:rPr>
              <w:t>1</w:t>
            </w:r>
          </w:p>
        </w:tc>
        <w:tc>
          <w:tcPr>
            <w:tcW w:type="dxa" w:w="3435"/>
          </w:tcPr>
          <w:p>
            <w:pPr>
              <w:spacing w:after="20"/>
            </w:pPr>
            <w:r/>
            <w:r>
              <w:rPr>
                <w:rFonts w:ascii="Times New Roman" w:hAnsi="Times New Roman" w:eastAsia="宋体"/>
                <w:b w:val="0"/>
                <w:i w:val="0"/>
                <w:sz w:val="17"/>
              </w:rPr>
              <w:t>position_skill_requirement</w:t>
            </w:r>
          </w:p>
        </w:tc>
        <w:tc>
          <w:tcPr>
            <w:tcW w:type="dxa" w:w="3798"/>
          </w:tcPr>
          <w:p>
            <w:pPr>
              <w:spacing w:after="20"/>
            </w:pPr>
            <w:r/>
            <w:r>
              <w:rPr>
                <w:rFonts w:ascii="Times New Roman" w:hAnsi="Times New Roman" w:eastAsia="宋体"/>
                <w:b w:val="0"/>
                <w:i w:val="0"/>
                <w:sz w:val="17"/>
              </w:rPr>
              <w:t>岗位对技能 s 的要求等级与未来需求等级，附制度依据</w:t>
            </w:r>
          </w:p>
        </w:tc>
        <w:tc>
          <w:tcPr>
            <w:tcW w:type="dxa" w:w="1189"/>
          </w:tcPr>
          <w:p>
            <w:pPr>
              <w:spacing w:after="20"/>
            </w:pPr>
            <w:r/>
            <w:r>
              <w:rPr>
                <w:rFonts w:ascii="Times New Roman" w:hAnsi="Times New Roman" w:eastAsia="宋体"/>
                <w:b w:val="0"/>
                <w:i w:val="0"/>
                <w:sz w:val="17"/>
              </w:rPr>
              <w:t>确定等级基准</w:t>
            </w:r>
          </w:p>
        </w:tc>
      </w:tr>
      <w:tr>
        <w:trPr>
          <w:cantSplit w:val="true"/>
        </w:trPr>
        <w:tc>
          <w:tcPr>
            <w:tcW w:type="dxa" w:w="578"/>
          </w:tcPr>
          <w:p>
            <w:pPr>
              <w:spacing w:after="20"/>
            </w:pPr>
            <w:r/>
            <w:r>
              <w:rPr>
                <w:rFonts w:ascii="Times New Roman" w:hAnsi="Times New Roman" w:eastAsia="宋体"/>
                <w:b w:val="0"/>
                <w:i w:val="0"/>
                <w:sz w:val="17"/>
              </w:rPr>
              <w:t>2</w:t>
            </w:r>
          </w:p>
        </w:tc>
        <w:tc>
          <w:tcPr>
            <w:tcW w:type="dxa" w:w="3435"/>
          </w:tcPr>
          <w:p>
            <w:pPr>
              <w:spacing w:after="20"/>
            </w:pPr>
            <w:r/>
            <w:r>
              <w:rPr>
                <w:rFonts w:ascii="Times New Roman" w:hAnsi="Times New Roman" w:eastAsia="宋体"/>
                <w:b w:val="0"/>
                <w:i w:val="0"/>
                <w:sz w:val="17"/>
              </w:rPr>
              <w:t>employee_skill</w:t>
            </w:r>
          </w:p>
        </w:tc>
        <w:tc>
          <w:tcPr>
            <w:tcW w:type="dxa" w:w="3798"/>
          </w:tcPr>
          <w:p>
            <w:pPr>
              <w:spacing w:after="20"/>
            </w:pPr>
            <w:r/>
            <w:r>
              <w:rPr>
                <w:rFonts w:ascii="Times New Roman" w:hAnsi="Times New Roman" w:eastAsia="宋体"/>
                <w:b w:val="0"/>
                <w:i w:val="0"/>
                <w:sz w:val="17"/>
              </w:rPr>
              <w:t>技能 s 的当前、要求与未来等级，含状态、证据与雷达评语</w:t>
            </w:r>
          </w:p>
        </w:tc>
        <w:tc>
          <w:tcPr>
            <w:tcW w:type="dxa" w:w="1189"/>
          </w:tcPr>
          <w:p>
            <w:pPr>
              <w:spacing w:after="20"/>
            </w:pPr>
            <w:r/>
            <w:r>
              <w:rPr>
                <w:rFonts w:ascii="Times New Roman" w:hAnsi="Times New Roman" w:eastAsia="宋体"/>
                <w:b w:val="0"/>
                <w:i w:val="0"/>
                <w:sz w:val="17"/>
              </w:rPr>
              <w:t>生成差距项与优势项</w:t>
            </w:r>
          </w:p>
        </w:tc>
      </w:tr>
      <w:tr>
        <w:trPr>
          <w:cantSplit w:val="true"/>
        </w:trPr>
        <w:tc>
          <w:tcPr>
            <w:tcW w:type="dxa" w:w="578"/>
          </w:tcPr>
          <w:p>
            <w:pPr>
              <w:spacing w:after="20"/>
            </w:pPr>
            <w:r/>
            <w:r>
              <w:rPr>
                <w:rFonts w:ascii="Times New Roman" w:hAnsi="Times New Roman" w:eastAsia="宋体"/>
                <w:b w:val="0"/>
                <w:i w:val="0"/>
                <w:sz w:val="17"/>
              </w:rPr>
              <w:t>3</w:t>
            </w:r>
          </w:p>
        </w:tc>
        <w:tc>
          <w:tcPr>
            <w:tcW w:type="dxa" w:w="3435"/>
          </w:tcPr>
          <w:p>
            <w:pPr>
              <w:spacing w:after="20"/>
            </w:pPr>
            <w:r/>
            <w:r>
              <w:rPr>
                <w:rFonts w:ascii="Times New Roman" w:hAnsi="Times New Roman" w:eastAsia="宋体"/>
                <w:b w:val="0"/>
                <w:i w:val="0"/>
                <w:sz w:val="17"/>
              </w:rPr>
              <w:t>exam_history</w:t>
            </w:r>
          </w:p>
        </w:tc>
        <w:tc>
          <w:tcPr>
            <w:tcW w:type="dxa" w:w="3798"/>
          </w:tcPr>
          <w:p>
            <w:pPr>
              <w:spacing w:after="20"/>
            </w:pPr>
            <w:r/>
            <w:r>
              <w:rPr>
                <w:rFonts w:ascii="Times New Roman" w:hAnsi="Times New Roman" w:eastAsia="宋体"/>
                <w:b w:val="0"/>
                <w:i w:val="0"/>
                <w:sz w:val="17"/>
              </w:rPr>
              <w:t>最近三次考试的分数、合格线、结果与错题知识点</w:t>
            </w:r>
          </w:p>
        </w:tc>
        <w:tc>
          <w:tcPr>
            <w:tcW w:type="dxa" w:w="1189"/>
          </w:tcPr>
          <w:p>
            <w:pPr>
              <w:spacing w:after="20"/>
            </w:pPr>
            <w:r/>
            <w:r>
              <w:rPr>
                <w:rFonts w:ascii="Times New Roman" w:hAnsi="Times New Roman" w:eastAsia="宋体"/>
                <w:b w:val="0"/>
                <w:i w:val="0"/>
                <w:sz w:val="17"/>
              </w:rPr>
              <w:t>支撑考试类结论</w:t>
            </w:r>
          </w:p>
        </w:tc>
      </w:tr>
      <w:tr>
        <w:trPr>
          <w:cantSplit w:val="true"/>
        </w:trPr>
        <w:tc>
          <w:tcPr>
            <w:tcW w:type="dxa" w:w="578"/>
          </w:tcPr>
          <w:p>
            <w:pPr>
              <w:spacing w:after="20"/>
            </w:pPr>
            <w:r/>
            <w:r>
              <w:rPr>
                <w:rFonts w:ascii="Times New Roman" w:hAnsi="Times New Roman" w:eastAsia="宋体"/>
                <w:b w:val="0"/>
                <w:i w:val="0"/>
                <w:sz w:val="17"/>
              </w:rPr>
              <w:t>4</w:t>
            </w:r>
          </w:p>
        </w:tc>
        <w:tc>
          <w:tcPr>
            <w:tcW w:type="dxa" w:w="3435"/>
          </w:tcPr>
          <w:p>
            <w:pPr>
              <w:spacing w:after="20"/>
            </w:pPr>
            <w:r/>
            <w:r>
              <w:rPr>
                <w:rFonts w:ascii="Times New Roman" w:hAnsi="Times New Roman" w:eastAsia="宋体"/>
                <w:b w:val="0"/>
                <w:i w:val="0"/>
                <w:sz w:val="17"/>
              </w:rPr>
              <w:t>memory_item</w:t>
            </w:r>
          </w:p>
        </w:tc>
        <w:tc>
          <w:tcPr>
            <w:tcW w:type="dxa" w:w="3798"/>
          </w:tcPr>
          <w:p>
            <w:pPr>
              <w:spacing w:after="20"/>
            </w:pPr>
            <w:r/>
            <w:r>
              <w:rPr>
                <w:rFonts w:ascii="Times New Roman" w:hAnsi="Times New Roman" w:eastAsia="宋体"/>
                <w:b w:val="0"/>
                <w:i w:val="0"/>
                <w:sz w:val="17"/>
              </w:rPr>
              <w:t>近六条能力记忆，含带教评价与实操记录，排除本智能体写回的结论</w:t>
            </w:r>
          </w:p>
        </w:tc>
        <w:tc>
          <w:tcPr>
            <w:tcW w:type="dxa" w:w="1189"/>
          </w:tcPr>
          <w:p>
            <w:pPr>
              <w:spacing w:after="20"/>
            </w:pPr>
            <w:r/>
            <w:r>
              <w:rPr>
                <w:rFonts w:ascii="Times New Roman" w:hAnsi="Times New Roman" w:eastAsia="宋体"/>
                <w:b w:val="0"/>
                <w:i w:val="0"/>
                <w:sz w:val="17"/>
              </w:rPr>
              <w:t>提供叙述证据</w:t>
            </w:r>
          </w:p>
        </w:tc>
      </w:tr>
      <w:tr>
        <w:trPr>
          <w:cantSplit w:val="true"/>
        </w:trPr>
        <w:tc>
          <w:tcPr>
            <w:tcW w:type="dxa" w:w="578"/>
          </w:tcPr>
          <w:p>
            <w:pPr>
              <w:spacing w:after="20"/>
            </w:pPr>
            <w:r/>
            <w:r>
              <w:rPr>
                <w:rFonts w:ascii="Times New Roman" w:hAnsi="Times New Roman" w:eastAsia="宋体"/>
                <w:b w:val="0"/>
                <w:i w:val="0"/>
                <w:sz w:val="17"/>
              </w:rPr>
              <w:t>5</w:t>
            </w:r>
          </w:p>
        </w:tc>
        <w:tc>
          <w:tcPr>
            <w:tcW w:type="dxa" w:w="3435"/>
          </w:tcPr>
          <w:p>
            <w:pPr>
              <w:spacing w:after="20"/>
            </w:pPr>
            <w:r/>
            <w:r>
              <w:rPr>
                <w:rFonts w:ascii="Times New Roman" w:hAnsi="Times New Roman" w:eastAsia="宋体"/>
                <w:b w:val="0"/>
                <w:i w:val="0"/>
                <w:sz w:val="17"/>
              </w:rPr>
              <w:t>learning_plan</w:t>
            </w:r>
          </w:p>
        </w:tc>
        <w:tc>
          <w:tcPr>
            <w:tcW w:type="dxa" w:w="3798"/>
          </w:tcPr>
          <w:p>
            <w:pPr>
              <w:spacing w:after="20"/>
            </w:pPr>
            <w:r/>
            <w:r>
              <w:rPr>
                <w:rFonts w:ascii="Times New Roman" w:hAnsi="Times New Roman" w:eastAsia="宋体"/>
                <w:b w:val="0"/>
                <w:i w:val="0"/>
                <w:sz w:val="17"/>
              </w:rPr>
              <w:t>学习计划的目标技能、目标等级、进度与截止日期</w:t>
            </w:r>
          </w:p>
        </w:tc>
        <w:tc>
          <w:tcPr>
            <w:tcW w:type="dxa" w:w="1189"/>
          </w:tcPr>
          <w:p>
            <w:pPr>
              <w:spacing w:after="20"/>
            </w:pPr>
            <w:r/>
            <w:r>
              <w:rPr>
                <w:rFonts w:ascii="Times New Roman" w:hAnsi="Times New Roman" w:eastAsia="宋体"/>
                <w:b w:val="0"/>
                <w:i w:val="0"/>
                <w:sz w:val="17"/>
              </w:rPr>
              <w:t>确定排期基线</w:t>
            </w:r>
          </w:p>
        </w:tc>
      </w:tr>
      <w:tr>
        <w:trPr>
          <w:cantSplit w:val="true"/>
        </w:trPr>
        <w:tc>
          <w:tcPr>
            <w:tcW w:type="dxa" w:w="578"/>
          </w:tcPr>
          <w:p>
            <w:pPr>
              <w:spacing w:after="20"/>
            </w:pPr>
            <w:r/>
            <w:r>
              <w:rPr>
                <w:rFonts w:ascii="Times New Roman" w:hAnsi="Times New Roman" w:eastAsia="宋体"/>
                <w:b w:val="0"/>
                <w:i w:val="0"/>
                <w:sz w:val="17"/>
              </w:rPr>
              <w:t>6</w:t>
            </w:r>
          </w:p>
        </w:tc>
        <w:tc>
          <w:tcPr>
            <w:tcW w:type="dxa" w:w="3435"/>
          </w:tcPr>
          <w:p>
            <w:pPr>
              <w:spacing w:after="20"/>
            </w:pPr>
            <w:r/>
            <w:r>
              <w:rPr>
                <w:rFonts w:ascii="Times New Roman" w:hAnsi="Times New Roman" w:eastAsia="宋体"/>
                <w:b w:val="0"/>
                <w:i w:val="0"/>
                <w:sz w:val="17"/>
              </w:rPr>
              <w:t>practice_stat</w:t>
            </w:r>
          </w:p>
        </w:tc>
        <w:tc>
          <w:tcPr>
            <w:tcW w:type="dxa" w:w="3798"/>
          </w:tcPr>
          <w:p>
            <w:pPr>
              <w:spacing w:after="20"/>
            </w:pPr>
            <w:r/>
            <w:r>
              <w:rPr>
                <w:rFonts w:ascii="Times New Roman" w:hAnsi="Times New Roman" w:eastAsia="宋体"/>
                <w:b w:val="0"/>
                <w:i w:val="0"/>
                <w:sz w:val="17"/>
              </w:rPr>
              <w:t>各技能练习的答题数与答对数</w:t>
            </w:r>
          </w:p>
        </w:tc>
        <w:tc>
          <w:tcPr>
            <w:tcW w:type="dxa" w:w="1189"/>
          </w:tcPr>
          <w:p>
            <w:pPr>
              <w:spacing w:after="20"/>
            </w:pPr>
            <w:r/>
            <w:r>
              <w:rPr>
                <w:rFonts w:ascii="Times New Roman" w:hAnsi="Times New Roman" w:eastAsia="宋体"/>
                <w:b w:val="0"/>
                <w:i w:val="0"/>
                <w:sz w:val="17"/>
              </w:rPr>
              <w:t>反映训练强度</w:t>
            </w:r>
          </w:p>
        </w:tc>
      </w:tr>
      <w:tr>
        <w:trPr>
          <w:cantSplit w:val="true"/>
        </w:trPr>
        <w:tc>
          <w:tcPr>
            <w:tcW w:type="dxa" w:w="578"/>
          </w:tcPr>
          <w:p>
            <w:pPr>
              <w:spacing w:after="20"/>
            </w:pPr>
            <w:r/>
            <w:r>
              <w:rPr>
                <w:rFonts w:ascii="Times New Roman" w:hAnsi="Times New Roman" w:eastAsia="宋体"/>
                <w:b w:val="0"/>
                <w:i w:val="0"/>
                <w:sz w:val="17"/>
              </w:rPr>
              <w:t>7</w:t>
            </w:r>
          </w:p>
        </w:tc>
        <w:tc>
          <w:tcPr>
            <w:tcW w:type="dxa" w:w="3435"/>
          </w:tcPr>
          <w:p>
            <w:pPr>
              <w:spacing w:after="20"/>
            </w:pPr>
            <w:r/>
            <w:r>
              <w:rPr>
                <w:rFonts w:ascii="Times New Roman" w:hAnsi="Times New Roman" w:eastAsia="宋体"/>
                <w:b w:val="0"/>
                <w:i w:val="0"/>
                <w:sz w:val="17"/>
              </w:rPr>
              <w:t>certificate</w:t>
            </w:r>
          </w:p>
        </w:tc>
        <w:tc>
          <w:tcPr>
            <w:tcW w:type="dxa" w:w="3798"/>
          </w:tcPr>
          <w:p>
            <w:pPr>
              <w:spacing w:after="20"/>
            </w:pPr>
            <w:r/>
            <w:r>
              <w:rPr>
                <w:rFonts w:ascii="Times New Roman" w:hAnsi="Times New Roman" w:eastAsia="宋体"/>
                <w:b w:val="0"/>
                <w:i w:val="0"/>
                <w:sz w:val="17"/>
              </w:rPr>
              <w:t>证书名称、等级、有效期与状态</w:t>
            </w:r>
          </w:p>
        </w:tc>
        <w:tc>
          <w:tcPr>
            <w:tcW w:type="dxa" w:w="1189"/>
          </w:tcPr>
          <w:p>
            <w:pPr>
              <w:spacing w:after="20"/>
            </w:pPr>
            <w:r/>
            <w:r>
              <w:rPr>
                <w:rFonts w:ascii="Times New Roman" w:hAnsi="Times New Roman" w:eastAsia="宋体"/>
                <w:b w:val="0"/>
                <w:i w:val="0"/>
                <w:sz w:val="17"/>
              </w:rPr>
              <w:t>识别持证基础</w:t>
            </w:r>
          </w:p>
        </w:tc>
      </w:tr>
      <w:tr>
        <w:trPr>
          <w:cantSplit w:val="true"/>
        </w:trPr>
        <w:tc>
          <w:tcPr>
            <w:tcW w:type="dxa" w:w="578"/>
          </w:tcPr>
          <w:p>
            <w:pPr>
              <w:spacing w:after="20"/>
            </w:pPr>
            <w:r/>
            <w:r>
              <w:rPr>
                <w:rFonts w:ascii="Times New Roman" w:hAnsi="Times New Roman" w:eastAsia="宋体"/>
                <w:b w:val="0"/>
                <w:i w:val="0"/>
                <w:sz w:val="17"/>
              </w:rPr>
              <w:t>8</w:t>
            </w:r>
          </w:p>
        </w:tc>
        <w:tc>
          <w:tcPr>
            <w:tcW w:type="dxa" w:w="3435"/>
          </w:tcPr>
          <w:p>
            <w:pPr>
              <w:spacing w:after="20"/>
            </w:pPr>
            <w:r/>
            <w:r>
              <w:rPr>
                <w:rFonts w:ascii="Times New Roman" w:hAnsi="Times New Roman" w:eastAsia="宋体"/>
                <w:b w:val="0"/>
                <w:i w:val="0"/>
                <w:sz w:val="17"/>
              </w:rPr>
              <w:t>safety_record</w:t>
            </w:r>
          </w:p>
        </w:tc>
        <w:tc>
          <w:tcPr>
            <w:tcW w:type="dxa" w:w="3798"/>
          </w:tcPr>
          <w:p>
            <w:pPr>
              <w:spacing w:after="20"/>
            </w:pPr>
            <w:r/>
            <w:r>
              <w:rPr>
                <w:rFonts w:ascii="Times New Roman" w:hAnsi="Times New Roman" w:eastAsia="宋体"/>
                <w:b w:val="0"/>
                <w:i w:val="0"/>
                <w:sz w:val="17"/>
              </w:rPr>
              <w:t>安全记录类型、严重度、一票否决标志与描述</w:t>
            </w:r>
          </w:p>
        </w:tc>
        <w:tc>
          <w:tcPr>
            <w:tcW w:type="dxa" w:w="1189"/>
          </w:tcPr>
          <w:p>
            <w:pPr>
              <w:spacing w:after="20"/>
            </w:pPr>
            <w:r/>
            <w:r>
              <w:rPr>
                <w:rFonts w:ascii="Times New Roman" w:hAnsi="Times New Roman" w:eastAsia="宋体"/>
                <w:b w:val="0"/>
                <w:i w:val="0"/>
                <w:sz w:val="17"/>
              </w:rPr>
              <w:t>支撑安全判定</w:t>
            </w:r>
          </w:p>
        </w:tc>
      </w:tr>
      <w:tr>
        <w:trPr>
          <w:cantSplit w:val="true"/>
        </w:trPr>
        <w:tc>
          <w:tcPr>
            <w:tcW w:type="dxa" w:w="578"/>
          </w:tcPr>
          <w:p>
            <w:pPr>
              <w:spacing w:after="20"/>
            </w:pPr>
            <w:r/>
            <w:r>
              <w:rPr>
                <w:rFonts w:ascii="Times New Roman" w:hAnsi="Times New Roman" w:eastAsia="宋体"/>
                <w:b w:val="0"/>
                <w:i w:val="0"/>
                <w:sz w:val="17"/>
              </w:rPr>
              <w:t>9</w:t>
            </w:r>
          </w:p>
        </w:tc>
        <w:tc>
          <w:tcPr>
            <w:tcW w:type="dxa" w:w="3435"/>
          </w:tcPr>
          <w:p>
            <w:pPr>
              <w:spacing w:after="20"/>
            </w:pPr>
            <w:r/>
            <w:r>
              <w:rPr>
                <w:rFonts w:ascii="Times New Roman" w:hAnsi="Times New Roman" w:eastAsia="宋体"/>
                <w:b w:val="0"/>
                <w:i w:val="0"/>
                <w:sz w:val="17"/>
              </w:rPr>
              <w:t>task_report</w:t>
            </w:r>
          </w:p>
        </w:tc>
        <w:tc>
          <w:tcPr>
            <w:tcW w:type="dxa" w:w="3798"/>
          </w:tcPr>
          <w:p>
            <w:pPr>
              <w:spacing w:after="20"/>
            </w:pPr>
            <w:r/>
            <w:r>
              <w:rPr>
                <w:rFonts w:ascii="Times New Roman" w:hAnsi="Times New Roman" w:eastAsia="宋体"/>
                <w:b w:val="0"/>
                <w:i w:val="0"/>
                <w:sz w:val="17"/>
              </w:rPr>
              <w:t>本人相关实操报告份数与超限份数</w:t>
            </w:r>
          </w:p>
        </w:tc>
        <w:tc>
          <w:tcPr>
            <w:tcW w:type="dxa" w:w="1189"/>
          </w:tcPr>
          <w:p>
            <w:pPr>
              <w:spacing w:after="20"/>
            </w:pPr>
            <w:r/>
            <w:r>
              <w:rPr>
                <w:rFonts w:ascii="Times New Roman" w:hAnsi="Times New Roman" w:eastAsia="宋体"/>
                <w:b w:val="0"/>
                <w:i w:val="0"/>
                <w:sz w:val="17"/>
              </w:rPr>
              <w:t>反映实操表现</w:t>
            </w:r>
          </w:p>
        </w:tc>
      </w:tr>
      <w:tr>
        <w:trPr>
          <w:cantSplit w:val="true"/>
        </w:trPr>
        <w:tc>
          <w:tcPr>
            <w:tcW w:type="dxa" w:w="578"/>
          </w:tcPr>
          <w:p>
            <w:pPr>
              <w:spacing w:after="20"/>
            </w:pPr>
            <w:r/>
            <w:r>
              <w:rPr>
                <w:rFonts w:ascii="Times New Roman" w:hAnsi="Times New Roman" w:eastAsia="宋体"/>
                <w:b w:val="0"/>
                <w:i w:val="0"/>
                <w:sz w:val="17"/>
              </w:rPr>
              <w:t>10</w:t>
            </w:r>
          </w:p>
        </w:tc>
        <w:tc>
          <w:tcPr>
            <w:tcW w:type="dxa" w:w="3435"/>
          </w:tcPr>
          <w:p>
            <w:pPr>
              <w:spacing w:after="20"/>
            </w:pPr>
            <w:r/>
            <w:r>
              <w:rPr>
                <w:rFonts w:ascii="Times New Roman" w:hAnsi="Times New Roman" w:eastAsia="宋体"/>
                <w:b w:val="0"/>
                <w:i w:val="0"/>
                <w:sz w:val="17"/>
              </w:rPr>
              <w:t>skill_gap_summary</w:t>
            </w:r>
          </w:p>
        </w:tc>
        <w:tc>
          <w:tcPr>
            <w:tcW w:type="dxa" w:w="3798"/>
          </w:tcPr>
          <w:p>
            <w:pPr>
              <w:spacing w:after="20"/>
            </w:pPr>
            <w:r/>
            <w:r>
              <w:rPr>
                <w:rFonts w:ascii="Times New Roman" w:hAnsi="Times New Roman" w:eastAsia="宋体"/>
                <w:b w:val="0"/>
                <w:i w:val="0"/>
                <w:sz w:val="17"/>
              </w:rPr>
              <w:t>未达岗位要求的技能清单及等级差，由后端汇总</w:t>
            </w:r>
          </w:p>
        </w:tc>
        <w:tc>
          <w:tcPr>
            <w:tcW w:type="dxa" w:w="1189"/>
          </w:tcPr>
          <w:p>
            <w:pPr>
              <w:spacing w:after="20"/>
            </w:pPr>
            <w:r/>
            <w:r>
              <w:rPr>
                <w:rFonts w:ascii="Times New Roman" w:hAnsi="Times New Roman" w:eastAsia="宋体"/>
                <w:b w:val="0"/>
                <w:i w:val="0"/>
                <w:sz w:val="17"/>
              </w:rPr>
              <w:t>限定差距项范围</w:t>
            </w:r>
          </w:p>
        </w:tc>
      </w:tr>
    </w:tbl>
    <w:p>
      <w:pPr>
        <w:spacing w:after="40"/>
      </w:pPr>
    </w:p>
    <w:p>
      <w:pPr>
        <w:ind w:firstLine="420"/>
        <w:jc w:val="both"/>
      </w:pPr>
      <w:r>
        <w:rPr>
          <w:rFonts w:ascii="Times New Roman" w:hAnsi="Times New Roman" w:eastAsia="宋体"/>
          <w:b w:val="0"/>
          <w:i w:val="0"/>
          <w:sz w:val="21"/>
        </w:rPr>
        <w:t>对员工 i 与能力项 k，岗位差距与未来需求差距如式（4）与式（5）所示：</w:t>
      </w:r>
    </w:p>
    <w:p>
      <w:pPr>
        <w:spacing w:before="120" w:after="120"/>
        <w:jc w:val="center"/>
      </w:pPr>
      <m:oMathPara>
        <m:oMath>
          <m:r>
            <m:rPr/>
            <w:t xml:space="preserve">s</w:t>
          </m:r>
          <m:sSup>
            <m:e>
              <m:r>
                <m:rPr/>
                <w:t xml:space="preserve"/>
              </m:r>
            </m:e>
            <m:sup>
              <m:r>
                <m:rPr>
                  <m:sty m:val="p"/>
                </m:rPr>
                <w:t xml:space="preserve">*</w:t>
              </m:r>
            </m:sup>
          </m:sSup>
          <m:r>
            <m:rPr>
              <m:sty m:val="p"/>
            </m:rPr>
            <w:t xml:space="preserve"> = </w:t>
          </m:r>
          <m:r>
            <m:rPr/>
            <w:t xml:space="preserve">s</w:t>
          </m:r>
          <m:sSub>
            <m:e>
              <m:r>
                <m:rPr/>
                <w:t xml:space="preserve"/>
              </m:r>
            </m:e>
            <m:sub>
              <m:r>
                <m:rPr>
                  <m:sty m:val="p"/>
                </m:rPr>
                <w:t xml:space="preserve">j</w:t>
              </m:r>
            </m:sub>
          </m:sSub>
          <m:r>
            <m:rPr>
              <m:sty m:val="p"/>
            </m:rPr>
            <w:t xml:space="preserve">,   j = arg max</w:t>
          </m:r>
          <m:sSub>
            <m:e>
              <m:r>
                <m:rPr/>
                <w:t xml:space="preserve"/>
              </m:r>
            </m:e>
            <m:sub>
              <m:r>
                <m:rPr>
                  <m:sty m:val="p"/>
                </m:rPr>
                <w:t xml:space="preserve">h ∈ H</w:t>
              </m:r>
            </m:sub>
          </m:sSub>
          <m:r>
            <m:rPr>
              <m:sty m:val="p"/>
            </m:rPr>
            <w:t xml:space="preserve"> rank(</w:t>
          </m:r>
          <m:r>
            <m:rPr/>
            <w:t xml:space="preserve">s</w:t>
          </m:r>
          <m:sSub>
            <m:e>
              <m:r>
                <m:rPr/>
                <w:t xml:space="preserve"/>
              </m:r>
            </m:e>
            <m:sub>
              <m:r>
                <m:rPr>
                  <m:sty m:val="p"/>
                </m:rPr>
                <w:t xml:space="preserve">h</w:t>
              </m:r>
            </m:sub>
          </m:sSub>
          <m:r>
            <m:rPr>
              <m:sty m:val="p"/>
            </m:rPr>
            <w:t xml:space="preserve">)</w:t>
          </m:r>
        </m:oMath>
      </m:oMathPara>
      <w:r>
        <w:rPr>
          <w:rFonts w:ascii="Times New Roman" w:hAnsi="Times New Roman" w:eastAsia="宋体"/>
          <w:b w:val="0"/>
          <w:i w:val="0"/>
          <w:sz w:val="21"/>
        </w:rPr>
        <w:tab/>
        <w:t>（4）</w:t>
      </w:r>
    </w:p>
    <w:p>
      <w:pPr>
        <w:spacing w:before="120" w:after="120"/>
        <w:jc w:val="center"/>
      </w:pPr>
      <m:oMathPara>
        <m:oMath>
          <m:r>
            <m:rPr/>
            <w:t xml:space="preserve">y</w:t>
          </m:r>
          <m:r>
            <m:rPr>
              <m:sty m:val="p"/>
            </m:rPr>
            <w:t xml:space="preserve"> = </w:t>
          </m:r>
          <m:r>
            <m:rPr/>
            <w:t xml:space="preserve">f</w:t>
          </m:r>
          <m:sSub>
            <m:e>
              <m:r>
                <m:rPr/>
                <w:t xml:space="preserve"/>
              </m:r>
            </m:e>
            <m:sub>
              <m:r>
                <m:rPr>
                  <m:sty m:val="p"/>
                </m:rPr>
                <w:t xml:space="preserve">model</w:t>
              </m:r>
            </m:sub>
          </m:sSub>
          <m:r>
            <m:rPr>
              <m:sty m:val="p"/>
            </m:rPr>
            <w:t xml:space="preserve">(</w:t>
          </m:r>
          <m:r>
            <m:rPr/>
            <w:t xml:space="preserve">x</w:t>
          </m:r>
          <m:r>
            <m:rPr>
              <m:sty m:val="p"/>
            </m:rPr>
            <w:t xml:space="preserve">)  if </w:t>
          </m:r>
          <m:r>
            <m:rPr/>
            <w:t xml:space="preserve">Valid</w:t>
          </m:r>
          <m:r>
            <m:rPr>
              <m:sty m:val="p"/>
            </m:rPr>
            <w:t xml:space="preserve">(</w:t>
          </m:r>
          <m:r>
            <m:rPr/>
            <w:t xml:space="preserve">x</w:t>
          </m:r>
          <m:r>
            <m:rPr>
              <m:sty m:val="p"/>
            </m:rPr>
            <w:t xml:space="preserve">) = true;   </w:t>
          </m:r>
          <m:r>
            <m:rPr/>
            <w:t xml:space="preserve">f</w:t>
          </m:r>
          <m:sSub>
            <m:e>
              <m:r>
                <m:rPr/>
                <w:t xml:space="preserve"/>
              </m:r>
            </m:e>
            <m:sub>
              <m:r>
                <m:rPr>
                  <m:sty m:val="p"/>
                </m:rPr>
                <w:t xml:space="preserve">rule</w:t>
              </m:r>
            </m:sub>
          </m:sSub>
          <m:r>
            <m:rPr>
              <m:sty m:val="p"/>
            </m:rPr>
            <w:t xml:space="preserve">(</w:t>
          </m:r>
          <m:r>
            <m:rPr/>
            <w:t xml:space="preserve">x</w:t>
          </m:r>
          <m:r>
            <m:rPr>
              <m:sty m:val="p"/>
            </m:rPr>
            <w:t xml:space="preserve">)  otherwise</w:t>
          </m:r>
        </m:oMath>
      </m:oMathPara>
      <w:r>
        <w:rPr>
          <w:rFonts w:ascii="Times New Roman" w:hAnsi="Times New Roman" w:eastAsia="宋体"/>
          <w:b w:val="0"/>
          <w:i w:val="0"/>
          <w:sz w:val="21"/>
        </w:rPr>
        <w:tab/>
        <w:t>（5）</w:t>
      </w:r>
    </w:p>
    <w:p>
      <w:pPr>
        <w:ind w:firstLine="420"/>
        <w:jc w:val="both"/>
      </w:pPr>
      <w:r>
        <w:rPr>
          <w:rFonts w:ascii="Times New Roman" w:hAnsi="Times New Roman" w:eastAsia="宋体"/>
          <w:b w:val="0"/>
          <w:i w:val="0"/>
          <w:sz w:val="21"/>
        </w:rPr>
        <w:t>其中 R 为岗位要求等级，D 为规划要求的未来等级，S 为已展现等级，三者不可混用。补强优先级在两类差距之外，另将考试、实操、证书与安全四项归一化偏差纳入，见式（6）：</w:t>
      </w:r>
    </w:p>
    <w:p>
      <w:pPr>
        <w:spacing w:before="120" w:after="120"/>
        <w:jc w:val="center"/>
      </w:pPr>
      <m:oMathPara>
        <m:oMath>
          <m:r>
            <m:rPr/>
            <w:t xml:space="preserve">ρ</w:t>
          </m:r>
          <m:r>
            <m:rPr>
              <m:sty m:val="p"/>
            </m:rPr>
            <w:t xml:space="preserve"> = </w:t>
          </m:r>
          <m:f>
            <m:num>
              <m:r>
                <m:rPr/>
                <w:t xml:space="preserve">u</w:t>
              </m:r>
              <m:r>
                <m:rPr>
                  <m:sty m:val="p"/>
                </m:rPr>
                <w:t xml:space="preserve"> − </w:t>
              </m:r>
              <m:r>
                <m:rPr/>
                <w:t xml:space="preserve">u</w:t>
              </m:r>
              <m:sSub>
                <m:e>
                  <m:r>
                    <m:rPr/>
                    <w:t xml:space="preserve"/>
                  </m:r>
                </m:e>
                <m:sub>
                  <m:r>
                    <m:rPr>
                      <m:sty m:val="p"/>
                    </m:rPr>
                    <w:t xml:space="preserve">0</w:t>
                  </m:r>
                </m:sub>
              </m:sSub>
            </m:num>
            <m:den>
              <m:r>
                <m:rPr/>
                <w:t xml:space="preserve">u</w:t>
              </m:r>
              <m:sSub>
                <m:e>
                  <m:r>
                    <m:rPr/>
                    <w:t xml:space="preserve"/>
                  </m:r>
                </m:e>
                <m:sub>
                  <m:r>
                    <m:rPr>
                      <m:sty m:val="p"/>
                    </m:rPr>
                    <w:t xml:space="preserve">max</w:t>
                  </m:r>
                </m:sub>
              </m:sSub>
              <m:r>
                <m:rPr>
                  <m:sty m:val="p"/>
                </m:rPr>
                <w:t xml:space="preserve"> − </w:t>
              </m:r>
              <m:r>
                <m:rPr/>
                <w:t xml:space="preserve">u</w:t>
              </m:r>
              <m:sSub>
                <m:e>
                  <m:r>
                    <m:rPr/>
                    <w:t xml:space="preserve"/>
                  </m:r>
                </m:e>
                <m:sub>
                  <m:r>
                    <m:rPr>
                      <m:sty m:val="p"/>
                    </m:rPr>
                    <w:t xml:space="preserve">0</w:t>
                  </m:r>
                </m:sub>
              </m:sSub>
            </m:den>
          </m:f>
        </m:oMath>
      </m:oMathPara>
      <w:r>
        <w:rPr>
          <w:rFonts w:ascii="Times New Roman" w:hAnsi="Times New Roman" w:eastAsia="宋体"/>
          <w:b w:val="0"/>
          <w:i w:val="0"/>
          <w:sz w:val="21"/>
        </w:rPr>
        <w:tab/>
        <w:t>（6）</w:t>
      </w:r>
    </w:p>
    <w:p>
      <w:pPr>
        <w:ind w:firstLine="420"/>
        <w:jc w:val="both"/>
      </w:pPr>
      <w:r>
        <w:rPr>
          <w:rFonts w:ascii="Times New Roman" w:hAnsi="Times New Roman" w:eastAsia="宋体"/>
          <w:b w:val="0"/>
          <w:i w:val="0"/>
          <w:sz w:val="21"/>
        </w:rPr>
        <w:t>再按式（7）映射为三个档位：</w:t>
      </w:r>
    </w:p>
    <w:p>
      <w:pPr>
        <w:spacing w:before="120" w:after="120"/>
        <w:jc w:val="center"/>
      </w:pPr>
      <m:oMathPara>
        <m:oMath>
          <m:r>
            <m:rPr/>
            <w:t xml:space="preserve">G</w:t>
          </m:r>
          <m:sSub>
            <m:e>
              <m:r>
                <m:rPr/>
                <w:t xml:space="preserve"/>
              </m:r>
            </m:e>
            <m:sub>
              <m:r>
                <m:rPr/>
                <w:t xml:space="preserve">i</w:t>
              </m:r>
              <m:r>
                <m:rPr>
                  <m:sty m:val="p"/>
                </m:rPr>
                <w:t xml:space="preserve">,</w:t>
              </m:r>
              <m:r>
                <m:rPr/>
                <w:t xml:space="preserve">k</w:t>
              </m:r>
            </m:sub>
          </m:sSub>
          <m:r>
            <m:rPr>
              <m:sty m:val="p"/>
            </m:rPr>
            <w:t xml:space="preserve"> = max(0, </w:t>
          </m:r>
          <m:r>
            <m:rPr/>
            <w:t xml:space="preserve">R</w:t>
          </m:r>
          <m:sSub>
            <m:e>
              <m:r>
                <m:rPr/>
                <w:t xml:space="preserve"/>
              </m:r>
            </m:e>
            <m:sub>
              <m:r>
                <m:rPr/>
                <w:t xml:space="preserve">i</w:t>
              </m:r>
              <m:r>
                <m:rPr>
                  <m:sty m:val="p"/>
                </m:rPr>
                <w:t xml:space="preserve">,</w:t>
              </m:r>
              <m:r>
                <m:rPr/>
                <w:t xml:space="preserve">k</w:t>
              </m:r>
            </m:sub>
          </m:sSub>
          <m:r>
            <m:rPr>
              <m:sty m:val="p"/>
            </m:rPr>
            <w:t xml:space="preserve"> − </w:t>
          </m:r>
          <m:r>
            <m:rPr/>
            <w:t xml:space="preserve">S</w:t>
          </m:r>
          <m:sSub>
            <m:e>
              <m:r>
                <m:rPr/>
                <w:t xml:space="preserve"/>
              </m:r>
            </m:e>
            <m:sub>
              <m:r>
                <m:rPr/>
                <w:t xml:space="preserve">i</w:t>
              </m:r>
              <m:r>
                <m:rPr>
                  <m:sty m:val="p"/>
                </m:rPr>
                <w:t xml:space="preserve">,</w:t>
              </m:r>
              <m:r>
                <m:rPr/>
                <w:t xml:space="preserve">k</w:t>
              </m:r>
            </m:sub>
          </m:sSub>
          <m:r>
            <m:rPr>
              <m:sty m:val="p"/>
            </m:rPr>
            <w:t xml:space="preserve">)</w:t>
          </m:r>
        </m:oMath>
      </m:oMathPara>
      <w:r>
        <w:rPr>
          <w:rFonts w:ascii="Times New Roman" w:hAnsi="Times New Roman" w:eastAsia="宋体"/>
          <w:b w:val="0"/>
          <w:i w:val="0"/>
          <w:sz w:val="21"/>
        </w:rPr>
        <w:tab/>
        <w:t>（7）</w:t>
      </w:r>
    </w:p>
    <w:p>
      <w:pPr>
        <w:ind w:firstLine="420"/>
        <w:jc w:val="both"/>
      </w:pPr>
      <w:r>
        <w:rPr>
          <w:rFonts w:ascii="Times New Roman" w:hAnsi="Times New Roman" w:eastAsia="宋体"/>
          <w:b w:val="0"/>
          <w:i w:val="0"/>
          <w:sz w:val="21"/>
        </w:rPr>
        <w:t>前端据此渲染为 P1、P2、P3。权重与阈值属于配置项，若某单位更重视证书有效期或安全暴露度，修改配置即可生效，无需改动代码。符号与取值范围见表 11。</w:t>
      </w:r>
    </w:p>
    <w:p>
      <w:pPr>
        <w:spacing w:before="160" w:after="40"/>
        <w:jc w:val="center"/>
      </w:pPr>
      <w:r>
        <w:rPr>
          <w:rFonts w:ascii="Times New Roman" w:hAnsi="Times New Roman" w:eastAsia="宋体"/>
          <w:b/>
          <w:i w:val="0"/>
          <w:sz w:val="18"/>
        </w:rPr>
        <w:t xml:space="preserve">表 11　</w:t>
      </w:r>
      <w:r>
        <w:rPr>
          <w:rFonts w:ascii="Times New Roman" w:hAnsi="Times New Roman" w:eastAsia="宋体"/>
          <w:b w:val="0"/>
          <w:i w:val="0"/>
          <w:sz w:val="18"/>
        </w:rPr>
        <w:t>符号说明。等级一律采用国家职业技能等级 L1–L5 的整数序号。</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2503"/>
        <w:gridCol w:w="5535"/>
        <w:gridCol w:w="963"/>
      </w:tblGrid>
      <w:tr>
        <w:trPr>
          <w:tblHeader w:val="true"/>
          <w:cantSplit w:val="true"/>
        </w:trPr>
        <w:tc>
          <w:tcPr>
            <w:tcW w:type="dxa" w:w="2503"/>
          </w:tcPr>
          <w:p>
            <w:pPr>
              <w:spacing w:after="20"/>
              <w:jc w:val="center"/>
            </w:pPr>
            <w:r/>
            <w:r>
              <w:rPr>
                <w:rFonts w:ascii="Times New Roman" w:hAnsi="Times New Roman" w:eastAsia="宋体"/>
                <w:b/>
                <w:i w:val="0"/>
                <w:sz w:val="17"/>
              </w:rPr>
              <w:t>符号</w:t>
            </w:r>
          </w:p>
        </w:tc>
        <w:tc>
          <w:tcPr>
            <w:tcW w:type="dxa" w:w="5535"/>
          </w:tcPr>
          <w:p>
            <w:pPr>
              <w:spacing w:after="20"/>
              <w:jc w:val="center"/>
            </w:pPr>
            <w:r/>
            <w:r>
              <w:rPr>
                <w:rFonts w:ascii="Times New Roman" w:hAnsi="Times New Roman" w:eastAsia="宋体"/>
                <w:b/>
                <w:i w:val="0"/>
                <w:sz w:val="17"/>
              </w:rPr>
              <w:t>含义</w:t>
            </w:r>
          </w:p>
        </w:tc>
        <w:tc>
          <w:tcPr>
            <w:tcW w:type="dxa" w:w="963"/>
          </w:tcPr>
          <w:p>
            <w:pPr>
              <w:spacing w:after="20"/>
              <w:jc w:val="center"/>
            </w:pPr>
            <w:r/>
            <w:r>
              <w:rPr>
                <w:rFonts w:ascii="Times New Roman" w:hAnsi="Times New Roman" w:eastAsia="宋体"/>
                <w:b/>
                <w:i w:val="0"/>
                <w:sz w:val="17"/>
              </w:rPr>
              <w:t>取值范围</w:t>
            </w:r>
          </w:p>
        </w:tc>
      </w:tr>
      <w:tr>
        <w:trPr>
          <w:cantSplit w:val="true"/>
        </w:trPr>
        <w:tc>
          <w:tcPr>
            <w:tcW w:type="dxa" w:w="2503"/>
          </w:tcPr>
          <w:p>
            <w:pPr>
              <w:spacing w:after="20"/>
            </w:pPr>
            <w:r/>
            <w:r>
              <w:rPr>
                <w:rFonts w:ascii="Times New Roman" w:hAnsi="Times New Roman" w:eastAsia="宋体"/>
                <w:b w:val="0"/>
                <w:i w:val="0"/>
                <w:sz w:val="17"/>
              </w:rPr>
              <w:t>i, k</w:t>
            </w:r>
          </w:p>
        </w:tc>
        <w:tc>
          <w:tcPr>
            <w:tcW w:type="dxa" w:w="5535"/>
          </w:tcPr>
          <w:p>
            <w:pPr>
              <w:spacing w:after="20"/>
            </w:pPr>
            <w:r/>
            <w:r>
              <w:rPr>
                <w:rFonts w:ascii="Times New Roman" w:hAnsi="Times New Roman" w:eastAsia="宋体"/>
                <w:b w:val="0"/>
                <w:i w:val="0"/>
                <w:sz w:val="17"/>
              </w:rPr>
              <w:t>员工索引、能力项索引</w:t>
            </w:r>
          </w:p>
        </w:tc>
        <w:tc>
          <w:tcPr>
            <w:tcW w:type="dxa" w:w="963"/>
          </w:tcPr>
          <w:p>
            <w:pPr>
              <w:spacing w:after="20"/>
            </w:pPr>
            <w:r/>
            <w:r>
              <w:rPr>
                <w:rFonts w:ascii="Times New Roman" w:hAnsi="Times New Roman" w:eastAsia="宋体"/>
                <w:b w:val="0"/>
                <w:i w:val="0"/>
                <w:sz w:val="17"/>
              </w:rPr>
              <w:t>—</w:t>
            </w:r>
          </w:p>
        </w:tc>
      </w:tr>
      <w:tr>
        <w:trPr>
          <w:cantSplit w:val="true"/>
        </w:trPr>
        <w:tc>
          <w:tcPr>
            <w:tcW w:type="dxa" w:w="2503"/>
          </w:tcPr>
          <w:p>
            <w:pPr>
              <w:spacing w:after="20"/>
            </w:pPr>
            <w:r/>
            <w:r>
              <w:rPr>
                <w:rFonts w:ascii="Times New Roman" w:hAnsi="Times New Roman" w:eastAsia="宋体"/>
                <w:b w:val="0"/>
                <w:i w:val="0"/>
                <w:sz w:val="17"/>
              </w:rPr>
              <w:t>R(i,k)</w:t>
            </w:r>
          </w:p>
        </w:tc>
        <w:tc>
          <w:tcPr>
            <w:tcW w:type="dxa" w:w="5535"/>
          </w:tcPr>
          <w:p>
            <w:pPr>
              <w:spacing w:after="20"/>
            </w:pPr>
            <w:r/>
            <w:r>
              <w:rPr>
                <w:rFonts w:ascii="Times New Roman" w:hAnsi="Times New Roman" w:eastAsia="宋体"/>
                <w:b w:val="0"/>
                <w:i w:val="0"/>
                <w:sz w:val="17"/>
              </w:rPr>
              <w:t>岗位要求等级</w:t>
            </w:r>
          </w:p>
        </w:tc>
        <w:tc>
          <w:tcPr>
            <w:tcW w:type="dxa" w:w="963"/>
          </w:tcPr>
          <w:p>
            <w:pPr>
              <w:spacing w:after="20"/>
            </w:pPr>
            <w:r/>
            <w:r>
              <w:rPr>
                <w:rFonts w:ascii="Times New Roman" w:hAnsi="Times New Roman" w:eastAsia="宋体"/>
                <w:b w:val="0"/>
                <w:i w:val="0"/>
                <w:sz w:val="17"/>
              </w:rPr>
              <w:t>1–5</w:t>
            </w:r>
          </w:p>
        </w:tc>
      </w:tr>
      <w:tr>
        <w:trPr>
          <w:cantSplit w:val="true"/>
        </w:trPr>
        <w:tc>
          <w:tcPr>
            <w:tcW w:type="dxa" w:w="2503"/>
          </w:tcPr>
          <w:p>
            <w:pPr>
              <w:spacing w:after="20"/>
            </w:pPr>
            <w:r/>
            <w:r>
              <w:rPr>
                <w:rFonts w:ascii="Times New Roman" w:hAnsi="Times New Roman" w:eastAsia="宋体"/>
                <w:b w:val="0"/>
                <w:i w:val="0"/>
                <w:sz w:val="17"/>
              </w:rPr>
              <w:t>D(i,k)</w:t>
            </w:r>
          </w:p>
        </w:tc>
        <w:tc>
          <w:tcPr>
            <w:tcW w:type="dxa" w:w="5535"/>
          </w:tcPr>
          <w:p>
            <w:pPr>
              <w:spacing w:after="20"/>
            </w:pPr>
            <w:r/>
            <w:r>
              <w:rPr>
                <w:rFonts w:ascii="Times New Roman" w:hAnsi="Times New Roman" w:eastAsia="宋体"/>
                <w:b w:val="0"/>
                <w:i w:val="0"/>
                <w:sz w:val="17"/>
              </w:rPr>
              <w:t>规划要求的未来等级</w:t>
            </w:r>
          </w:p>
        </w:tc>
        <w:tc>
          <w:tcPr>
            <w:tcW w:type="dxa" w:w="963"/>
          </w:tcPr>
          <w:p>
            <w:pPr>
              <w:spacing w:after="20"/>
            </w:pPr>
            <w:r/>
            <w:r>
              <w:rPr>
                <w:rFonts w:ascii="Times New Roman" w:hAnsi="Times New Roman" w:eastAsia="宋体"/>
                <w:b w:val="0"/>
                <w:i w:val="0"/>
                <w:sz w:val="17"/>
              </w:rPr>
              <w:t>1–5</w:t>
            </w:r>
          </w:p>
        </w:tc>
      </w:tr>
      <w:tr>
        <w:trPr>
          <w:cantSplit w:val="true"/>
        </w:trPr>
        <w:tc>
          <w:tcPr>
            <w:tcW w:type="dxa" w:w="2503"/>
          </w:tcPr>
          <w:p>
            <w:pPr>
              <w:spacing w:after="20"/>
            </w:pPr>
            <w:r/>
            <w:r>
              <w:rPr>
                <w:rFonts w:ascii="Times New Roman" w:hAnsi="Times New Roman" w:eastAsia="宋体"/>
                <w:b w:val="0"/>
                <w:i w:val="0"/>
                <w:sz w:val="17"/>
              </w:rPr>
              <w:t>S(i,k)</w:t>
            </w:r>
          </w:p>
        </w:tc>
        <w:tc>
          <w:tcPr>
            <w:tcW w:type="dxa" w:w="5535"/>
          </w:tcPr>
          <w:p>
            <w:pPr>
              <w:spacing w:after="20"/>
            </w:pPr>
            <w:r/>
            <w:r>
              <w:rPr>
                <w:rFonts w:ascii="Times New Roman" w:hAnsi="Times New Roman" w:eastAsia="宋体"/>
                <w:b w:val="0"/>
                <w:i w:val="0"/>
                <w:sz w:val="17"/>
              </w:rPr>
              <w:t>已展现等级</w:t>
            </w:r>
          </w:p>
        </w:tc>
        <w:tc>
          <w:tcPr>
            <w:tcW w:type="dxa" w:w="963"/>
          </w:tcPr>
          <w:p>
            <w:pPr>
              <w:spacing w:after="20"/>
            </w:pPr>
            <w:r/>
            <w:r>
              <w:rPr>
                <w:rFonts w:ascii="Times New Roman" w:hAnsi="Times New Roman" w:eastAsia="宋体"/>
                <w:b w:val="0"/>
                <w:i w:val="0"/>
                <w:sz w:val="17"/>
              </w:rPr>
              <w:t>1–5</w:t>
            </w:r>
          </w:p>
        </w:tc>
      </w:tr>
      <w:tr>
        <w:trPr>
          <w:cantSplit w:val="true"/>
        </w:trPr>
        <w:tc>
          <w:tcPr>
            <w:tcW w:type="dxa" w:w="2503"/>
          </w:tcPr>
          <w:p>
            <w:pPr>
              <w:spacing w:after="20"/>
            </w:pPr>
            <w:r/>
            <w:r>
              <w:rPr>
                <w:rFonts w:ascii="Times New Roman" w:hAnsi="Times New Roman" w:eastAsia="宋体"/>
                <w:b w:val="0"/>
                <w:i w:val="0"/>
                <w:sz w:val="17"/>
              </w:rPr>
              <w:t>G(i,k)、F(i,k)</w:t>
            </w:r>
          </w:p>
        </w:tc>
        <w:tc>
          <w:tcPr>
            <w:tcW w:type="dxa" w:w="5535"/>
          </w:tcPr>
          <w:p>
            <w:pPr>
              <w:spacing w:after="20"/>
            </w:pPr>
            <w:r/>
            <w:r>
              <w:rPr>
                <w:rFonts w:ascii="Times New Roman" w:hAnsi="Times New Roman" w:eastAsia="宋体"/>
                <w:b w:val="0"/>
                <w:i w:val="0"/>
                <w:sz w:val="17"/>
              </w:rPr>
              <w:t>岗位差距、未来需求差距</w:t>
            </w:r>
          </w:p>
        </w:tc>
        <w:tc>
          <w:tcPr>
            <w:tcW w:type="dxa" w:w="963"/>
          </w:tcPr>
          <w:p>
            <w:pPr>
              <w:spacing w:after="20"/>
            </w:pPr>
            <w:r/>
            <w:r>
              <w:rPr>
                <w:rFonts w:ascii="Times New Roman" w:hAnsi="Times New Roman" w:eastAsia="宋体"/>
                <w:b w:val="0"/>
                <w:i w:val="0"/>
                <w:sz w:val="17"/>
              </w:rPr>
              <w:t>0–4</w:t>
            </w:r>
          </w:p>
        </w:tc>
      </w:tr>
      <w:tr>
        <w:trPr>
          <w:cantSplit w:val="true"/>
        </w:trPr>
        <w:tc>
          <w:tcPr>
            <w:tcW w:type="dxa" w:w="2503"/>
          </w:tcPr>
          <w:p>
            <w:pPr>
              <w:spacing w:after="20"/>
            </w:pPr>
            <w:r/>
            <w:r>
              <w:rPr>
                <w:rFonts w:ascii="Times New Roman" w:hAnsi="Times New Roman" w:eastAsia="宋体"/>
                <w:b w:val="0"/>
                <w:i w:val="0"/>
                <w:sz w:val="17"/>
              </w:rPr>
              <w:t>E、Q、C、A</w:t>
            </w:r>
          </w:p>
        </w:tc>
        <w:tc>
          <w:tcPr>
            <w:tcW w:type="dxa" w:w="5535"/>
          </w:tcPr>
          <w:p>
            <w:pPr>
              <w:spacing w:after="20"/>
            </w:pPr>
            <w:r/>
            <w:r>
              <w:rPr>
                <w:rFonts w:ascii="Times New Roman" w:hAnsi="Times New Roman" w:eastAsia="宋体"/>
                <w:b w:val="0"/>
                <w:i w:val="0"/>
                <w:sz w:val="17"/>
              </w:rPr>
              <w:t>考试、实操、证书、安全四项归一化偏差</w:t>
            </w:r>
          </w:p>
        </w:tc>
        <w:tc>
          <w:tcPr>
            <w:tcW w:type="dxa" w:w="963"/>
          </w:tcPr>
          <w:p>
            <w:pPr>
              <w:spacing w:after="20"/>
            </w:pPr>
            <w:r/>
            <w:r>
              <w:rPr>
                <w:rFonts w:ascii="Times New Roman" w:hAnsi="Times New Roman" w:eastAsia="宋体"/>
                <w:b w:val="0"/>
                <w:i w:val="0"/>
                <w:sz w:val="17"/>
              </w:rPr>
              <w:t>0–1</w:t>
            </w:r>
          </w:p>
        </w:tc>
      </w:tr>
      <w:tr>
        <w:trPr>
          <w:cantSplit w:val="true"/>
        </w:trPr>
        <w:tc>
          <w:tcPr>
            <w:tcW w:type="dxa" w:w="2503"/>
          </w:tcPr>
          <w:p>
            <w:pPr>
              <w:spacing w:after="20"/>
            </w:pPr>
            <w:r/>
            <w:r>
              <w:rPr>
                <w:rFonts w:ascii="Times New Roman" w:hAnsi="Times New Roman" w:eastAsia="宋体"/>
                <w:b w:val="0"/>
                <w:i w:val="0"/>
                <w:sz w:val="17"/>
              </w:rPr>
              <w:t>Pr(i,k)</w:t>
            </w:r>
          </w:p>
        </w:tc>
        <w:tc>
          <w:tcPr>
            <w:tcW w:type="dxa" w:w="5535"/>
          </w:tcPr>
          <w:p>
            <w:pPr>
              <w:spacing w:after="20"/>
            </w:pPr>
            <w:r/>
            <w:r>
              <w:rPr>
                <w:rFonts w:ascii="Times New Roman" w:hAnsi="Times New Roman" w:eastAsia="宋体"/>
                <w:b w:val="0"/>
                <w:i w:val="0"/>
                <w:sz w:val="17"/>
              </w:rPr>
              <w:t>补强优先级得分</w:t>
            </w:r>
          </w:p>
        </w:tc>
        <w:tc>
          <w:tcPr>
            <w:tcW w:type="dxa" w:w="963"/>
          </w:tcPr>
          <w:p>
            <w:pPr>
              <w:spacing w:after="20"/>
            </w:pPr>
            <w:r/>
            <w:r>
              <w:rPr>
                <w:rFonts w:ascii="Times New Roman" w:hAnsi="Times New Roman" w:eastAsia="宋体"/>
                <w:b w:val="0"/>
                <w:i w:val="0"/>
                <w:sz w:val="17"/>
              </w:rPr>
              <w:t>0–1</w:t>
            </w:r>
          </w:p>
        </w:tc>
      </w:tr>
      <w:tr>
        <w:trPr>
          <w:cantSplit w:val="true"/>
        </w:trPr>
        <w:tc>
          <w:tcPr>
            <w:tcW w:type="dxa" w:w="2503"/>
          </w:tcPr>
          <w:p>
            <w:pPr>
              <w:spacing w:after="20"/>
            </w:pPr>
            <w:r/>
            <w:r>
              <w:rPr>
                <w:rFonts w:ascii="Times New Roman" w:hAnsi="Times New Roman" w:eastAsia="宋体"/>
                <w:b w:val="0"/>
                <w:i w:val="0"/>
                <w:sz w:val="17"/>
              </w:rPr>
              <w:t>w₁–w₆</w:t>
            </w:r>
          </w:p>
        </w:tc>
        <w:tc>
          <w:tcPr>
            <w:tcW w:type="dxa" w:w="5535"/>
          </w:tcPr>
          <w:p>
            <w:pPr>
              <w:spacing w:after="20"/>
            </w:pPr>
            <w:r/>
            <w:r>
              <w:rPr>
                <w:rFonts w:ascii="Times New Roman" w:hAnsi="Times New Roman" w:eastAsia="宋体"/>
                <w:b w:val="0"/>
                <w:i w:val="0"/>
                <w:sz w:val="17"/>
              </w:rPr>
              <w:t>六项权重，配置项</w:t>
            </w:r>
          </w:p>
        </w:tc>
        <w:tc>
          <w:tcPr>
            <w:tcW w:type="dxa" w:w="963"/>
          </w:tcPr>
          <w:p>
            <w:pPr>
              <w:spacing w:after="20"/>
            </w:pPr>
            <w:r/>
            <w:r>
              <w:rPr>
                <w:rFonts w:ascii="Times New Roman" w:hAnsi="Times New Roman" w:eastAsia="宋体"/>
                <w:b w:val="0"/>
                <w:i w:val="0"/>
                <w:sz w:val="17"/>
              </w:rPr>
              <w:t>—</w:t>
            </w:r>
          </w:p>
        </w:tc>
      </w:tr>
      <w:tr>
        <w:trPr>
          <w:cantSplit w:val="true"/>
        </w:trPr>
        <w:tc>
          <w:tcPr>
            <w:tcW w:type="dxa" w:w="2503"/>
          </w:tcPr>
          <w:p>
            <w:pPr>
              <w:spacing w:after="20"/>
            </w:pPr>
            <w:r/>
            <w:r>
              <w:rPr>
                <w:rFonts w:ascii="Times New Roman" w:hAnsi="Times New Roman" w:eastAsia="宋体"/>
                <w:b w:val="0"/>
                <w:i w:val="0"/>
                <w:sz w:val="17"/>
              </w:rPr>
              <w:t>θ₁、θ₂</w:t>
            </w:r>
          </w:p>
        </w:tc>
        <w:tc>
          <w:tcPr>
            <w:tcW w:type="dxa" w:w="5535"/>
          </w:tcPr>
          <w:p>
            <w:pPr>
              <w:spacing w:after="20"/>
            </w:pPr>
            <w:r/>
            <w:r>
              <w:rPr>
                <w:rFonts w:ascii="Times New Roman" w:hAnsi="Times New Roman" w:eastAsia="宋体"/>
                <w:b w:val="0"/>
                <w:i w:val="0"/>
                <w:sz w:val="17"/>
              </w:rPr>
              <w:t>分档阈值，θ₁ &gt; θ₂</w:t>
            </w:r>
          </w:p>
        </w:tc>
        <w:tc>
          <w:tcPr>
            <w:tcW w:type="dxa" w:w="963"/>
          </w:tcPr>
          <w:p>
            <w:pPr>
              <w:spacing w:after="20"/>
            </w:pPr>
            <w:r/>
            <w:r>
              <w:rPr>
                <w:rFonts w:ascii="Times New Roman" w:hAnsi="Times New Roman" w:eastAsia="宋体"/>
                <w:b w:val="0"/>
                <w:i w:val="0"/>
                <w:sz w:val="17"/>
              </w:rPr>
              <w:t>配置项</w:t>
            </w:r>
          </w:p>
        </w:tc>
      </w:tr>
      <w:tr>
        <w:trPr>
          <w:cantSplit w:val="true"/>
        </w:trPr>
        <w:tc>
          <w:tcPr>
            <w:tcW w:type="dxa" w:w="2503"/>
          </w:tcPr>
          <w:p>
            <w:pPr>
              <w:spacing w:after="20"/>
            </w:pPr>
            <w:r/>
            <w:r>
              <w:rPr>
                <w:rFonts w:ascii="Times New Roman" w:hAnsi="Times New Roman" w:eastAsia="宋体"/>
                <w:b w:val="0"/>
                <w:i w:val="0"/>
                <w:sz w:val="17"/>
              </w:rPr>
              <w:t>u、u₀、u_max</w:t>
            </w:r>
          </w:p>
        </w:tc>
        <w:tc>
          <w:tcPr>
            <w:tcW w:type="dxa" w:w="5535"/>
          </w:tcPr>
          <w:p>
            <w:pPr>
              <w:spacing w:after="20"/>
            </w:pPr>
            <w:r/>
            <w:r>
              <w:rPr>
                <w:rFonts w:ascii="Times New Roman" w:hAnsi="Times New Roman" w:eastAsia="宋体"/>
                <w:b w:val="0"/>
                <w:i w:val="0"/>
                <w:sz w:val="17"/>
              </w:rPr>
              <w:t>检测值、报警阈值、仪器量程上限</w:t>
            </w:r>
          </w:p>
        </w:tc>
        <w:tc>
          <w:tcPr>
            <w:tcW w:type="dxa" w:w="963"/>
          </w:tcPr>
          <w:p>
            <w:pPr>
              <w:spacing w:after="20"/>
            </w:pPr>
            <w:r/>
            <w:r>
              <w:rPr>
                <w:rFonts w:ascii="Times New Roman" w:hAnsi="Times New Roman" w:eastAsia="宋体"/>
                <w:b w:val="0"/>
                <w:i w:val="0"/>
                <w:sz w:val="17"/>
              </w:rPr>
              <w:t>同量纲</w:t>
            </w:r>
          </w:p>
        </w:tc>
      </w:tr>
      <w:tr>
        <w:trPr>
          <w:cantSplit w:val="true"/>
        </w:trPr>
        <w:tc>
          <w:tcPr>
            <w:tcW w:type="dxa" w:w="2503"/>
          </w:tcPr>
          <w:p>
            <w:pPr>
              <w:spacing w:after="20"/>
            </w:pPr>
            <w:r/>
            <w:r>
              <w:rPr>
                <w:rFonts w:ascii="Times New Roman" w:hAnsi="Times New Roman" w:eastAsia="宋体"/>
                <w:b w:val="0"/>
                <w:i w:val="0"/>
                <w:sz w:val="17"/>
              </w:rPr>
              <w:t>ρ</w:t>
            </w:r>
          </w:p>
        </w:tc>
        <w:tc>
          <w:tcPr>
            <w:tcW w:type="dxa" w:w="5535"/>
          </w:tcPr>
          <w:p>
            <w:pPr>
              <w:spacing w:after="20"/>
            </w:pPr>
            <w:r/>
            <w:r>
              <w:rPr>
                <w:rFonts w:ascii="Times New Roman" w:hAnsi="Times New Roman" w:eastAsia="宋体"/>
                <w:b w:val="0"/>
                <w:i w:val="0"/>
                <w:sz w:val="17"/>
              </w:rPr>
              <w:t>余量比</w:t>
            </w:r>
          </w:p>
        </w:tc>
        <w:tc>
          <w:tcPr>
            <w:tcW w:type="dxa" w:w="963"/>
          </w:tcPr>
          <w:p>
            <w:pPr>
              <w:spacing w:after="20"/>
            </w:pPr>
            <w:r/>
            <w:r>
              <w:rPr>
                <w:rFonts w:ascii="Times New Roman" w:hAnsi="Times New Roman" w:eastAsia="宋体"/>
                <w:b w:val="0"/>
                <w:i w:val="0"/>
                <w:sz w:val="17"/>
              </w:rPr>
              <w:t>见式（3）</w:t>
            </w:r>
          </w:p>
        </w:tc>
      </w:tr>
      <w:tr>
        <w:trPr>
          <w:cantSplit w:val="true"/>
        </w:trPr>
        <w:tc>
          <w:tcPr>
            <w:tcW w:type="dxa" w:w="2503"/>
          </w:tcPr>
          <w:p>
            <w:pPr>
              <w:spacing w:after="20"/>
            </w:pPr>
            <w:r/>
            <w:r>
              <w:rPr>
                <w:rFonts w:ascii="Times New Roman" w:hAnsi="Times New Roman" w:eastAsia="宋体"/>
                <w:b w:val="0"/>
                <w:i w:val="0"/>
                <w:sz w:val="17"/>
              </w:rPr>
              <w:t>H、s_h</w:t>
            </w:r>
          </w:p>
        </w:tc>
        <w:tc>
          <w:tcPr>
            <w:tcW w:type="dxa" w:w="5535"/>
          </w:tcPr>
          <w:p>
            <w:pPr>
              <w:spacing w:after="20"/>
            </w:pPr>
            <w:r/>
            <w:r>
              <w:rPr>
                <w:rFonts w:ascii="Times New Roman" w:hAnsi="Times New Roman" w:eastAsia="宋体"/>
                <w:b w:val="0"/>
                <w:i w:val="0"/>
                <w:sz w:val="17"/>
              </w:rPr>
              <w:t>命中集合、第 h 条命中的严重度</w:t>
            </w:r>
          </w:p>
        </w:tc>
        <w:tc>
          <w:tcPr>
            <w:tcW w:type="dxa" w:w="963"/>
          </w:tcPr>
          <w:p>
            <w:pPr>
              <w:spacing w:after="20"/>
            </w:pPr>
            <w:r/>
            <w:r>
              <w:rPr>
                <w:rFonts w:ascii="Times New Roman" w:hAnsi="Times New Roman" w:eastAsia="宋体"/>
                <w:b w:val="0"/>
                <w:i w:val="0"/>
                <w:sz w:val="17"/>
              </w:rPr>
              <w:t>—</w:t>
            </w:r>
          </w:p>
        </w:tc>
      </w:tr>
      <w:tr>
        <w:trPr>
          <w:cantSplit w:val="true"/>
        </w:trPr>
        <w:tc>
          <w:tcPr>
            <w:tcW w:type="dxa" w:w="2503"/>
          </w:tcPr>
          <w:p>
            <w:pPr>
              <w:spacing w:after="20"/>
            </w:pPr>
            <w:r/>
            <w:r>
              <w:rPr>
                <w:rFonts w:ascii="Times New Roman" w:hAnsi="Times New Roman" w:eastAsia="宋体"/>
                <w:b w:val="0"/>
                <w:i w:val="0"/>
                <w:sz w:val="17"/>
              </w:rPr>
              <w:t>rank(·)</w:t>
            </w:r>
          </w:p>
        </w:tc>
        <w:tc>
          <w:tcPr>
            <w:tcW w:type="dxa" w:w="5535"/>
          </w:tcPr>
          <w:p>
            <w:pPr>
              <w:spacing w:after="20"/>
            </w:pPr>
            <w:r/>
            <w:r>
              <w:rPr>
                <w:rFonts w:ascii="Times New Roman" w:hAnsi="Times New Roman" w:eastAsia="宋体"/>
                <w:b w:val="0"/>
                <w:i w:val="0"/>
                <w:sz w:val="17"/>
              </w:rPr>
              <w:t>严重度序，rank(低) &lt; rank(中) &lt; rank(高)</w:t>
            </w:r>
          </w:p>
        </w:tc>
        <w:tc>
          <w:tcPr>
            <w:tcW w:type="dxa" w:w="963"/>
          </w:tcPr>
          <w:p>
            <w:pPr>
              <w:spacing w:after="20"/>
            </w:pPr>
            <w:r/>
            <w:r>
              <w:rPr>
                <w:rFonts w:ascii="Times New Roman" w:hAnsi="Times New Roman" w:eastAsia="宋体"/>
                <w:b w:val="0"/>
                <w:i w:val="0"/>
                <w:sz w:val="17"/>
              </w:rPr>
              <w:t>1–3</w:t>
            </w:r>
          </w:p>
        </w:tc>
      </w:tr>
      <w:tr>
        <w:trPr>
          <w:cantSplit w:val="true"/>
        </w:trPr>
        <w:tc>
          <w:tcPr>
            <w:tcW w:type="dxa" w:w="2503"/>
          </w:tcPr>
          <w:p>
            <w:pPr>
              <w:spacing w:after="20"/>
            </w:pPr>
            <w:r/>
            <w:r>
              <w:rPr>
                <w:rFonts w:ascii="Times New Roman" w:hAnsi="Times New Roman" w:eastAsia="宋体"/>
                <w:b w:val="0"/>
                <w:i w:val="0"/>
                <w:sz w:val="17"/>
              </w:rPr>
              <w:t>C</w:t>
            </w:r>
          </w:p>
        </w:tc>
        <w:tc>
          <w:tcPr>
            <w:tcW w:type="dxa" w:w="5535"/>
          </w:tcPr>
          <w:p>
            <w:pPr>
              <w:spacing w:after="20"/>
            </w:pPr>
            <w:r/>
            <w:r>
              <w:rPr>
                <w:rFonts w:ascii="Times New Roman" w:hAnsi="Times New Roman" w:eastAsia="宋体"/>
                <w:b w:val="0"/>
                <w:i w:val="0"/>
                <w:sz w:val="17"/>
              </w:rPr>
              <w:t>档案覆盖率</w:t>
            </w:r>
          </w:p>
        </w:tc>
        <w:tc>
          <w:tcPr>
            <w:tcW w:type="dxa" w:w="963"/>
          </w:tcPr>
          <w:p>
            <w:pPr>
              <w:spacing w:after="20"/>
            </w:pPr>
            <w:r/>
            <w:r>
              <w:rPr>
                <w:rFonts w:ascii="Times New Roman" w:hAnsi="Times New Roman" w:eastAsia="宋体"/>
                <w:b w:val="0"/>
                <w:i w:val="0"/>
                <w:sz w:val="17"/>
              </w:rPr>
              <w:t>[0,1]</w:t>
            </w:r>
          </w:p>
        </w:tc>
      </w:tr>
    </w:tbl>
    <w:p>
      <w:pPr>
        <w:spacing w:after="40"/>
      </w:pPr>
    </w:p>
    <w:p>
      <w:pPr>
        <w:spacing w:before="200" w:after="80"/>
      </w:pPr>
      <w:r>
        <w:rPr>
          <w:rFonts w:ascii="Times New Roman" w:hAnsi="Times New Roman" w:eastAsia="黑体"/>
          <w:b/>
          <w:i w:val="0"/>
          <w:sz w:val="21"/>
        </w:rPr>
        <w:t>4.3　输出契约</w:t>
      </w:r>
    </w:p>
    <w:p>
      <w:pPr>
        <w:ind w:firstLine="420"/>
        <w:jc w:val="both"/>
      </w:pPr>
      <w:r>
        <w:rPr>
          <w:rFonts w:ascii="Times New Roman" w:hAnsi="Times New Roman" w:eastAsia="宋体"/>
          <w:b w:val="0"/>
          <w:i w:val="0"/>
          <w:sz w:val="21"/>
        </w:rPr>
        <w:t>模型须按六键契约输出（表 12），诊断编号、时间、来源标签、证据条数与人工确认标志均由后端补写。该分工是四重校验的前提：结构由代码负责，模型只写叙述字段，校验边界因而明确。若出现事实清单之外的数值，校验不改结论，只记入 unverified_numbers 并把置信度限制在 0.6 以下。</w:t>
      </w:r>
    </w:p>
    <w:p>
      <w:pPr>
        <w:spacing w:before="160" w:after="40"/>
        <w:jc w:val="center"/>
      </w:pPr>
      <w:r>
        <w:rPr>
          <w:rFonts w:ascii="Times New Roman" w:hAnsi="Times New Roman" w:eastAsia="宋体"/>
          <w:b/>
          <w:i w:val="0"/>
          <w:sz w:val="18"/>
        </w:rPr>
        <w:t xml:space="preserve">表 12　</w:t>
      </w:r>
      <w:r>
        <w:rPr>
          <w:rFonts w:ascii="Times New Roman" w:hAnsi="Times New Roman" w:eastAsia="宋体"/>
          <w:b w:val="0"/>
          <w:i w:val="0"/>
          <w:sz w:val="18"/>
        </w:rPr>
        <w:t>个人诊断的六键输出契约。其余字段由后端补写，模型不参与生成。</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3136"/>
        <w:gridCol w:w="655"/>
        <w:gridCol w:w="3136"/>
        <w:gridCol w:w="2073"/>
      </w:tblGrid>
      <w:tr>
        <w:trPr>
          <w:tblHeader w:val="true"/>
          <w:cantSplit w:val="true"/>
        </w:trPr>
        <w:tc>
          <w:tcPr>
            <w:tcW w:type="dxa" w:w="3136"/>
          </w:tcPr>
          <w:p>
            <w:pPr>
              <w:spacing w:after="20"/>
              <w:jc w:val="center"/>
            </w:pPr>
            <w:r/>
            <w:r>
              <w:rPr>
                <w:rFonts w:ascii="Times New Roman" w:hAnsi="Times New Roman" w:eastAsia="宋体"/>
                <w:b/>
                <w:i w:val="0"/>
                <w:sz w:val="17"/>
              </w:rPr>
              <w:t>字段</w:t>
            </w:r>
          </w:p>
        </w:tc>
        <w:tc>
          <w:tcPr>
            <w:tcW w:type="dxa" w:w="655"/>
          </w:tcPr>
          <w:p>
            <w:pPr>
              <w:spacing w:after="20"/>
              <w:jc w:val="center"/>
            </w:pPr>
            <w:r/>
            <w:r>
              <w:rPr>
                <w:rFonts w:ascii="Times New Roman" w:hAnsi="Times New Roman" w:eastAsia="宋体"/>
                <w:b/>
                <w:i w:val="0"/>
                <w:sz w:val="17"/>
              </w:rPr>
              <w:t>类型</w:t>
            </w:r>
          </w:p>
        </w:tc>
        <w:tc>
          <w:tcPr>
            <w:tcW w:type="dxa" w:w="3136"/>
          </w:tcPr>
          <w:p>
            <w:pPr>
              <w:spacing w:after="20"/>
              <w:jc w:val="center"/>
            </w:pPr>
            <w:r/>
            <w:r>
              <w:rPr>
                <w:rFonts w:ascii="Times New Roman" w:hAnsi="Times New Roman" w:eastAsia="宋体"/>
                <w:b/>
                <w:i w:val="0"/>
                <w:sz w:val="17"/>
              </w:rPr>
              <w:t>约束与枚举</w:t>
            </w:r>
          </w:p>
        </w:tc>
        <w:tc>
          <w:tcPr>
            <w:tcW w:type="dxa" w:w="2073"/>
          </w:tcPr>
          <w:p>
            <w:pPr>
              <w:spacing w:after="20"/>
              <w:jc w:val="center"/>
            </w:pPr>
            <w:r/>
            <w:r>
              <w:rPr>
                <w:rFonts w:ascii="Times New Roman" w:hAnsi="Times New Roman" w:eastAsia="宋体"/>
                <w:b/>
                <w:i w:val="0"/>
                <w:sz w:val="17"/>
              </w:rPr>
              <w:t>生成方</w:t>
            </w:r>
          </w:p>
        </w:tc>
      </w:tr>
      <w:tr>
        <w:trPr>
          <w:cantSplit w:val="true"/>
        </w:trPr>
        <w:tc>
          <w:tcPr>
            <w:tcW w:type="dxa" w:w="3136"/>
          </w:tcPr>
          <w:p>
            <w:pPr>
              <w:spacing w:after="20"/>
            </w:pPr>
            <w:r/>
            <w:r>
              <w:rPr>
                <w:rFonts w:ascii="Times New Roman" w:hAnsi="Times New Roman" w:eastAsia="宋体"/>
                <w:b w:val="0"/>
                <w:i w:val="0"/>
                <w:sz w:val="17"/>
              </w:rPr>
              <w:t>summary</w:t>
            </w:r>
          </w:p>
        </w:tc>
        <w:tc>
          <w:tcPr>
            <w:tcW w:type="dxa" w:w="655"/>
          </w:tcPr>
          <w:p>
            <w:pPr>
              <w:spacing w:after="20"/>
            </w:pPr>
            <w:r/>
            <w:r>
              <w:rPr>
                <w:rFonts w:ascii="Times New Roman" w:hAnsi="Times New Roman" w:eastAsia="宋体"/>
                <w:b w:val="0"/>
                <w:i w:val="0"/>
                <w:sz w:val="17"/>
              </w:rPr>
              <w:t>string</w:t>
            </w:r>
          </w:p>
        </w:tc>
        <w:tc>
          <w:tcPr>
            <w:tcW w:type="dxa" w:w="3136"/>
          </w:tcPr>
          <w:p>
            <w:pPr>
              <w:spacing w:after="20"/>
            </w:pPr>
            <w:r/>
            <w:r>
              <w:rPr>
                <w:rFonts w:ascii="Times New Roman" w:hAnsi="Times New Roman" w:eastAsia="宋体"/>
                <w:b w:val="0"/>
                <w:i w:val="0"/>
                <w:sz w:val="17"/>
              </w:rPr>
              <w:t>非空；先陈述优势或已持证项，再陈述主要差距与改进方向</w:t>
            </w:r>
          </w:p>
        </w:tc>
        <w:tc>
          <w:tcPr>
            <w:tcW w:type="dxa" w:w="2073"/>
          </w:tcPr>
          <w:p>
            <w:pPr>
              <w:spacing w:after="20"/>
            </w:pPr>
            <w:r/>
            <w:r>
              <w:rPr>
                <w:rFonts w:ascii="Times New Roman" w:hAnsi="Times New Roman" w:eastAsia="宋体"/>
                <w:b w:val="0"/>
                <w:i w:val="0"/>
                <w:sz w:val="17"/>
              </w:rPr>
              <w:t>模型</w:t>
            </w:r>
          </w:p>
        </w:tc>
      </w:tr>
      <w:tr>
        <w:trPr>
          <w:cantSplit w:val="true"/>
        </w:trPr>
        <w:tc>
          <w:tcPr>
            <w:tcW w:type="dxa" w:w="3136"/>
          </w:tcPr>
          <w:p>
            <w:pPr>
              <w:spacing w:after="20"/>
            </w:pPr>
            <w:r/>
            <w:r>
              <w:rPr>
                <w:rFonts w:ascii="Times New Roman" w:hAnsi="Times New Roman" w:eastAsia="宋体"/>
                <w:b w:val="0"/>
                <w:i w:val="0"/>
                <w:sz w:val="17"/>
              </w:rPr>
              <w:t>confidence</w:t>
            </w:r>
          </w:p>
        </w:tc>
        <w:tc>
          <w:tcPr>
            <w:tcW w:type="dxa" w:w="655"/>
          </w:tcPr>
          <w:p>
            <w:pPr>
              <w:spacing w:after="20"/>
            </w:pPr>
            <w:r/>
            <w:r>
              <w:rPr>
                <w:rFonts w:ascii="Times New Roman" w:hAnsi="Times New Roman" w:eastAsia="宋体"/>
                <w:b w:val="0"/>
                <w:i w:val="0"/>
                <w:sz w:val="17"/>
              </w:rPr>
              <w:t>number</w:t>
            </w:r>
          </w:p>
        </w:tc>
        <w:tc>
          <w:tcPr>
            <w:tcW w:type="dxa" w:w="3136"/>
          </w:tcPr>
          <w:p>
            <w:pPr>
              <w:spacing w:after="20"/>
            </w:pPr>
            <w:r/>
            <w:r>
              <w:rPr>
                <w:rFonts w:ascii="Times New Roman" w:hAnsi="Times New Roman" w:eastAsia="宋体"/>
                <w:b w:val="0"/>
                <w:i w:val="0"/>
                <w:sz w:val="17"/>
              </w:rPr>
              <w:t>取值 [0,1]；出现无出处数值时限制在 0.6 以下</w:t>
            </w:r>
          </w:p>
        </w:tc>
        <w:tc>
          <w:tcPr>
            <w:tcW w:type="dxa" w:w="2073"/>
          </w:tcPr>
          <w:p>
            <w:pPr>
              <w:spacing w:after="20"/>
            </w:pPr>
            <w:r/>
            <w:r>
              <w:rPr>
                <w:rFonts w:ascii="Times New Roman" w:hAnsi="Times New Roman" w:eastAsia="宋体"/>
                <w:b w:val="0"/>
                <w:i w:val="0"/>
                <w:sz w:val="17"/>
              </w:rPr>
              <w:t>模型与后端</w:t>
            </w:r>
          </w:p>
        </w:tc>
      </w:tr>
      <w:tr>
        <w:trPr>
          <w:cantSplit w:val="true"/>
        </w:trPr>
        <w:tc>
          <w:tcPr>
            <w:tcW w:type="dxa" w:w="3136"/>
          </w:tcPr>
          <w:p>
            <w:pPr>
              <w:spacing w:after="20"/>
            </w:pPr>
            <w:r/>
            <w:r>
              <w:rPr>
                <w:rFonts w:ascii="Times New Roman" w:hAnsi="Times New Roman" w:eastAsia="宋体"/>
                <w:b w:val="0"/>
                <w:i w:val="0"/>
                <w:sz w:val="17"/>
              </w:rPr>
              <w:t>verdict</w:t>
            </w:r>
          </w:p>
        </w:tc>
        <w:tc>
          <w:tcPr>
            <w:tcW w:type="dxa" w:w="655"/>
          </w:tcPr>
          <w:p>
            <w:pPr>
              <w:spacing w:after="20"/>
            </w:pPr>
            <w:r/>
            <w:r>
              <w:rPr>
                <w:rFonts w:ascii="Times New Roman" w:hAnsi="Times New Roman" w:eastAsia="宋体"/>
                <w:b w:val="0"/>
                <w:i w:val="0"/>
                <w:sz w:val="17"/>
              </w:rPr>
              <w:t>object</w:t>
            </w:r>
          </w:p>
        </w:tc>
        <w:tc>
          <w:tcPr>
            <w:tcW w:type="dxa" w:w="3136"/>
          </w:tcPr>
          <w:p>
            <w:pPr>
              <w:spacing w:after="20"/>
            </w:pPr>
            <w:r/>
            <w:r>
              <w:rPr>
                <w:rFonts w:ascii="Times New Roman" w:hAnsi="Times New Roman" w:eastAsia="宋体"/>
                <w:b w:val="0"/>
                <w:i w:val="0"/>
                <w:sz w:val="17"/>
              </w:rPr>
              <w:t>headline 非空；reasons 至少一条，每条须标注事实编号</w:t>
            </w:r>
          </w:p>
        </w:tc>
        <w:tc>
          <w:tcPr>
            <w:tcW w:type="dxa" w:w="2073"/>
          </w:tcPr>
          <w:p>
            <w:pPr>
              <w:spacing w:after="20"/>
            </w:pPr>
            <w:r/>
            <w:r>
              <w:rPr>
                <w:rFonts w:ascii="Times New Roman" w:hAnsi="Times New Roman" w:eastAsia="宋体"/>
                <w:b w:val="0"/>
                <w:i w:val="0"/>
                <w:sz w:val="17"/>
              </w:rPr>
              <w:t>模型</w:t>
            </w:r>
          </w:p>
        </w:tc>
      </w:tr>
      <w:tr>
        <w:trPr>
          <w:cantSplit w:val="true"/>
        </w:trPr>
        <w:tc>
          <w:tcPr>
            <w:tcW w:type="dxa" w:w="3136"/>
          </w:tcPr>
          <w:p>
            <w:pPr>
              <w:spacing w:after="20"/>
            </w:pPr>
            <w:r/>
            <w:r>
              <w:rPr>
                <w:rFonts w:ascii="Times New Roman" w:hAnsi="Times New Roman" w:eastAsia="宋体"/>
                <w:b w:val="0"/>
                <w:i w:val="0"/>
                <w:sz w:val="17"/>
              </w:rPr>
              <w:t>gaps</w:t>
            </w:r>
          </w:p>
        </w:tc>
        <w:tc>
          <w:tcPr>
            <w:tcW w:type="dxa" w:w="655"/>
          </w:tcPr>
          <w:p>
            <w:pPr>
              <w:spacing w:after="20"/>
            </w:pPr>
            <w:r/>
            <w:r>
              <w:rPr>
                <w:rFonts w:ascii="Times New Roman" w:hAnsi="Times New Roman" w:eastAsia="宋体"/>
                <w:b w:val="0"/>
                <w:i w:val="0"/>
                <w:sz w:val="17"/>
              </w:rPr>
              <w:t>array</w:t>
            </w:r>
          </w:p>
        </w:tc>
        <w:tc>
          <w:tcPr>
            <w:tcW w:type="dxa" w:w="3136"/>
          </w:tcPr>
          <w:p>
            <w:pPr>
              <w:spacing w:after="20"/>
            </w:pPr>
            <w:r/>
            <w:r>
              <w:rPr>
                <w:rFonts w:ascii="Times New Roman" w:hAnsi="Times New Roman" w:eastAsia="宋体"/>
                <w:b w:val="0"/>
                <w:i w:val="0"/>
                <w:sz w:val="17"/>
              </w:rPr>
              <w:t>至少一项；含 skill、current、required、future、severity、priority、impact、action；severity 取 HIGH、MEDIUM、LOW；priority 取 P1、P2、P3；等级取 1–5；技能名不得重复</w:t>
            </w:r>
          </w:p>
        </w:tc>
        <w:tc>
          <w:tcPr>
            <w:tcW w:type="dxa" w:w="2073"/>
          </w:tcPr>
          <w:p>
            <w:pPr>
              <w:spacing w:after="20"/>
            </w:pPr>
            <w:r/>
            <w:r>
              <w:rPr>
                <w:rFonts w:ascii="Times New Roman" w:hAnsi="Times New Roman" w:eastAsia="宋体"/>
                <w:b w:val="0"/>
                <w:i w:val="0"/>
                <w:sz w:val="17"/>
              </w:rPr>
              <w:t>模型，等级与优先级由后端按雷达数据覆盖</w:t>
            </w:r>
          </w:p>
        </w:tc>
      </w:tr>
      <w:tr>
        <w:trPr>
          <w:cantSplit w:val="true"/>
        </w:trPr>
        <w:tc>
          <w:tcPr>
            <w:tcW w:type="dxa" w:w="3136"/>
          </w:tcPr>
          <w:p>
            <w:pPr>
              <w:spacing w:after="20"/>
            </w:pPr>
            <w:r/>
            <w:r>
              <w:rPr>
                <w:rFonts w:ascii="Times New Roman" w:hAnsi="Times New Roman" w:eastAsia="宋体"/>
                <w:b w:val="0"/>
                <w:i w:val="0"/>
                <w:sz w:val="17"/>
              </w:rPr>
              <w:t>plan</w:t>
            </w:r>
          </w:p>
        </w:tc>
        <w:tc>
          <w:tcPr>
            <w:tcW w:type="dxa" w:w="655"/>
          </w:tcPr>
          <w:p>
            <w:pPr>
              <w:spacing w:after="20"/>
            </w:pPr>
            <w:r/>
            <w:r>
              <w:rPr>
                <w:rFonts w:ascii="Times New Roman" w:hAnsi="Times New Roman" w:eastAsia="宋体"/>
                <w:b w:val="0"/>
                <w:i w:val="0"/>
                <w:sz w:val="17"/>
              </w:rPr>
              <w:t>array</w:t>
            </w:r>
          </w:p>
        </w:tc>
        <w:tc>
          <w:tcPr>
            <w:tcW w:type="dxa" w:w="3136"/>
          </w:tcPr>
          <w:p>
            <w:pPr>
              <w:spacing w:after="20"/>
            </w:pPr>
            <w:r/>
            <w:r>
              <w:rPr>
                <w:rFonts w:ascii="Times New Roman" w:hAnsi="Times New Roman" w:eastAsia="宋体"/>
                <w:b w:val="0"/>
                <w:i w:val="0"/>
                <w:sz w:val="17"/>
              </w:rPr>
              <w:t>至少一步；step 递增；kind 取课程、带教、模拟考；to_level 形如 L2；due_at 为 YYYY-MM-DD 且晚于当前日期</w:t>
            </w:r>
          </w:p>
        </w:tc>
        <w:tc>
          <w:tcPr>
            <w:tcW w:type="dxa" w:w="2073"/>
          </w:tcPr>
          <w:p>
            <w:pPr>
              <w:spacing w:after="20"/>
            </w:pPr>
            <w:r/>
            <w:r>
              <w:rPr>
                <w:rFonts w:ascii="Times New Roman" w:hAnsi="Times New Roman" w:eastAsia="宋体"/>
                <w:b w:val="0"/>
                <w:i w:val="0"/>
                <w:sz w:val="17"/>
              </w:rPr>
              <w:t>模型</w:t>
            </w:r>
          </w:p>
        </w:tc>
      </w:tr>
      <w:tr>
        <w:trPr>
          <w:cantSplit w:val="true"/>
        </w:trPr>
        <w:tc>
          <w:tcPr>
            <w:tcW w:type="dxa" w:w="3136"/>
          </w:tcPr>
          <w:p>
            <w:pPr>
              <w:spacing w:after="20"/>
            </w:pPr>
            <w:r/>
            <w:r>
              <w:rPr>
                <w:rFonts w:ascii="Times New Roman" w:hAnsi="Times New Roman" w:eastAsia="宋体"/>
                <w:b w:val="0"/>
                <w:i w:val="0"/>
                <w:sz w:val="17"/>
              </w:rPr>
              <w:t>compound_path</w:t>
            </w:r>
          </w:p>
        </w:tc>
        <w:tc>
          <w:tcPr>
            <w:tcW w:type="dxa" w:w="655"/>
          </w:tcPr>
          <w:p>
            <w:pPr>
              <w:spacing w:after="20"/>
            </w:pPr>
            <w:r/>
            <w:r>
              <w:rPr>
                <w:rFonts w:ascii="Times New Roman" w:hAnsi="Times New Roman" w:eastAsia="宋体"/>
                <w:b w:val="0"/>
                <w:i w:val="0"/>
                <w:sz w:val="17"/>
              </w:rPr>
              <w:t>object</w:t>
            </w:r>
          </w:p>
        </w:tc>
        <w:tc>
          <w:tcPr>
            <w:tcW w:type="dxa" w:w="3136"/>
          </w:tcPr>
          <w:p>
            <w:pPr>
              <w:spacing w:after="20"/>
            </w:pPr>
            <w:r/>
            <w:r>
              <w:rPr>
                <w:rFonts w:ascii="Times New Roman" w:hAnsi="Times New Roman" w:eastAsia="宋体"/>
                <w:b w:val="0"/>
                <w:i w:val="0"/>
                <w:sz w:val="17"/>
              </w:rPr>
              <w:t>title、why、benefit 非空；stages 至少一个，含 phase、focus、skills、milestone</w:t>
            </w:r>
          </w:p>
        </w:tc>
        <w:tc>
          <w:tcPr>
            <w:tcW w:type="dxa" w:w="2073"/>
          </w:tcPr>
          <w:p>
            <w:pPr>
              <w:spacing w:after="20"/>
            </w:pPr>
            <w:r/>
            <w:r>
              <w:rPr>
                <w:rFonts w:ascii="Times New Roman" w:hAnsi="Times New Roman" w:eastAsia="宋体"/>
                <w:b w:val="0"/>
                <w:i w:val="0"/>
                <w:sz w:val="17"/>
              </w:rPr>
              <w:t>模型</w:t>
            </w:r>
          </w:p>
        </w:tc>
      </w:tr>
      <w:tr>
        <w:trPr>
          <w:cantSplit w:val="true"/>
        </w:trPr>
        <w:tc>
          <w:tcPr>
            <w:tcW w:type="dxa" w:w="3136"/>
          </w:tcPr>
          <w:p>
            <w:pPr>
              <w:spacing w:after="20"/>
            </w:pPr>
            <w:r/>
            <w:r>
              <w:rPr>
                <w:rFonts w:ascii="Times New Roman" w:hAnsi="Times New Roman" w:eastAsia="宋体"/>
                <w:b w:val="0"/>
                <w:i w:val="0"/>
                <w:sz w:val="17"/>
              </w:rPr>
              <w:t>diagnosis_id、ran_at、source、source_label、evidence_count、need_human_confirm、fallback_note、unverified_numbers</w:t>
            </w:r>
          </w:p>
        </w:tc>
        <w:tc>
          <w:tcPr>
            <w:tcW w:type="dxa" w:w="655"/>
          </w:tcPr>
          <w:p>
            <w:pPr>
              <w:spacing w:after="20"/>
            </w:pPr>
            <w:r/>
            <w:r>
              <w:rPr>
                <w:rFonts w:ascii="Times New Roman" w:hAnsi="Times New Roman" w:eastAsia="宋体"/>
                <w:b w:val="0"/>
                <w:i w:val="0"/>
                <w:sz w:val="17"/>
              </w:rPr>
              <w:t>—</w:t>
            </w:r>
          </w:p>
        </w:tc>
        <w:tc>
          <w:tcPr>
            <w:tcW w:type="dxa" w:w="3136"/>
          </w:tcPr>
          <w:p>
            <w:pPr>
              <w:spacing w:after="20"/>
            </w:pPr>
            <w:r/>
            <w:r>
              <w:rPr>
                <w:rFonts w:ascii="Times New Roman" w:hAnsi="Times New Roman" w:eastAsia="宋体"/>
                <w:b w:val="0"/>
                <w:i w:val="0"/>
                <w:sz w:val="17"/>
              </w:rPr>
              <w:t>编号形如 DIA-YYYYMMDD-NNN；source 取 rule 或 model；need_human_confirm 恒为 true</w:t>
            </w:r>
          </w:p>
        </w:tc>
        <w:tc>
          <w:tcPr>
            <w:tcW w:type="dxa" w:w="2073"/>
          </w:tcPr>
          <w:p>
            <w:pPr>
              <w:spacing w:after="20"/>
            </w:pPr>
            <w:r/>
            <w:r>
              <w:rPr>
                <w:rFonts w:ascii="Times New Roman" w:hAnsi="Times New Roman" w:eastAsia="宋体"/>
                <w:b w:val="0"/>
                <w:i w:val="0"/>
                <w:sz w:val="17"/>
              </w:rPr>
              <w:t>后端</w:t>
            </w:r>
          </w:p>
        </w:tc>
      </w:tr>
    </w:tbl>
    <w:p>
      <w:pPr>
        <w:spacing w:after="40"/>
      </w:pPr>
    </w:p>
    <w:p>
      <w:pPr>
        <w:spacing w:before="200" w:after="80"/>
      </w:pPr>
      <w:r>
        <w:rPr>
          <w:rFonts w:ascii="Times New Roman" w:hAnsi="Times New Roman" w:eastAsia="黑体"/>
          <w:b/>
          <w:i w:val="0"/>
          <w:sz w:val="21"/>
        </w:rPr>
        <w:t>4.4　语料构建与模型微调</w:t>
      </w:r>
    </w:p>
    <w:p>
      <w:pPr>
        <w:ind w:firstLine="420"/>
        <w:jc w:val="both"/>
      </w:pPr>
      <w:r>
        <w:rPr>
          <w:rFonts w:ascii="Times New Roman" w:hAnsi="Times New Roman" w:eastAsia="宋体"/>
          <w:b w:val="0"/>
          <w:i w:val="0"/>
          <w:sz w:val="21"/>
        </w:rPr>
        <w:t>第一版语料按「固定指令、档案散文、十一键目标输出」组织，共 150 条，接入线上服务时暴露三处不匹配。其一，提示词不同形：该版把档案按基本信息、考试成绩、师傅评价拼接，线上则是日期、事实清单、缺口清单与输出模板四段式。其二，契约不同形：线上为六键，该版为十一键，逐字段比对仅 gaps 同名，150 条目标答案全部无法通过校验。其三，答案不完整：答案中位数 1795 token，而首轮窗口为 1024，约 78% 的答案 token 被截断。</w:t>
      </w:r>
    </w:p>
    <w:p>
      <w:pPr>
        <w:ind w:firstLine="420"/>
        <w:jc w:val="both"/>
      </w:pPr>
      <w:r>
        <w:rPr>
          <w:rFonts w:ascii="Times New Roman" w:hAnsi="Times New Roman" w:eastAsia="宋体"/>
          <w:b w:val="0"/>
          <w:i w:val="0"/>
          <w:sz w:val="21"/>
        </w:rPr>
        <w:t>第二版重建为 500 条：生成器照后端源码逐字复刻四段式提示词，档案只作事实来源；每条样本重新采样事实组合，差距项为 1、2、3 项的样本分别 124、232、144 条，考试通过与安全负例均参与采样，覆盖 49 个岗位，提示词互不重复；契约、数值、规范与规则四类自检未通过的样本不入库。两版对照见表 13。</w:t>
      </w:r>
    </w:p>
    <w:p>
      <w:pPr>
        <w:spacing w:before="160" w:after="40"/>
        <w:jc w:val="center"/>
      </w:pPr>
      <w:r>
        <w:rPr>
          <w:rFonts w:ascii="Times New Roman" w:hAnsi="Times New Roman" w:eastAsia="宋体"/>
          <w:b/>
          <w:i w:val="0"/>
          <w:sz w:val="18"/>
        </w:rPr>
        <w:t xml:space="preserve">表 13　</w:t>
      </w:r>
      <w:r>
        <w:rPr>
          <w:rFonts w:ascii="Times New Roman" w:hAnsi="Times New Roman" w:eastAsia="宋体"/>
          <w:b w:val="0"/>
          <w:i w:val="0"/>
          <w:sz w:val="18"/>
        </w:rPr>
        <w:t>语料重建前后的契约对照。A 版语料与线上六键契约不匹配，无法直接用于微调。</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935"/>
        <w:gridCol w:w="3710"/>
        <w:gridCol w:w="3355"/>
      </w:tblGrid>
      <w:tr>
        <w:trPr>
          <w:tblHeader w:val="true"/>
          <w:cantSplit w:val="true"/>
        </w:trPr>
        <w:tc>
          <w:tcPr>
            <w:tcW w:type="dxa" w:w="1935"/>
          </w:tcPr>
          <w:p>
            <w:pPr>
              <w:spacing w:after="20"/>
              <w:jc w:val="center"/>
            </w:pPr>
            <w:r/>
            <w:r>
              <w:rPr>
                <w:rFonts w:ascii="Times New Roman" w:hAnsi="Times New Roman" w:eastAsia="宋体"/>
                <w:b/>
                <w:i w:val="0"/>
                <w:sz w:val="17"/>
              </w:rPr>
              <w:t>项目</w:t>
            </w:r>
          </w:p>
        </w:tc>
        <w:tc>
          <w:tcPr>
            <w:tcW w:type="dxa" w:w="3710"/>
          </w:tcPr>
          <w:p>
            <w:pPr>
              <w:spacing w:after="20"/>
              <w:jc w:val="center"/>
            </w:pPr>
            <w:r/>
            <w:r>
              <w:rPr>
                <w:rFonts w:ascii="Times New Roman" w:hAnsi="Times New Roman" w:eastAsia="宋体"/>
                <w:b/>
                <w:i w:val="0"/>
                <w:sz w:val="17"/>
              </w:rPr>
              <w:t>A 版</w:t>
            </w:r>
          </w:p>
        </w:tc>
        <w:tc>
          <w:tcPr>
            <w:tcW w:type="dxa" w:w="3355"/>
          </w:tcPr>
          <w:p>
            <w:pPr>
              <w:spacing w:after="20"/>
              <w:jc w:val="center"/>
            </w:pPr>
            <w:r/>
            <w:r>
              <w:rPr>
                <w:rFonts w:ascii="Times New Roman" w:hAnsi="Times New Roman" w:eastAsia="宋体"/>
                <w:b/>
                <w:i w:val="0"/>
                <w:sz w:val="17"/>
              </w:rPr>
              <w:t>B 版（本文采用）</w:t>
            </w:r>
          </w:p>
        </w:tc>
      </w:tr>
      <w:tr>
        <w:trPr>
          <w:cantSplit w:val="true"/>
        </w:trPr>
        <w:tc>
          <w:tcPr>
            <w:tcW w:type="dxa" w:w="1935"/>
          </w:tcPr>
          <w:p>
            <w:pPr>
              <w:spacing w:after="20"/>
            </w:pPr>
            <w:r/>
            <w:r>
              <w:rPr>
                <w:rFonts w:ascii="Times New Roman" w:hAnsi="Times New Roman" w:eastAsia="宋体"/>
                <w:b w:val="0"/>
                <w:i w:val="0"/>
                <w:sz w:val="17"/>
              </w:rPr>
              <w:t>样本数</w:t>
            </w:r>
          </w:p>
        </w:tc>
        <w:tc>
          <w:tcPr>
            <w:tcW w:type="dxa" w:w="3710"/>
          </w:tcPr>
          <w:p>
            <w:pPr>
              <w:spacing w:after="20"/>
            </w:pPr>
            <w:r/>
            <w:r>
              <w:rPr>
                <w:rFonts w:ascii="Times New Roman" w:hAnsi="Times New Roman" w:eastAsia="宋体"/>
                <w:b w:val="0"/>
                <w:i w:val="0"/>
                <w:sz w:val="17"/>
              </w:rPr>
              <w:t>150</w:t>
            </w:r>
          </w:p>
        </w:tc>
        <w:tc>
          <w:tcPr>
            <w:tcW w:type="dxa" w:w="3355"/>
          </w:tcPr>
          <w:p>
            <w:pPr>
              <w:spacing w:after="20"/>
            </w:pPr>
            <w:r/>
            <w:r>
              <w:rPr>
                <w:rFonts w:ascii="Times New Roman" w:hAnsi="Times New Roman" w:eastAsia="宋体"/>
                <w:b w:val="0"/>
                <w:i w:val="0"/>
                <w:sz w:val="17"/>
              </w:rPr>
              <w:t>500</w:t>
            </w:r>
          </w:p>
        </w:tc>
      </w:tr>
      <w:tr>
        <w:trPr>
          <w:cantSplit w:val="true"/>
        </w:trPr>
        <w:tc>
          <w:tcPr>
            <w:tcW w:type="dxa" w:w="1935"/>
          </w:tcPr>
          <w:p>
            <w:pPr>
              <w:spacing w:after="20"/>
            </w:pPr>
            <w:r/>
            <w:r>
              <w:rPr>
                <w:rFonts w:ascii="Times New Roman" w:hAnsi="Times New Roman" w:eastAsia="宋体"/>
                <w:b w:val="0"/>
                <w:i w:val="0"/>
                <w:sz w:val="17"/>
              </w:rPr>
              <w:t>输入形态</w:t>
            </w:r>
          </w:p>
        </w:tc>
        <w:tc>
          <w:tcPr>
            <w:tcW w:type="dxa" w:w="3710"/>
          </w:tcPr>
          <w:p>
            <w:pPr>
              <w:spacing w:after="20"/>
            </w:pPr>
            <w:r/>
            <w:r>
              <w:rPr>
                <w:rFonts w:ascii="Times New Roman" w:hAnsi="Times New Roman" w:eastAsia="宋体"/>
                <w:b w:val="0"/>
                <w:i w:val="0"/>
                <w:sz w:val="17"/>
              </w:rPr>
              <w:t>档案散文：基本信息、考试成绩、师傅评价分段拼接</w:t>
            </w:r>
          </w:p>
        </w:tc>
        <w:tc>
          <w:tcPr>
            <w:tcW w:type="dxa" w:w="3355"/>
          </w:tcPr>
          <w:p>
            <w:pPr>
              <w:spacing w:after="20"/>
            </w:pPr>
            <w:r/>
            <w:r>
              <w:rPr>
                <w:rFonts w:ascii="Times New Roman" w:hAnsi="Times New Roman" w:eastAsia="宋体"/>
                <w:b w:val="0"/>
                <w:i w:val="0"/>
                <w:sz w:val="17"/>
              </w:rPr>
              <w:t>与后端提示词同形：日期、事实清单、缺口清单、输出模板</w:t>
            </w:r>
          </w:p>
        </w:tc>
      </w:tr>
      <w:tr>
        <w:trPr>
          <w:cantSplit w:val="true"/>
        </w:trPr>
        <w:tc>
          <w:tcPr>
            <w:tcW w:type="dxa" w:w="1935"/>
          </w:tcPr>
          <w:p>
            <w:pPr>
              <w:spacing w:after="20"/>
            </w:pPr>
            <w:r/>
            <w:r>
              <w:rPr>
                <w:rFonts w:ascii="Times New Roman" w:hAnsi="Times New Roman" w:eastAsia="宋体"/>
                <w:b w:val="0"/>
                <w:i w:val="0"/>
                <w:sz w:val="17"/>
              </w:rPr>
              <w:t>事实编号</w:t>
            </w:r>
          </w:p>
        </w:tc>
        <w:tc>
          <w:tcPr>
            <w:tcW w:type="dxa" w:w="3710"/>
          </w:tcPr>
          <w:p>
            <w:pPr>
              <w:spacing w:after="20"/>
            </w:pPr>
            <w:r/>
            <w:r>
              <w:rPr>
                <w:rFonts w:ascii="Times New Roman" w:hAnsi="Times New Roman" w:eastAsia="宋体"/>
                <w:b w:val="0"/>
                <w:i w:val="0"/>
                <w:sz w:val="17"/>
              </w:rPr>
              <w:t>无，叙述中直接写入数值</w:t>
            </w:r>
          </w:p>
        </w:tc>
        <w:tc>
          <w:tcPr>
            <w:tcW w:type="dxa" w:w="3355"/>
          </w:tcPr>
          <w:p>
            <w:pPr>
              <w:spacing w:after="20"/>
            </w:pPr>
            <w:r/>
            <w:r>
              <w:rPr>
                <w:rFonts w:ascii="Times New Roman" w:hAnsi="Times New Roman" w:eastAsia="宋体"/>
                <w:b w:val="0"/>
                <w:i w:val="0"/>
                <w:sz w:val="17"/>
              </w:rPr>
              <w:t>F1–F22，正文可回指</w:t>
            </w:r>
          </w:p>
        </w:tc>
      </w:tr>
      <w:tr>
        <w:trPr>
          <w:cantSplit w:val="true"/>
        </w:trPr>
        <w:tc>
          <w:tcPr>
            <w:tcW w:type="dxa" w:w="1935"/>
          </w:tcPr>
          <w:p>
            <w:pPr>
              <w:spacing w:after="20"/>
            </w:pPr>
            <w:r/>
            <w:r>
              <w:rPr>
                <w:rFonts w:ascii="Times New Roman" w:hAnsi="Times New Roman" w:eastAsia="宋体"/>
                <w:b w:val="0"/>
                <w:i w:val="0"/>
                <w:sz w:val="17"/>
              </w:rPr>
              <w:t>输出契约</w:t>
            </w:r>
          </w:p>
        </w:tc>
        <w:tc>
          <w:tcPr>
            <w:tcW w:type="dxa" w:w="3710"/>
          </w:tcPr>
          <w:p>
            <w:pPr>
              <w:spacing w:after="20"/>
            </w:pPr>
            <w:r/>
            <w:r>
              <w:rPr>
                <w:rFonts w:ascii="Times New Roman" w:hAnsi="Times New Roman" w:eastAsia="宋体"/>
                <w:b w:val="0"/>
                <w:i w:val="0"/>
                <w:sz w:val="17"/>
              </w:rPr>
              <w:t>11 键，含 conclusion、evidence、root_cause 等</w:t>
            </w:r>
          </w:p>
        </w:tc>
        <w:tc>
          <w:tcPr>
            <w:tcW w:type="dxa" w:w="3355"/>
          </w:tcPr>
          <w:p>
            <w:pPr>
              <w:spacing w:after="20"/>
            </w:pPr>
            <w:r/>
            <w:r>
              <w:rPr>
                <w:rFonts w:ascii="Times New Roman" w:hAnsi="Times New Roman" w:eastAsia="宋体"/>
                <w:b w:val="0"/>
                <w:i w:val="0"/>
                <w:sz w:val="17"/>
              </w:rPr>
              <w:t>6 键，与 DiagnosisContract 一致</w:t>
            </w:r>
          </w:p>
        </w:tc>
      </w:tr>
      <w:tr>
        <w:trPr>
          <w:cantSplit w:val="true"/>
        </w:trPr>
        <w:tc>
          <w:tcPr>
            <w:tcW w:type="dxa" w:w="1935"/>
          </w:tcPr>
          <w:p>
            <w:pPr>
              <w:spacing w:after="20"/>
            </w:pPr>
            <w:r/>
            <w:r>
              <w:rPr>
                <w:rFonts w:ascii="Times New Roman" w:hAnsi="Times New Roman" w:eastAsia="宋体"/>
                <w:b w:val="0"/>
                <w:i w:val="0"/>
                <w:sz w:val="17"/>
              </w:rPr>
              <w:t>与线上校验的对应关系</w:t>
            </w:r>
          </w:p>
        </w:tc>
        <w:tc>
          <w:tcPr>
            <w:tcW w:type="dxa" w:w="3710"/>
          </w:tcPr>
          <w:p>
            <w:pPr>
              <w:spacing w:after="20"/>
            </w:pPr>
            <w:r/>
            <w:r>
              <w:rPr>
                <w:rFonts w:ascii="Times New Roman" w:hAnsi="Times New Roman" w:eastAsia="宋体"/>
                <w:b w:val="0"/>
                <w:i w:val="0"/>
                <w:sz w:val="17"/>
              </w:rPr>
              <w:t>六个模型字段中仅 gaps 同名，150 条均不被接受</w:t>
            </w:r>
          </w:p>
        </w:tc>
        <w:tc>
          <w:tcPr>
            <w:tcW w:type="dxa" w:w="3355"/>
          </w:tcPr>
          <w:p>
            <w:pPr>
              <w:spacing w:after="20"/>
            </w:pPr>
            <w:r/>
            <w:r>
              <w:rPr>
                <w:rFonts w:ascii="Times New Roman" w:hAnsi="Times New Roman" w:eastAsia="宋体"/>
                <w:b w:val="0"/>
                <w:i w:val="0"/>
                <w:sz w:val="17"/>
              </w:rPr>
              <w:t>逐字段对齐</w:t>
            </w:r>
          </w:p>
        </w:tc>
      </w:tr>
      <w:tr>
        <w:trPr>
          <w:cantSplit w:val="true"/>
        </w:trPr>
        <w:tc>
          <w:tcPr>
            <w:tcW w:type="dxa" w:w="1935"/>
          </w:tcPr>
          <w:p>
            <w:pPr>
              <w:spacing w:after="20"/>
            </w:pPr>
            <w:r/>
            <w:r>
              <w:rPr>
                <w:rFonts w:ascii="Times New Roman" w:hAnsi="Times New Roman" w:eastAsia="宋体"/>
                <w:b w:val="0"/>
                <w:i w:val="0"/>
                <w:sz w:val="17"/>
              </w:rPr>
              <w:t>样本长度（中位、最大）</w:t>
            </w:r>
          </w:p>
        </w:tc>
        <w:tc>
          <w:tcPr>
            <w:tcW w:type="dxa" w:w="3710"/>
          </w:tcPr>
          <w:p>
            <w:pPr>
              <w:spacing w:after="20"/>
            </w:pPr>
            <w:r/>
            <w:r>
              <w:rPr>
                <w:rFonts w:ascii="Times New Roman" w:hAnsi="Times New Roman" w:eastAsia="宋体"/>
                <w:b w:val="0"/>
                <w:i w:val="0"/>
                <w:sz w:val="17"/>
              </w:rPr>
              <w:t>2368、2476 token</w:t>
            </w:r>
          </w:p>
        </w:tc>
        <w:tc>
          <w:tcPr>
            <w:tcW w:type="dxa" w:w="3355"/>
          </w:tcPr>
          <w:p>
            <w:pPr>
              <w:spacing w:after="20"/>
            </w:pPr>
            <w:r/>
            <w:r>
              <w:rPr>
                <w:rFonts w:ascii="Times New Roman" w:hAnsi="Times New Roman" w:eastAsia="宋体"/>
                <w:b w:val="0"/>
                <w:i w:val="0"/>
                <w:sz w:val="17"/>
              </w:rPr>
              <w:t>3432、3924 token</w:t>
            </w:r>
          </w:p>
        </w:tc>
      </w:tr>
      <w:tr>
        <w:trPr>
          <w:cantSplit w:val="true"/>
        </w:trPr>
        <w:tc>
          <w:tcPr>
            <w:tcW w:type="dxa" w:w="1935"/>
          </w:tcPr>
          <w:p>
            <w:pPr>
              <w:spacing w:after="20"/>
            </w:pPr>
            <w:r/>
            <w:r>
              <w:rPr>
                <w:rFonts w:ascii="Times New Roman" w:hAnsi="Times New Roman" w:eastAsia="宋体"/>
                <w:b w:val="0"/>
                <w:i w:val="0"/>
                <w:sz w:val="17"/>
              </w:rPr>
              <w:t>答案长度中位数</w:t>
            </w:r>
          </w:p>
        </w:tc>
        <w:tc>
          <w:tcPr>
            <w:tcW w:type="dxa" w:w="3710"/>
          </w:tcPr>
          <w:p>
            <w:pPr>
              <w:spacing w:after="20"/>
            </w:pPr>
            <w:r/>
            <w:r>
              <w:rPr>
                <w:rFonts w:ascii="Times New Roman" w:hAnsi="Times New Roman" w:eastAsia="宋体"/>
                <w:b w:val="0"/>
                <w:i w:val="0"/>
                <w:sz w:val="17"/>
              </w:rPr>
              <w:t>1795 token</w:t>
            </w:r>
          </w:p>
        </w:tc>
        <w:tc>
          <w:tcPr>
            <w:tcW w:type="dxa" w:w="3355"/>
          </w:tcPr>
          <w:p>
            <w:pPr>
              <w:spacing w:after="20"/>
            </w:pPr>
            <w:r/>
            <w:r>
              <w:rPr>
                <w:rFonts w:ascii="Times New Roman" w:hAnsi="Times New Roman" w:eastAsia="宋体"/>
                <w:b w:val="0"/>
                <w:i w:val="0"/>
                <w:sz w:val="17"/>
              </w:rPr>
              <w:t>1069 token</w:t>
            </w:r>
          </w:p>
        </w:tc>
      </w:tr>
      <w:tr>
        <w:trPr>
          <w:cantSplit w:val="true"/>
        </w:trPr>
        <w:tc>
          <w:tcPr>
            <w:tcW w:type="dxa" w:w="1935"/>
          </w:tcPr>
          <w:p>
            <w:pPr>
              <w:spacing w:after="20"/>
            </w:pPr>
            <w:r/>
            <w:r>
              <w:rPr>
                <w:rFonts w:ascii="Times New Roman" w:hAnsi="Times New Roman" w:eastAsia="宋体"/>
                <w:b w:val="0"/>
                <w:i w:val="0"/>
                <w:sz w:val="17"/>
              </w:rPr>
              <w:t>上下文窗口</w:t>
            </w:r>
          </w:p>
        </w:tc>
        <w:tc>
          <w:tcPr>
            <w:tcW w:type="dxa" w:w="3710"/>
          </w:tcPr>
          <w:p>
            <w:pPr>
              <w:spacing w:after="20"/>
            </w:pPr>
            <w:r/>
            <w:r>
              <w:rPr>
                <w:rFonts w:ascii="Times New Roman" w:hAnsi="Times New Roman" w:eastAsia="宋体"/>
                <w:b w:val="0"/>
                <w:i w:val="0"/>
                <w:sz w:val="17"/>
              </w:rPr>
              <w:t>1024，约 78% 的答案 token 被截断</w:t>
            </w:r>
          </w:p>
        </w:tc>
        <w:tc>
          <w:tcPr>
            <w:tcW w:type="dxa" w:w="3355"/>
          </w:tcPr>
          <w:p>
            <w:pPr>
              <w:spacing w:after="20"/>
            </w:pPr>
            <w:r/>
            <w:r>
              <w:rPr>
                <w:rFonts w:ascii="Times New Roman" w:hAnsi="Times New Roman" w:eastAsia="宋体"/>
                <w:b w:val="0"/>
                <w:i w:val="0"/>
                <w:sz w:val="17"/>
              </w:rPr>
              <w:t>4096，无截断</w:t>
            </w:r>
          </w:p>
        </w:tc>
      </w:tr>
      <w:tr>
        <w:trPr>
          <w:cantSplit w:val="true"/>
        </w:trPr>
        <w:tc>
          <w:tcPr>
            <w:tcW w:type="dxa" w:w="1935"/>
          </w:tcPr>
          <w:p>
            <w:pPr>
              <w:spacing w:after="20"/>
            </w:pPr>
            <w:r/>
            <w:r>
              <w:rPr>
                <w:rFonts w:ascii="Times New Roman" w:hAnsi="Times New Roman" w:eastAsia="宋体"/>
                <w:b w:val="0"/>
                <w:i w:val="0"/>
                <w:sz w:val="17"/>
              </w:rPr>
              <w:t>差距项数分布（1、2、3 项）</w:t>
            </w:r>
          </w:p>
        </w:tc>
        <w:tc>
          <w:tcPr>
            <w:tcW w:type="dxa" w:w="3710"/>
          </w:tcPr>
          <w:p>
            <w:pPr>
              <w:spacing w:after="20"/>
            </w:pPr>
            <w:r/>
            <w:r>
              <w:rPr>
                <w:rFonts w:ascii="Times New Roman" w:hAnsi="Times New Roman" w:eastAsia="宋体"/>
                <w:b w:val="0"/>
                <w:i w:val="0"/>
                <w:sz w:val="17"/>
              </w:rPr>
              <w:t>—</w:t>
            </w:r>
          </w:p>
        </w:tc>
        <w:tc>
          <w:tcPr>
            <w:tcW w:type="dxa" w:w="3355"/>
          </w:tcPr>
          <w:p>
            <w:pPr>
              <w:spacing w:after="20"/>
            </w:pPr>
            <w:r/>
            <w:r>
              <w:rPr>
                <w:rFonts w:ascii="Times New Roman" w:hAnsi="Times New Roman" w:eastAsia="宋体"/>
                <w:b w:val="0"/>
                <w:i w:val="0"/>
                <w:sz w:val="17"/>
              </w:rPr>
              <w:t>124、232、144</w:t>
            </w:r>
          </w:p>
        </w:tc>
      </w:tr>
    </w:tbl>
    <w:p>
      <w:pPr>
        <w:spacing w:after="40"/>
      </w:pPr>
    </w:p>
    <w:p>
      <w:pPr>
        <w:ind w:firstLine="420"/>
        <w:jc w:val="both"/>
      </w:pPr>
      <w:r>
        <w:rPr>
          <w:rFonts w:ascii="Times New Roman" w:hAnsi="Times New Roman" w:eastAsia="宋体"/>
          <w:b w:val="0"/>
          <w:i w:val="0"/>
          <w:sz w:val="21"/>
        </w:rPr>
        <w:t>上下文长度最易被忽略。以 Qwen2.5 分词器实测，第二版单条长度中位 3432 token、95 分位 3806、最大 3924，故窗口取 4096；第一版总长中位仅 2368 token 却在 1024 下被截断，说明制约因素是答案占比而非总长。第二版答案反而更短（1069 对 1795 token），因六键结构不含第一版中 roadmap、learning_path 与 skill_dependencies 三段重叠叙述。</w:t>
      </w:r>
    </w:p>
    <w:p>
      <w:pPr>
        <w:ind w:firstLine="420"/>
        <w:jc w:val="both"/>
      </w:pPr>
      <w:r>
        <w:rPr>
          <w:rFonts w:ascii="Times New Roman" w:hAnsi="Times New Roman" w:eastAsia="宋体"/>
          <w:b w:val="0"/>
          <w:i w:val="0"/>
          <w:sz w:val="21"/>
        </w:rPr>
        <w:t>微调以 Qwen2.5-3B-Instruct[12] 为基座，采用低秩适配[2]并做 4-bit 双量化，只训练七个投影层，上下文 4096，等效批大小 8，学习率 1×10⁻⁴，余弦衰减，5 轮共 300 步，耗时 7.6 h。可训练参数 29 933 568，占基座的 0.96%。配置见表 14，损失曲线见图 3。</w:t>
      </w:r>
    </w:p>
    <w:p>
      <w:pPr>
        <w:spacing w:before="160" w:after="40"/>
        <w:jc w:val="center"/>
      </w:pPr>
      <w:r>
        <w:rPr>
          <w:rFonts w:ascii="Times New Roman" w:hAnsi="Times New Roman" w:eastAsia="宋体"/>
          <w:b/>
          <w:i w:val="0"/>
          <w:sz w:val="18"/>
        </w:rPr>
        <w:t xml:space="preserve">表 14　</w:t>
      </w:r>
      <w:r>
        <w:rPr>
          <w:rFonts w:ascii="Times New Roman" w:hAnsi="Times New Roman" w:eastAsia="宋体"/>
          <w:b w:val="0"/>
          <w:i w:val="0"/>
          <w:sz w:val="18"/>
        </w:rPr>
        <w:t>微调配置与收敛结果。数值取自 all_results.json 与 trainer_log.jsonl。</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554"/>
        <w:gridCol w:w="7446"/>
      </w:tblGrid>
      <w:tr>
        <w:trPr>
          <w:tblHeader w:val="true"/>
          <w:cantSplit w:val="true"/>
        </w:trPr>
        <w:tc>
          <w:tcPr>
            <w:tcW w:type="dxa" w:w="1554"/>
          </w:tcPr>
          <w:p>
            <w:pPr>
              <w:spacing w:after="20"/>
              <w:jc w:val="center"/>
            </w:pPr>
            <w:r/>
            <w:r>
              <w:rPr>
                <w:rFonts w:ascii="Times New Roman" w:hAnsi="Times New Roman" w:eastAsia="宋体"/>
                <w:b/>
                <w:i w:val="0"/>
                <w:sz w:val="17"/>
              </w:rPr>
              <w:t>项目</w:t>
            </w:r>
          </w:p>
        </w:tc>
        <w:tc>
          <w:tcPr>
            <w:tcW w:type="dxa" w:w="7446"/>
          </w:tcPr>
          <w:p>
            <w:pPr>
              <w:spacing w:after="20"/>
              <w:jc w:val="center"/>
            </w:pPr>
            <w:r/>
            <w:r>
              <w:rPr>
                <w:rFonts w:ascii="Times New Roman" w:hAnsi="Times New Roman" w:eastAsia="宋体"/>
                <w:b/>
                <w:i w:val="0"/>
                <w:sz w:val="17"/>
              </w:rPr>
              <w:t>取值</w:t>
            </w:r>
          </w:p>
        </w:tc>
      </w:tr>
      <w:tr>
        <w:trPr>
          <w:cantSplit w:val="true"/>
        </w:trPr>
        <w:tc>
          <w:tcPr>
            <w:tcW w:type="dxa" w:w="1554"/>
          </w:tcPr>
          <w:p>
            <w:pPr>
              <w:spacing w:after="20"/>
            </w:pPr>
            <w:r/>
            <w:r>
              <w:rPr>
                <w:rFonts w:ascii="Times New Roman" w:hAnsi="Times New Roman" w:eastAsia="宋体"/>
                <w:b w:val="0"/>
                <w:i w:val="0"/>
                <w:sz w:val="17"/>
              </w:rPr>
              <w:t>基座模型</w:t>
            </w:r>
          </w:p>
        </w:tc>
        <w:tc>
          <w:tcPr>
            <w:tcW w:type="dxa" w:w="7446"/>
          </w:tcPr>
          <w:p>
            <w:pPr>
              <w:spacing w:after="20"/>
            </w:pPr>
            <w:r/>
            <w:r>
              <w:rPr>
                <w:rFonts w:ascii="Times New Roman" w:hAnsi="Times New Roman" w:eastAsia="宋体"/>
                <w:b w:val="0"/>
                <w:i w:val="0"/>
                <w:sz w:val="17"/>
              </w:rPr>
              <w:t>Qwen2.5-3B-Instruct（36 层，隐藏维度 2048，参数量 3.12×10⁹）</w:t>
            </w:r>
          </w:p>
        </w:tc>
      </w:tr>
      <w:tr>
        <w:trPr>
          <w:cantSplit w:val="true"/>
        </w:trPr>
        <w:tc>
          <w:tcPr>
            <w:tcW w:type="dxa" w:w="1554"/>
          </w:tcPr>
          <w:p>
            <w:pPr>
              <w:spacing w:after="20"/>
            </w:pPr>
            <w:r/>
            <w:r>
              <w:rPr>
                <w:rFonts w:ascii="Times New Roman" w:hAnsi="Times New Roman" w:eastAsia="宋体"/>
                <w:b w:val="0"/>
                <w:i w:val="0"/>
                <w:sz w:val="17"/>
              </w:rPr>
              <w:t>量化方式</w:t>
            </w:r>
          </w:p>
        </w:tc>
        <w:tc>
          <w:tcPr>
            <w:tcW w:type="dxa" w:w="7446"/>
          </w:tcPr>
          <w:p>
            <w:pPr>
              <w:spacing w:after="20"/>
            </w:pPr>
            <w:r/>
            <w:r>
              <w:rPr>
                <w:rFonts w:ascii="Times New Roman" w:hAnsi="Times New Roman" w:eastAsia="宋体"/>
                <w:b w:val="0"/>
                <w:i w:val="0"/>
                <w:sz w:val="17"/>
              </w:rPr>
              <w:t>bitsandbytes 4-bit NF4 双量化，计算精度 bfloat16</w:t>
            </w:r>
          </w:p>
        </w:tc>
      </w:tr>
      <w:tr>
        <w:trPr>
          <w:cantSplit w:val="true"/>
        </w:trPr>
        <w:tc>
          <w:tcPr>
            <w:tcW w:type="dxa" w:w="1554"/>
          </w:tcPr>
          <w:p>
            <w:pPr>
              <w:spacing w:after="20"/>
            </w:pPr>
            <w:r/>
            <w:r>
              <w:rPr>
                <w:rFonts w:ascii="Times New Roman" w:hAnsi="Times New Roman" w:eastAsia="宋体"/>
                <w:b w:val="0"/>
                <w:i w:val="0"/>
                <w:sz w:val="17"/>
              </w:rPr>
              <w:t>适配器</w:t>
            </w:r>
          </w:p>
        </w:tc>
        <w:tc>
          <w:tcPr>
            <w:tcW w:type="dxa" w:w="7446"/>
          </w:tcPr>
          <w:p>
            <w:pPr>
              <w:spacing w:after="20"/>
            </w:pPr>
            <w:r/>
            <w:r>
              <w:rPr>
                <w:rFonts w:ascii="Times New Roman" w:hAnsi="Times New Roman" w:eastAsia="宋体"/>
                <w:b w:val="0"/>
                <w:i w:val="0"/>
                <w:sz w:val="17"/>
              </w:rPr>
              <w:t>LoRA，秩 16、α 取 32、dropout 0.05，覆盖七个投影层</w:t>
            </w:r>
          </w:p>
        </w:tc>
      </w:tr>
      <w:tr>
        <w:trPr>
          <w:cantSplit w:val="true"/>
        </w:trPr>
        <w:tc>
          <w:tcPr>
            <w:tcW w:type="dxa" w:w="1554"/>
          </w:tcPr>
          <w:p>
            <w:pPr>
              <w:spacing w:after="20"/>
            </w:pPr>
            <w:r/>
            <w:r>
              <w:rPr>
                <w:rFonts w:ascii="Times New Roman" w:hAnsi="Times New Roman" w:eastAsia="宋体"/>
                <w:b w:val="0"/>
                <w:i w:val="0"/>
                <w:sz w:val="17"/>
              </w:rPr>
              <w:t>可训练参数</w:t>
            </w:r>
          </w:p>
        </w:tc>
        <w:tc>
          <w:tcPr>
            <w:tcW w:type="dxa" w:w="7446"/>
          </w:tcPr>
          <w:p>
            <w:pPr>
              <w:spacing w:after="20"/>
            </w:pPr>
            <w:r/>
            <w:r>
              <w:rPr>
                <w:rFonts w:ascii="Times New Roman" w:hAnsi="Times New Roman" w:eastAsia="宋体"/>
                <w:b w:val="0"/>
                <w:i w:val="0"/>
                <w:sz w:val="17"/>
              </w:rPr>
              <w:t>29 933 568，占基座 0.96%，适配器权重 117 MB</w:t>
            </w:r>
          </w:p>
        </w:tc>
      </w:tr>
      <w:tr>
        <w:trPr>
          <w:cantSplit w:val="true"/>
        </w:trPr>
        <w:tc>
          <w:tcPr>
            <w:tcW w:type="dxa" w:w="1554"/>
          </w:tcPr>
          <w:p>
            <w:pPr>
              <w:spacing w:after="20"/>
            </w:pPr>
            <w:r/>
            <w:r>
              <w:rPr>
                <w:rFonts w:ascii="Times New Roman" w:hAnsi="Times New Roman" w:eastAsia="宋体"/>
                <w:b w:val="0"/>
                <w:i w:val="0"/>
                <w:sz w:val="17"/>
              </w:rPr>
              <w:t>数据划分</w:t>
            </w:r>
          </w:p>
        </w:tc>
        <w:tc>
          <w:tcPr>
            <w:tcW w:type="dxa" w:w="7446"/>
          </w:tcPr>
          <w:p>
            <w:pPr>
              <w:spacing w:after="20"/>
            </w:pPr>
            <w:r/>
            <w:r>
              <w:rPr>
                <w:rFonts w:ascii="Times New Roman" w:hAnsi="Times New Roman" w:eastAsia="宋体"/>
                <w:b w:val="0"/>
                <w:i w:val="0"/>
                <w:sz w:val="17"/>
              </w:rPr>
              <w:t>500 条按 95/5 划分，训练 475 条、验证 25 条</w:t>
            </w:r>
          </w:p>
        </w:tc>
      </w:tr>
      <w:tr>
        <w:trPr>
          <w:cantSplit w:val="true"/>
        </w:trPr>
        <w:tc>
          <w:tcPr>
            <w:tcW w:type="dxa" w:w="1554"/>
          </w:tcPr>
          <w:p>
            <w:pPr>
              <w:spacing w:after="20"/>
            </w:pPr>
            <w:r/>
            <w:r>
              <w:rPr>
                <w:rFonts w:ascii="Times New Roman" w:hAnsi="Times New Roman" w:eastAsia="宋体"/>
                <w:b w:val="0"/>
                <w:i w:val="0"/>
                <w:sz w:val="17"/>
              </w:rPr>
              <w:t>上下文与批次</w:t>
            </w:r>
          </w:p>
        </w:tc>
        <w:tc>
          <w:tcPr>
            <w:tcW w:type="dxa" w:w="7446"/>
          </w:tcPr>
          <w:p>
            <w:pPr>
              <w:spacing w:after="20"/>
            </w:pPr>
            <w:r/>
            <w:r>
              <w:rPr>
                <w:rFonts w:ascii="Times New Roman" w:hAnsi="Times New Roman" w:eastAsia="宋体"/>
                <w:b w:val="0"/>
                <w:i w:val="0"/>
                <w:sz w:val="17"/>
              </w:rPr>
              <w:t>cutoff_len 4096；单卡批大小 1，梯度累积 8</w:t>
            </w:r>
          </w:p>
        </w:tc>
      </w:tr>
      <w:tr>
        <w:trPr>
          <w:cantSplit w:val="true"/>
        </w:trPr>
        <w:tc>
          <w:tcPr>
            <w:tcW w:type="dxa" w:w="1554"/>
          </w:tcPr>
          <w:p>
            <w:pPr>
              <w:spacing w:after="20"/>
            </w:pPr>
            <w:r/>
            <w:r>
              <w:rPr>
                <w:rFonts w:ascii="Times New Roman" w:hAnsi="Times New Roman" w:eastAsia="宋体"/>
                <w:b w:val="0"/>
                <w:i w:val="0"/>
                <w:sz w:val="17"/>
              </w:rPr>
              <w:t>优化设置</w:t>
            </w:r>
          </w:p>
        </w:tc>
        <w:tc>
          <w:tcPr>
            <w:tcW w:type="dxa" w:w="7446"/>
          </w:tcPr>
          <w:p>
            <w:pPr>
              <w:spacing w:after="20"/>
            </w:pPr>
            <w:r/>
            <w:r>
              <w:rPr>
                <w:rFonts w:ascii="Times New Roman" w:hAnsi="Times New Roman" w:eastAsia="宋体"/>
                <w:b w:val="0"/>
                <w:i w:val="0"/>
                <w:sz w:val="17"/>
              </w:rPr>
              <w:t>学习率 1×10⁻⁴，余弦衰减，5 轮，共 300 步</w:t>
            </w:r>
          </w:p>
        </w:tc>
      </w:tr>
      <w:tr>
        <w:trPr>
          <w:cantSplit w:val="true"/>
        </w:trPr>
        <w:tc>
          <w:tcPr>
            <w:tcW w:type="dxa" w:w="1554"/>
          </w:tcPr>
          <w:p>
            <w:pPr>
              <w:spacing w:after="20"/>
            </w:pPr>
            <w:r/>
            <w:r>
              <w:rPr>
                <w:rFonts w:ascii="Times New Roman" w:hAnsi="Times New Roman" w:eastAsia="宋体"/>
                <w:b w:val="0"/>
                <w:i w:val="0"/>
                <w:sz w:val="17"/>
              </w:rPr>
              <w:t>硬件与耗时</w:t>
            </w:r>
          </w:p>
        </w:tc>
        <w:tc>
          <w:tcPr>
            <w:tcW w:type="dxa" w:w="7446"/>
          </w:tcPr>
          <w:p>
            <w:pPr>
              <w:spacing w:after="20"/>
            </w:pPr>
            <w:r/>
            <w:r>
              <w:rPr>
                <w:rFonts w:ascii="Times New Roman" w:hAnsi="Times New Roman" w:eastAsia="宋体"/>
                <w:b w:val="0"/>
                <w:i w:val="0"/>
                <w:sz w:val="17"/>
              </w:rPr>
              <w:t>RTX 5060 Laptop 8 GB，27 428 s（7.6 h）</w:t>
            </w:r>
          </w:p>
        </w:tc>
      </w:tr>
      <w:tr>
        <w:trPr>
          <w:cantSplit w:val="true"/>
        </w:trPr>
        <w:tc>
          <w:tcPr>
            <w:tcW w:type="dxa" w:w="1554"/>
          </w:tcPr>
          <w:p>
            <w:pPr>
              <w:spacing w:after="20"/>
            </w:pPr>
            <w:r/>
            <w:r>
              <w:rPr>
                <w:rFonts w:ascii="Times New Roman" w:hAnsi="Times New Roman" w:eastAsia="宋体"/>
                <w:b w:val="0"/>
                <w:i w:val="0"/>
                <w:sz w:val="17"/>
              </w:rPr>
              <w:t>训练损失</w:t>
            </w:r>
          </w:p>
        </w:tc>
        <w:tc>
          <w:tcPr>
            <w:tcW w:type="dxa" w:w="7446"/>
          </w:tcPr>
          <w:p>
            <w:pPr>
              <w:spacing w:after="20"/>
            </w:pPr>
            <w:r/>
            <w:r>
              <w:rPr>
                <w:rFonts w:ascii="Times New Roman" w:hAnsi="Times New Roman" w:eastAsia="宋体"/>
                <w:b w:val="0"/>
                <w:i w:val="0"/>
                <w:sz w:val="17"/>
              </w:rPr>
              <w:t>11.56（第 5 步）降至 0.063（第 300 步），全轮平均 0.577</w:t>
            </w:r>
          </w:p>
        </w:tc>
      </w:tr>
      <w:tr>
        <w:trPr>
          <w:cantSplit w:val="true"/>
        </w:trPr>
        <w:tc>
          <w:tcPr>
            <w:tcW w:type="dxa" w:w="1554"/>
          </w:tcPr>
          <w:p>
            <w:pPr>
              <w:spacing w:after="20"/>
            </w:pPr>
            <w:r/>
            <w:r>
              <w:rPr>
                <w:rFonts w:ascii="Times New Roman" w:hAnsi="Times New Roman" w:eastAsia="宋体"/>
                <w:b w:val="0"/>
                <w:i w:val="0"/>
                <w:sz w:val="17"/>
              </w:rPr>
              <w:t>验证损失</w:t>
            </w:r>
          </w:p>
        </w:tc>
        <w:tc>
          <w:tcPr>
            <w:tcW w:type="dxa" w:w="7446"/>
          </w:tcPr>
          <w:p>
            <w:pPr>
              <w:spacing w:after="20"/>
            </w:pPr>
            <w:r/>
            <w:r>
              <w:rPr>
                <w:rFonts w:ascii="Times New Roman" w:hAnsi="Times New Roman" w:eastAsia="宋体"/>
                <w:b w:val="0"/>
                <w:i w:val="0"/>
                <w:sz w:val="17"/>
              </w:rPr>
              <w:t>0.0198（第 50 步）降至 0.0106（第 300 步），第 200 步后趋于平稳</w:t>
            </w:r>
          </w:p>
        </w:tc>
      </w:tr>
    </w:tbl>
    <w:p>
      <w:pPr>
        <w:spacing w:after="40"/>
      </w:pPr>
    </w:p>
    <w:p>
      <w:pPr>
        <w:ind w:firstLine="420"/>
        <w:jc w:val="both"/>
      </w:pPr>
      <w:r>
        <w:rPr>
          <w:rFonts w:ascii="Times New Roman" w:hAnsi="Times New Roman" w:eastAsia="宋体"/>
          <w:b w:val="0"/>
          <w:i w:val="0"/>
          <w:sz w:val="21"/>
        </w:rPr>
        <w:t>训练损失由第 5 步的 11.56 降至第 300 步的 0.063，全轮平均 0.577；验证损失由 0.0198 单调降至 0.0106，第 200 步后趋平，5 轮内未见明显过拟合。首个记录值接近均匀分布的熵 ln 151936 ≈ 11.93，仅可视为热身现象，不作质量判据。验证损失低于训练末步，主因是两集同源，反映模板复现而非泛化；损失也不敏感于「差距项是否一致」「排期是否递增」等结构性质，故本文以输出合规评测代替，见 5.5 节。</w:t>
      </w:r>
    </w:p>
    <w:p>
      <w:pPr>
        <w:jc w:val="center"/>
      </w:pPr>
      <w:r>
        <w:drawing>
          <wp:inline xmlns:a="http://schemas.openxmlformats.org/drawingml/2006/main" xmlns:pic="http://schemas.openxmlformats.org/drawingml/2006/picture">
            <wp:extent cx="3931920" cy="2108517"/>
            <wp:docPr id="3" name="Picture 3"/>
            <wp:cNvGraphicFramePr>
              <a:graphicFrameLocks noChangeAspect="1"/>
            </wp:cNvGraphicFramePr>
            <a:graphic>
              <a:graphicData uri="http://schemas.openxmlformats.org/drawingml/2006/picture">
                <pic:pic>
                  <pic:nvPicPr>
                    <pic:cNvPr id="0" name="fig3_loss.png"/>
                    <pic:cNvPicPr/>
                  </pic:nvPicPr>
                  <pic:blipFill>
                    <a:blip r:embed="rId11"/>
                    <a:stretch>
                      <a:fillRect/>
                    </a:stretch>
                  </pic:blipFill>
                  <pic:spPr>
                    <a:xfrm>
                      <a:off x="0" y="0"/>
                      <a:ext cx="3931920" cy="2108517"/>
                    </a:xfrm>
                    <a:prstGeom prst="rect"/>
                  </pic:spPr>
                </pic:pic>
              </a:graphicData>
            </a:graphic>
          </wp:inline>
        </w:drawing>
      </w:r>
    </w:p>
    <w:p>
      <w:pPr>
        <w:spacing w:after="200"/>
        <w:jc w:val="center"/>
      </w:pPr>
      <w:r>
        <w:rPr>
          <w:rFonts w:ascii="Times New Roman" w:hAnsi="Times New Roman" w:eastAsia="宋体"/>
          <w:b/>
          <w:i w:val="0"/>
          <w:sz w:val="18"/>
        </w:rPr>
        <w:t xml:space="preserve">图 3　</w:t>
      </w:r>
      <w:r>
        <w:rPr>
          <w:rFonts w:ascii="Times New Roman" w:hAnsi="Times New Roman" w:eastAsia="宋体"/>
          <w:b w:val="0"/>
          <w:i w:val="0"/>
          <w:sz w:val="18"/>
        </w:rPr>
        <w:t>训练与验证损失曲线。左图为对数纵轴，右图为验证损失，数据取自 trainer_log.jsonl。</w:t>
      </w:r>
    </w:p>
    <w:p>
      <w:pPr>
        <w:spacing w:before="200" w:after="80"/>
      </w:pPr>
      <w:r>
        <w:rPr>
          <w:rFonts w:ascii="Times New Roman" w:hAnsi="Times New Roman" w:eastAsia="黑体"/>
          <w:b/>
          <w:i w:val="0"/>
          <w:sz w:val="21"/>
        </w:rPr>
        <w:t>4.5　系统实现</w:t>
      </w:r>
    </w:p>
    <w:p>
      <w:pPr>
        <w:ind w:firstLine="420"/>
        <w:jc w:val="both"/>
      </w:pPr>
      <w:r>
        <w:rPr>
          <w:rFonts w:ascii="Times New Roman" w:hAnsi="Times New Roman" w:eastAsia="宋体"/>
          <w:b w:val="0"/>
          <w:i w:val="0"/>
          <w:sz w:val="21"/>
        </w:rPr>
        <w:t>微调产物以适配器形式（117 MB）加载于 LLaMA-Factory[13] 的 api 模式，对外提供 OpenAI 兼容的对话补全接口。后端仅保留一个调用出口，按 ai.enabled、ai.base-url 与 ai.model 三个环境变量发起请求，采样参数固定为 temperature 0.2 与 response_format 为 json_object，全系统只有一份模型调用口径。将 base-url 指向本机服务即可由桩实现切换为模型路径，source 字段由该次调用是否成功决定。技术栈见表 15。</w:t>
      </w:r>
    </w:p>
    <w:p>
      <w:pPr>
        <w:spacing w:before="160" w:after="40"/>
        <w:jc w:val="center"/>
      </w:pPr>
      <w:r>
        <w:rPr>
          <w:rFonts w:ascii="Times New Roman" w:hAnsi="Times New Roman" w:eastAsia="宋体"/>
          <w:b/>
          <w:i w:val="0"/>
          <w:sz w:val="18"/>
        </w:rPr>
        <w:t xml:space="preserve">表 15　</w:t>
      </w:r>
      <w:r>
        <w:rPr>
          <w:rFonts w:ascii="Times New Roman" w:hAnsi="Times New Roman" w:eastAsia="宋体"/>
          <w:b w:val="0"/>
          <w:i w:val="0"/>
          <w:sz w:val="18"/>
        </w:rPr>
        <w:t>系统实现所用技术栈与部署方式。</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189"/>
        <w:gridCol w:w="7811"/>
      </w:tblGrid>
      <w:tr>
        <w:trPr>
          <w:tblHeader w:val="true"/>
          <w:cantSplit w:val="true"/>
        </w:trPr>
        <w:tc>
          <w:tcPr>
            <w:tcW w:type="dxa" w:w="1189"/>
          </w:tcPr>
          <w:p>
            <w:pPr>
              <w:spacing w:after="20"/>
              <w:jc w:val="center"/>
            </w:pPr>
            <w:r/>
            <w:r>
              <w:rPr>
                <w:rFonts w:ascii="Times New Roman" w:hAnsi="Times New Roman" w:eastAsia="宋体"/>
                <w:b/>
                <w:i w:val="0"/>
                <w:sz w:val="17"/>
              </w:rPr>
              <w:t>项目</w:t>
            </w:r>
          </w:p>
        </w:tc>
        <w:tc>
          <w:tcPr>
            <w:tcW w:type="dxa" w:w="7811"/>
          </w:tcPr>
          <w:p>
            <w:pPr>
              <w:spacing w:after="20"/>
              <w:jc w:val="center"/>
            </w:pPr>
            <w:r/>
            <w:r>
              <w:rPr>
                <w:rFonts w:ascii="Times New Roman" w:hAnsi="Times New Roman" w:eastAsia="宋体"/>
                <w:b/>
                <w:i w:val="0"/>
                <w:sz w:val="17"/>
              </w:rPr>
              <w:t>取值</w:t>
            </w:r>
          </w:p>
        </w:tc>
      </w:tr>
      <w:tr>
        <w:trPr>
          <w:cantSplit w:val="true"/>
        </w:trPr>
        <w:tc>
          <w:tcPr>
            <w:tcW w:type="dxa" w:w="1189"/>
          </w:tcPr>
          <w:p>
            <w:pPr>
              <w:spacing w:after="20"/>
            </w:pPr>
            <w:r/>
            <w:r>
              <w:rPr>
                <w:rFonts w:ascii="Times New Roman" w:hAnsi="Times New Roman" w:eastAsia="宋体"/>
                <w:b w:val="0"/>
                <w:i w:val="0"/>
                <w:sz w:val="17"/>
              </w:rPr>
              <w:t>后端</w:t>
            </w:r>
          </w:p>
        </w:tc>
        <w:tc>
          <w:tcPr>
            <w:tcW w:type="dxa" w:w="7811"/>
          </w:tcPr>
          <w:p>
            <w:pPr>
              <w:spacing w:after="20"/>
            </w:pPr>
            <w:r/>
            <w:r>
              <w:rPr>
                <w:rFonts w:ascii="Times New Roman" w:hAnsi="Times New Roman" w:eastAsia="宋体"/>
                <w:b w:val="0"/>
                <w:i w:val="0"/>
                <w:sz w:val="17"/>
              </w:rPr>
              <w:t>Spring Boot 3.5.16，JdbcTemplate，SpringDoc OpenAPI</w:t>
            </w:r>
          </w:p>
        </w:tc>
      </w:tr>
      <w:tr>
        <w:trPr>
          <w:cantSplit w:val="true"/>
        </w:trPr>
        <w:tc>
          <w:tcPr>
            <w:tcW w:type="dxa" w:w="1189"/>
          </w:tcPr>
          <w:p>
            <w:pPr>
              <w:spacing w:after="20"/>
            </w:pPr>
            <w:r/>
            <w:r>
              <w:rPr>
                <w:rFonts w:ascii="Times New Roman" w:hAnsi="Times New Roman" w:eastAsia="宋体"/>
                <w:b w:val="0"/>
                <w:i w:val="0"/>
                <w:sz w:val="17"/>
              </w:rPr>
              <w:t>数据库</w:t>
            </w:r>
          </w:p>
        </w:tc>
        <w:tc>
          <w:tcPr>
            <w:tcW w:type="dxa" w:w="7811"/>
          </w:tcPr>
          <w:p>
            <w:pPr>
              <w:spacing w:after="20"/>
            </w:pPr>
            <w:r/>
            <w:r>
              <w:rPr>
                <w:rFonts w:ascii="Times New Roman" w:hAnsi="Times New Roman" w:eastAsia="宋体"/>
                <w:b w:val="0"/>
                <w:i w:val="0"/>
                <w:sz w:val="17"/>
              </w:rPr>
              <w:t>MySQL 8 单库，规则与结论以 JSON 列存储</w:t>
            </w:r>
          </w:p>
        </w:tc>
      </w:tr>
      <w:tr>
        <w:trPr>
          <w:cantSplit w:val="true"/>
        </w:trPr>
        <w:tc>
          <w:tcPr>
            <w:tcW w:type="dxa" w:w="1189"/>
          </w:tcPr>
          <w:p>
            <w:pPr>
              <w:spacing w:after="20"/>
            </w:pPr>
            <w:r/>
            <w:r>
              <w:rPr>
                <w:rFonts w:ascii="Times New Roman" w:hAnsi="Times New Roman" w:eastAsia="宋体"/>
                <w:b w:val="0"/>
                <w:i w:val="0"/>
                <w:sz w:val="17"/>
              </w:rPr>
              <w:t>前端</w:t>
            </w:r>
          </w:p>
        </w:tc>
        <w:tc>
          <w:tcPr>
            <w:tcW w:type="dxa" w:w="7811"/>
          </w:tcPr>
          <w:p>
            <w:pPr>
              <w:spacing w:after="20"/>
            </w:pPr>
            <w:r/>
            <w:r>
              <w:rPr>
                <w:rFonts w:ascii="Times New Roman" w:hAnsi="Times New Roman" w:eastAsia="宋体"/>
                <w:b w:val="0"/>
                <w:i w:val="0"/>
                <w:sz w:val="17"/>
              </w:rPr>
              <w:t>Vue 3、Vite、Element Plus，接口路径统一前缀 /api/v1</w:t>
            </w:r>
          </w:p>
        </w:tc>
      </w:tr>
      <w:tr>
        <w:trPr>
          <w:cantSplit w:val="true"/>
        </w:trPr>
        <w:tc>
          <w:tcPr>
            <w:tcW w:type="dxa" w:w="1189"/>
          </w:tcPr>
          <w:p>
            <w:pPr>
              <w:spacing w:after="20"/>
            </w:pPr>
            <w:r/>
            <w:r>
              <w:rPr>
                <w:rFonts w:ascii="Times New Roman" w:hAnsi="Times New Roman" w:eastAsia="宋体"/>
                <w:b w:val="0"/>
                <w:i w:val="0"/>
                <w:sz w:val="17"/>
              </w:rPr>
              <w:t>部署</w:t>
            </w:r>
          </w:p>
        </w:tc>
        <w:tc>
          <w:tcPr>
            <w:tcW w:type="dxa" w:w="7811"/>
          </w:tcPr>
          <w:p>
            <w:pPr>
              <w:spacing w:after="20"/>
            </w:pPr>
            <w:r/>
            <w:r>
              <w:rPr>
                <w:rFonts w:ascii="Times New Roman" w:hAnsi="Times New Roman" w:eastAsia="宋体"/>
                <w:b w:val="0"/>
                <w:i w:val="0"/>
                <w:sz w:val="17"/>
              </w:rPr>
              <w:t>docker-compose 编排数据库、接口服务与前端</w:t>
            </w:r>
          </w:p>
        </w:tc>
      </w:tr>
      <w:tr>
        <w:trPr>
          <w:cantSplit w:val="true"/>
        </w:trPr>
        <w:tc>
          <w:tcPr>
            <w:tcW w:type="dxa" w:w="1189"/>
          </w:tcPr>
          <w:p>
            <w:pPr>
              <w:spacing w:after="20"/>
            </w:pPr>
            <w:r/>
            <w:r>
              <w:rPr>
                <w:rFonts w:ascii="Times New Roman" w:hAnsi="Times New Roman" w:eastAsia="宋体"/>
                <w:b w:val="0"/>
                <w:i w:val="0"/>
                <w:sz w:val="17"/>
              </w:rPr>
              <w:t>鉴权</w:t>
            </w:r>
          </w:p>
        </w:tc>
        <w:tc>
          <w:tcPr>
            <w:tcW w:type="dxa" w:w="7811"/>
          </w:tcPr>
          <w:p>
            <w:pPr>
              <w:spacing w:after="20"/>
            </w:pPr>
            <w:r/>
            <w:r>
              <w:rPr>
                <w:rFonts w:ascii="Times New Roman" w:hAnsi="Times New Roman" w:eastAsia="宋体"/>
                <w:b w:val="0"/>
                <w:i w:val="0"/>
                <w:sz w:val="17"/>
              </w:rPr>
              <w:t>HMAC 签名令牌，按路径前缀授权，四类角色各带数据范围</w:t>
            </w:r>
          </w:p>
        </w:tc>
      </w:tr>
      <w:tr>
        <w:trPr>
          <w:cantSplit w:val="true"/>
        </w:trPr>
        <w:tc>
          <w:tcPr>
            <w:tcW w:type="dxa" w:w="1189"/>
          </w:tcPr>
          <w:p>
            <w:pPr>
              <w:spacing w:after="20"/>
            </w:pPr>
            <w:r/>
            <w:r>
              <w:rPr>
                <w:rFonts w:ascii="Times New Roman" w:hAnsi="Times New Roman" w:eastAsia="宋体"/>
                <w:b w:val="0"/>
                <w:i w:val="0"/>
                <w:sz w:val="17"/>
              </w:rPr>
              <w:t>推理服务</w:t>
            </w:r>
          </w:p>
        </w:tc>
        <w:tc>
          <w:tcPr>
            <w:tcW w:type="dxa" w:w="7811"/>
          </w:tcPr>
          <w:p>
            <w:pPr>
              <w:spacing w:after="20"/>
            </w:pPr>
            <w:r/>
            <w:r>
              <w:rPr>
                <w:rFonts w:ascii="Times New Roman" w:hAnsi="Times New Roman" w:eastAsia="宋体"/>
                <w:b w:val="0"/>
                <w:i w:val="0"/>
                <w:sz w:val="17"/>
              </w:rPr>
              <w:t>LLaMA-Factory api 模式，OpenAI 兼容接口，模型名 qwen2.5-3b-lora</w:t>
            </w:r>
          </w:p>
        </w:tc>
      </w:tr>
      <w:tr>
        <w:trPr>
          <w:cantSplit w:val="true"/>
        </w:trPr>
        <w:tc>
          <w:tcPr>
            <w:tcW w:type="dxa" w:w="1189"/>
          </w:tcPr>
          <w:p>
            <w:pPr>
              <w:spacing w:after="20"/>
            </w:pPr>
            <w:r/>
            <w:r>
              <w:rPr>
                <w:rFonts w:ascii="Times New Roman" w:hAnsi="Times New Roman" w:eastAsia="宋体"/>
                <w:b w:val="0"/>
                <w:i w:val="0"/>
                <w:sz w:val="17"/>
              </w:rPr>
              <w:t>调用参数</w:t>
            </w:r>
          </w:p>
        </w:tc>
        <w:tc>
          <w:tcPr>
            <w:tcW w:type="dxa" w:w="7811"/>
          </w:tcPr>
          <w:p>
            <w:pPr>
              <w:spacing w:after="20"/>
            </w:pPr>
            <w:r/>
            <w:r>
              <w:rPr>
                <w:rFonts w:ascii="Times New Roman" w:hAnsi="Times New Roman" w:eastAsia="宋体"/>
                <w:b w:val="0"/>
                <w:i w:val="0"/>
                <w:sz w:val="17"/>
              </w:rPr>
              <w:t>temperature 0.2，response_format 为 json_object，max_tokens 1800</w:t>
            </w:r>
          </w:p>
        </w:tc>
      </w:tr>
      <w:tr>
        <w:trPr>
          <w:cantSplit w:val="true"/>
        </w:trPr>
        <w:tc>
          <w:tcPr>
            <w:tcW w:type="dxa" w:w="1189"/>
          </w:tcPr>
          <w:p>
            <w:pPr>
              <w:spacing w:after="20"/>
            </w:pPr>
            <w:r/>
            <w:r>
              <w:rPr>
                <w:rFonts w:ascii="Times New Roman" w:hAnsi="Times New Roman" w:eastAsia="宋体"/>
                <w:b w:val="0"/>
                <w:i w:val="0"/>
                <w:sz w:val="17"/>
              </w:rPr>
              <w:t>字段分工</w:t>
            </w:r>
          </w:p>
        </w:tc>
        <w:tc>
          <w:tcPr>
            <w:tcW w:type="dxa" w:w="7811"/>
          </w:tcPr>
          <w:p>
            <w:pPr>
              <w:spacing w:after="20"/>
            </w:pPr>
            <w:r/>
            <w:r>
              <w:rPr>
                <w:rFonts w:ascii="Times New Roman" w:hAnsi="Times New Roman" w:eastAsia="宋体"/>
                <w:b w:val="0"/>
                <w:i w:val="0"/>
                <w:sz w:val="17"/>
              </w:rPr>
              <w:t>模型输出六键 JSON；诊断编号、时间、来源标签与证据条数由后端补写</w:t>
            </w:r>
          </w:p>
        </w:tc>
      </w:tr>
    </w:tbl>
    <w:p>
      <w:pPr>
        <w:spacing w:after="40"/>
      </w:pPr>
    </w:p>
    <w:p>
      <w:pPr>
        <w:spacing w:before="280" w:after="120"/>
      </w:pPr>
      <w:r>
        <w:rPr>
          <w:rFonts w:ascii="Times New Roman" w:hAnsi="Times New Roman" w:eastAsia="黑体"/>
          <w:b/>
          <w:i w:val="0"/>
          <w:sz w:val="24"/>
        </w:rPr>
        <w:t>5　实验与结果分析</w:t>
      </w:r>
    </w:p>
    <w:p>
      <w:pPr>
        <w:spacing w:before="200" w:after="80"/>
      </w:pPr>
      <w:r>
        <w:rPr>
          <w:rFonts w:ascii="Times New Roman" w:hAnsi="Times New Roman" w:eastAsia="黑体"/>
          <w:b/>
          <w:i w:val="0"/>
          <w:sz w:val="21"/>
        </w:rPr>
        <w:t>5.1　实验环境</w:t>
      </w:r>
    </w:p>
    <w:p>
      <w:pPr>
        <w:ind w:firstLine="420"/>
        <w:jc w:val="both"/>
      </w:pPr>
      <w:r>
        <w:rPr>
          <w:rFonts w:ascii="Times New Roman" w:hAnsi="Times New Roman" w:eastAsia="宋体"/>
          <w:b w:val="0"/>
          <w:i w:val="0"/>
          <w:sz w:val="21"/>
        </w:rPr>
        <w:t>训练、推理、服务与评测在同一台设备上完成（表 16），模型推理与前端请求共用一张显卡，长尾延迟因此偏大，读时延数据时需注意。</w:t>
      </w:r>
    </w:p>
    <w:p>
      <w:pPr>
        <w:spacing w:before="160" w:after="40"/>
        <w:jc w:val="center"/>
      </w:pPr>
      <w:r>
        <w:rPr>
          <w:rFonts w:ascii="Times New Roman" w:hAnsi="Times New Roman" w:eastAsia="宋体"/>
          <w:b/>
          <w:i w:val="0"/>
          <w:sz w:val="18"/>
        </w:rPr>
        <w:t xml:space="preserve">表 16　</w:t>
      </w:r>
      <w:r>
        <w:rPr>
          <w:rFonts w:ascii="Times New Roman" w:hAnsi="Times New Roman" w:eastAsia="宋体"/>
          <w:b w:val="0"/>
          <w:i w:val="0"/>
          <w:sz w:val="18"/>
        </w:rPr>
        <w:t>实验环境。训练、推理、服务与评测在同一台设备上完成。</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554"/>
        <w:gridCol w:w="7446"/>
      </w:tblGrid>
      <w:tr>
        <w:trPr>
          <w:tblHeader w:val="true"/>
          <w:cantSplit w:val="true"/>
        </w:trPr>
        <w:tc>
          <w:tcPr>
            <w:tcW w:type="dxa" w:w="1554"/>
          </w:tcPr>
          <w:p>
            <w:pPr>
              <w:spacing w:after="20"/>
              <w:jc w:val="center"/>
            </w:pPr>
            <w:r/>
            <w:r>
              <w:rPr>
                <w:rFonts w:ascii="Times New Roman" w:hAnsi="Times New Roman" w:eastAsia="宋体"/>
                <w:b/>
                <w:i w:val="0"/>
                <w:sz w:val="17"/>
              </w:rPr>
              <w:t>项目</w:t>
            </w:r>
          </w:p>
        </w:tc>
        <w:tc>
          <w:tcPr>
            <w:tcW w:type="dxa" w:w="7446"/>
          </w:tcPr>
          <w:p>
            <w:pPr>
              <w:spacing w:after="20"/>
              <w:jc w:val="center"/>
            </w:pPr>
            <w:r/>
            <w:r>
              <w:rPr>
                <w:rFonts w:ascii="Times New Roman" w:hAnsi="Times New Roman" w:eastAsia="宋体"/>
                <w:b/>
                <w:i w:val="0"/>
                <w:sz w:val="17"/>
              </w:rPr>
              <w:t>配置</w:t>
            </w:r>
          </w:p>
        </w:tc>
      </w:tr>
      <w:tr>
        <w:trPr>
          <w:cantSplit w:val="true"/>
        </w:trPr>
        <w:tc>
          <w:tcPr>
            <w:tcW w:type="dxa" w:w="1554"/>
          </w:tcPr>
          <w:p>
            <w:pPr>
              <w:spacing w:after="20"/>
            </w:pPr>
            <w:r/>
            <w:r>
              <w:rPr>
                <w:rFonts w:ascii="Times New Roman" w:hAnsi="Times New Roman" w:eastAsia="宋体"/>
                <w:b w:val="0"/>
                <w:i w:val="0"/>
                <w:sz w:val="17"/>
              </w:rPr>
              <w:t>操作系统</w:t>
            </w:r>
          </w:p>
        </w:tc>
        <w:tc>
          <w:tcPr>
            <w:tcW w:type="dxa" w:w="7446"/>
          </w:tcPr>
          <w:p>
            <w:pPr>
              <w:spacing w:after="20"/>
            </w:pPr>
            <w:r/>
            <w:r>
              <w:rPr>
                <w:rFonts w:ascii="Times New Roman" w:hAnsi="Times New Roman" w:eastAsia="宋体"/>
                <w:b w:val="0"/>
                <w:i w:val="0"/>
                <w:sz w:val="17"/>
              </w:rPr>
              <w:t>Windows 11（10.0.26200）</w:t>
            </w:r>
          </w:p>
        </w:tc>
      </w:tr>
      <w:tr>
        <w:trPr>
          <w:cantSplit w:val="true"/>
        </w:trPr>
        <w:tc>
          <w:tcPr>
            <w:tcW w:type="dxa" w:w="1554"/>
          </w:tcPr>
          <w:p>
            <w:pPr>
              <w:spacing w:after="20"/>
            </w:pPr>
            <w:r/>
            <w:r>
              <w:rPr>
                <w:rFonts w:ascii="Times New Roman" w:hAnsi="Times New Roman" w:eastAsia="宋体"/>
                <w:b w:val="0"/>
                <w:i w:val="0"/>
                <w:sz w:val="17"/>
              </w:rPr>
              <w:t>处理器与内存</w:t>
            </w:r>
          </w:p>
        </w:tc>
        <w:tc>
          <w:tcPr>
            <w:tcW w:type="dxa" w:w="7446"/>
          </w:tcPr>
          <w:p>
            <w:pPr>
              <w:spacing w:after="20"/>
            </w:pPr>
            <w:r/>
            <w:r>
              <w:rPr>
                <w:rFonts w:ascii="Times New Roman" w:hAnsi="Times New Roman" w:eastAsia="宋体"/>
                <w:b w:val="0"/>
                <w:i w:val="0"/>
                <w:sz w:val="17"/>
              </w:rPr>
              <w:t>Intel Core i7-14650HX（24 逻辑核），32 GB</w:t>
            </w:r>
          </w:p>
        </w:tc>
      </w:tr>
      <w:tr>
        <w:trPr>
          <w:cantSplit w:val="true"/>
        </w:trPr>
        <w:tc>
          <w:tcPr>
            <w:tcW w:type="dxa" w:w="1554"/>
          </w:tcPr>
          <w:p>
            <w:pPr>
              <w:spacing w:after="20"/>
            </w:pPr>
            <w:r/>
            <w:r>
              <w:rPr>
                <w:rFonts w:ascii="Times New Roman" w:hAnsi="Times New Roman" w:eastAsia="宋体"/>
                <w:b w:val="0"/>
                <w:i w:val="0"/>
                <w:sz w:val="17"/>
              </w:rPr>
              <w:t>显卡</w:t>
            </w:r>
          </w:p>
        </w:tc>
        <w:tc>
          <w:tcPr>
            <w:tcW w:type="dxa" w:w="7446"/>
          </w:tcPr>
          <w:p>
            <w:pPr>
              <w:spacing w:after="20"/>
            </w:pPr>
            <w:r/>
            <w:r>
              <w:rPr>
                <w:rFonts w:ascii="Times New Roman" w:hAnsi="Times New Roman" w:eastAsia="宋体"/>
                <w:b w:val="0"/>
                <w:i w:val="0"/>
                <w:sz w:val="17"/>
              </w:rPr>
              <w:t>NVIDIA GeForce RTX 5060 Laptop，8 GB</w:t>
            </w:r>
          </w:p>
        </w:tc>
      </w:tr>
      <w:tr>
        <w:trPr>
          <w:cantSplit w:val="true"/>
        </w:trPr>
        <w:tc>
          <w:tcPr>
            <w:tcW w:type="dxa" w:w="1554"/>
          </w:tcPr>
          <w:p>
            <w:pPr>
              <w:spacing w:after="20"/>
            </w:pPr>
            <w:r/>
            <w:r>
              <w:rPr>
                <w:rFonts w:ascii="Times New Roman" w:hAnsi="Times New Roman" w:eastAsia="宋体"/>
                <w:b w:val="0"/>
                <w:i w:val="0"/>
                <w:sz w:val="17"/>
              </w:rPr>
              <w:t>训练框架</w:t>
            </w:r>
          </w:p>
        </w:tc>
        <w:tc>
          <w:tcPr>
            <w:tcW w:type="dxa" w:w="7446"/>
          </w:tcPr>
          <w:p>
            <w:pPr>
              <w:spacing w:after="20"/>
            </w:pPr>
            <w:r/>
            <w:r>
              <w:rPr>
                <w:rFonts w:ascii="Times New Roman" w:hAnsi="Times New Roman" w:eastAsia="宋体"/>
                <w:b w:val="0"/>
                <w:i w:val="0"/>
                <w:sz w:val="17"/>
              </w:rPr>
              <w:t>LLaMA-Factory，LoRA 与 4-bit 双量化</w:t>
            </w:r>
          </w:p>
        </w:tc>
      </w:tr>
      <w:tr>
        <w:trPr>
          <w:cantSplit w:val="true"/>
        </w:trPr>
        <w:tc>
          <w:tcPr>
            <w:tcW w:type="dxa" w:w="1554"/>
          </w:tcPr>
          <w:p>
            <w:pPr>
              <w:spacing w:after="20"/>
            </w:pPr>
            <w:r/>
            <w:r>
              <w:rPr>
                <w:rFonts w:ascii="Times New Roman" w:hAnsi="Times New Roman" w:eastAsia="宋体"/>
                <w:b w:val="0"/>
                <w:i w:val="0"/>
                <w:sz w:val="17"/>
              </w:rPr>
              <w:t>推理服务</w:t>
            </w:r>
          </w:p>
        </w:tc>
        <w:tc>
          <w:tcPr>
            <w:tcW w:type="dxa" w:w="7446"/>
          </w:tcPr>
          <w:p>
            <w:pPr>
              <w:spacing w:after="20"/>
            </w:pPr>
            <w:r/>
            <w:r>
              <w:rPr>
                <w:rFonts w:ascii="Times New Roman" w:hAnsi="Times New Roman" w:eastAsia="宋体"/>
                <w:b w:val="0"/>
                <w:i w:val="0"/>
                <w:sz w:val="17"/>
              </w:rPr>
              <w:t>llamafactory-cli api，本机 8000 端口</w:t>
            </w:r>
          </w:p>
        </w:tc>
      </w:tr>
      <w:tr>
        <w:trPr>
          <w:cantSplit w:val="true"/>
        </w:trPr>
        <w:tc>
          <w:tcPr>
            <w:tcW w:type="dxa" w:w="1554"/>
          </w:tcPr>
          <w:p>
            <w:pPr>
              <w:spacing w:after="20"/>
            </w:pPr>
            <w:r/>
            <w:r>
              <w:rPr>
                <w:rFonts w:ascii="Times New Roman" w:hAnsi="Times New Roman" w:eastAsia="宋体"/>
                <w:b w:val="0"/>
                <w:i w:val="0"/>
                <w:sz w:val="17"/>
              </w:rPr>
              <w:t>运行时</w:t>
            </w:r>
          </w:p>
        </w:tc>
        <w:tc>
          <w:tcPr>
            <w:tcW w:type="dxa" w:w="7446"/>
          </w:tcPr>
          <w:p>
            <w:pPr>
              <w:spacing w:after="20"/>
            </w:pPr>
            <w:r/>
            <w:r>
              <w:rPr>
                <w:rFonts w:ascii="Times New Roman" w:hAnsi="Times New Roman" w:eastAsia="宋体"/>
                <w:b w:val="0"/>
                <w:i w:val="0"/>
                <w:sz w:val="17"/>
              </w:rPr>
              <w:t>OpenJDK 17.0.18，Spring Boot 3.5.16，MySQL 8.4</w:t>
            </w:r>
          </w:p>
        </w:tc>
      </w:tr>
      <w:tr>
        <w:trPr>
          <w:cantSplit w:val="true"/>
        </w:trPr>
        <w:tc>
          <w:tcPr>
            <w:tcW w:type="dxa" w:w="1554"/>
          </w:tcPr>
          <w:p>
            <w:pPr>
              <w:spacing w:after="20"/>
            </w:pPr>
            <w:r/>
            <w:r>
              <w:rPr>
                <w:rFonts w:ascii="Times New Roman" w:hAnsi="Times New Roman" w:eastAsia="宋体"/>
                <w:b w:val="0"/>
                <w:i w:val="0"/>
                <w:sz w:val="17"/>
              </w:rPr>
              <w:t>评测脚本</w:t>
            </w:r>
          </w:p>
        </w:tc>
        <w:tc>
          <w:tcPr>
            <w:tcW w:type="dxa" w:w="7446"/>
          </w:tcPr>
          <w:p>
            <w:pPr>
              <w:spacing w:after="20"/>
            </w:pPr>
            <w:r/>
            <w:r>
              <w:rPr>
                <w:rFonts w:ascii="Times New Roman" w:hAnsi="Times New Roman" w:eastAsia="宋体"/>
                <w:b w:val="0"/>
                <w:i w:val="0"/>
                <w:sz w:val="17"/>
              </w:rPr>
              <w:t>Python 3.13，比较运算采用 Decimal 以避免浮点误差</w:t>
            </w:r>
          </w:p>
        </w:tc>
      </w:tr>
    </w:tbl>
    <w:p>
      <w:pPr>
        <w:spacing w:after="40"/>
      </w:pPr>
    </w:p>
    <w:p>
      <w:pPr>
        <w:spacing w:before="200" w:after="80"/>
      </w:pPr>
      <w:r>
        <w:rPr>
          <w:rFonts w:ascii="Times New Roman" w:hAnsi="Times New Roman" w:eastAsia="黑体"/>
          <w:b/>
          <w:i w:val="0"/>
          <w:sz w:val="21"/>
        </w:rPr>
        <w:t>5.2　数据与评测方案</w:t>
      </w:r>
    </w:p>
    <w:p>
      <w:pPr>
        <w:ind w:firstLine="420"/>
        <w:jc w:val="both"/>
      </w:pPr>
      <w:r>
        <w:rPr>
          <w:rFonts w:ascii="Times New Roman" w:hAnsi="Times New Roman" w:eastAsia="宋体"/>
          <w:b w:val="0"/>
          <w:i w:val="0"/>
          <w:sz w:val="21"/>
        </w:rPr>
        <w:t>实验使用 150 份按因子设计生成的结构化档案：六类安全记录各 25 条，25 个考试分数各 6 条，30 个岗位匹配度各 5 条。该语料保证每类情形均有足够样本，而非复现真实人力分布，故其比率适用于评价规则集的一致性与覆盖能力，不宜外推。</w:t>
      </w:r>
    </w:p>
    <w:p>
      <w:pPr>
        <w:ind w:firstLine="420"/>
        <w:jc w:val="both"/>
      </w:pPr>
      <w:r>
        <w:rPr>
          <w:rFonts w:ascii="Times New Roman" w:hAnsi="Times New Roman" w:eastAsia="宋体"/>
          <w:b w:val="0"/>
          <w:i w:val="0"/>
          <w:sz w:val="21"/>
        </w:rPr>
        <w:t>评测分四类，见表 17。规则回放从建库脚本抽取规则定义，经适配层解析后由参考求值器按 DSL 语义执行，共 450 次，每个用例重复两遍并打乱规则物理顺序以验证确定性与顺序无关性。网格语义验证在 200 组气体参数上检查定档、命中上限、严重度合并与事实引用。语料契约校验对第一版语料的 150 条目标答案套用线上校验。模型实测以提示词不重合的 20 条样本直连推理服务，另取 6 条训练原样样本对照。</w:t>
      </w:r>
    </w:p>
    <w:p>
      <w:pPr>
        <w:spacing w:before="160" w:after="40"/>
        <w:jc w:val="center"/>
      </w:pPr>
      <w:r>
        <w:rPr>
          <w:rFonts w:ascii="Times New Roman" w:hAnsi="Times New Roman" w:eastAsia="宋体"/>
          <w:b/>
          <w:i w:val="0"/>
          <w:sz w:val="18"/>
        </w:rPr>
        <w:t xml:space="preserve">表 17　</w:t>
      </w:r>
      <w:r>
        <w:rPr>
          <w:rFonts w:ascii="Times New Roman" w:hAnsi="Times New Roman" w:eastAsia="宋体"/>
          <w:b w:val="0"/>
          <w:i w:val="0"/>
          <w:sz w:val="18"/>
        </w:rPr>
        <w:t>四类评测方案。四者度量对象不同，不可相互替代。</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1140"/>
        <w:gridCol w:w="2620"/>
        <w:gridCol w:w="2239"/>
        <w:gridCol w:w="3001"/>
      </w:tblGrid>
      <w:tr>
        <w:trPr>
          <w:tblHeader w:val="true"/>
          <w:cantSplit w:val="true"/>
        </w:trPr>
        <w:tc>
          <w:tcPr>
            <w:tcW w:type="dxa" w:w="1140"/>
          </w:tcPr>
          <w:p>
            <w:pPr>
              <w:spacing w:after="20"/>
              <w:jc w:val="center"/>
            </w:pPr>
            <w:r/>
            <w:r>
              <w:rPr>
                <w:rFonts w:ascii="Times New Roman" w:hAnsi="Times New Roman" w:eastAsia="宋体"/>
                <w:b/>
                <w:i w:val="0"/>
                <w:sz w:val="17"/>
              </w:rPr>
              <w:t>方案</w:t>
            </w:r>
          </w:p>
        </w:tc>
        <w:tc>
          <w:tcPr>
            <w:tcW w:type="dxa" w:w="2620"/>
          </w:tcPr>
          <w:p>
            <w:pPr>
              <w:spacing w:after="20"/>
              <w:jc w:val="center"/>
            </w:pPr>
            <w:r/>
            <w:r>
              <w:rPr>
                <w:rFonts w:ascii="Times New Roman" w:hAnsi="Times New Roman" w:eastAsia="宋体"/>
                <w:b/>
                <w:i w:val="0"/>
                <w:sz w:val="17"/>
              </w:rPr>
              <w:t>输入</w:t>
            </w:r>
          </w:p>
        </w:tc>
        <w:tc>
          <w:tcPr>
            <w:tcW w:type="dxa" w:w="2239"/>
          </w:tcPr>
          <w:p>
            <w:pPr>
              <w:spacing w:after="20"/>
              <w:jc w:val="center"/>
            </w:pPr>
            <w:r/>
            <w:r>
              <w:rPr>
                <w:rFonts w:ascii="Times New Roman" w:hAnsi="Times New Roman" w:eastAsia="宋体"/>
                <w:b/>
                <w:i w:val="0"/>
                <w:sz w:val="17"/>
              </w:rPr>
              <w:t>规模</w:t>
            </w:r>
          </w:p>
        </w:tc>
        <w:tc>
          <w:tcPr>
            <w:tcW w:type="dxa" w:w="3001"/>
          </w:tcPr>
          <w:p>
            <w:pPr>
              <w:spacing w:after="20"/>
              <w:jc w:val="center"/>
            </w:pPr>
            <w:r/>
            <w:r>
              <w:rPr>
                <w:rFonts w:ascii="Times New Roman" w:hAnsi="Times New Roman" w:eastAsia="宋体"/>
                <w:b/>
                <w:i w:val="0"/>
                <w:sz w:val="17"/>
              </w:rPr>
              <w:t>判据</w:t>
            </w:r>
          </w:p>
        </w:tc>
      </w:tr>
      <w:tr>
        <w:trPr>
          <w:cantSplit w:val="true"/>
        </w:trPr>
        <w:tc>
          <w:tcPr>
            <w:tcW w:type="dxa" w:w="1140"/>
          </w:tcPr>
          <w:p>
            <w:pPr>
              <w:spacing w:after="20"/>
            </w:pPr>
            <w:r/>
            <w:r>
              <w:rPr>
                <w:rFonts w:ascii="Times New Roman" w:hAnsi="Times New Roman" w:eastAsia="宋体"/>
                <w:b w:val="0"/>
                <w:i w:val="0"/>
                <w:sz w:val="17"/>
              </w:rPr>
              <w:t>规则回放</w:t>
            </w:r>
          </w:p>
        </w:tc>
        <w:tc>
          <w:tcPr>
            <w:tcW w:type="dxa" w:w="2620"/>
          </w:tcPr>
          <w:p>
            <w:pPr>
              <w:spacing w:after="20"/>
            </w:pPr>
            <w:r/>
            <w:r>
              <w:rPr>
                <w:rFonts w:ascii="Times New Roman" w:hAnsi="Times New Roman" w:eastAsia="宋体"/>
                <w:b w:val="0"/>
                <w:i w:val="0"/>
                <w:sz w:val="17"/>
              </w:rPr>
              <w:t>22 条规则、150 份档案、3 个场景</w:t>
            </w:r>
          </w:p>
        </w:tc>
        <w:tc>
          <w:tcPr>
            <w:tcW w:type="dxa" w:w="2239"/>
          </w:tcPr>
          <w:p>
            <w:pPr>
              <w:spacing w:after="20"/>
            </w:pPr>
            <w:r/>
            <w:r>
              <w:rPr>
                <w:rFonts w:ascii="Times New Roman" w:hAnsi="Times New Roman" w:eastAsia="宋体"/>
                <w:b w:val="0"/>
                <w:i w:val="0"/>
                <w:sz w:val="17"/>
              </w:rPr>
              <w:t>450 次执行，另重跑与乱序各一遍</w:t>
            </w:r>
          </w:p>
        </w:tc>
        <w:tc>
          <w:tcPr>
            <w:tcW w:type="dxa" w:w="3001"/>
          </w:tcPr>
          <w:p>
            <w:pPr>
              <w:spacing w:after="20"/>
            </w:pPr>
            <w:r/>
            <w:r>
              <w:rPr>
                <w:rFonts w:ascii="Times New Roman" w:hAnsi="Times New Roman" w:eastAsia="宋体"/>
                <w:b w:val="0"/>
                <w:i w:val="0"/>
                <w:sz w:val="17"/>
              </w:rPr>
              <w:t>命中、漏报、跳过原因、结果一致性</w:t>
            </w:r>
          </w:p>
        </w:tc>
      </w:tr>
      <w:tr>
        <w:trPr>
          <w:cantSplit w:val="true"/>
        </w:trPr>
        <w:tc>
          <w:tcPr>
            <w:tcW w:type="dxa" w:w="1140"/>
          </w:tcPr>
          <w:p>
            <w:pPr>
              <w:spacing w:after="20"/>
            </w:pPr>
            <w:r/>
            <w:r>
              <w:rPr>
                <w:rFonts w:ascii="Times New Roman" w:hAnsi="Times New Roman" w:eastAsia="宋体"/>
                <w:b w:val="0"/>
                <w:i w:val="0"/>
                <w:sz w:val="17"/>
              </w:rPr>
              <w:t>网格语义验证</w:t>
            </w:r>
          </w:p>
        </w:tc>
        <w:tc>
          <w:tcPr>
            <w:tcW w:type="dxa" w:w="2620"/>
          </w:tcPr>
          <w:p>
            <w:pPr>
              <w:spacing w:after="20"/>
            </w:pPr>
            <w:r/>
            <w:r>
              <w:rPr>
                <w:rFonts w:ascii="Times New Roman" w:hAnsi="Times New Roman" w:eastAsia="宋体"/>
                <w:b w:val="0"/>
                <w:i w:val="0"/>
                <w:sz w:val="17"/>
              </w:rPr>
              <w:t>10 种气体、5 个余量档、4 组关键词</w:t>
            </w:r>
          </w:p>
        </w:tc>
        <w:tc>
          <w:tcPr>
            <w:tcW w:type="dxa" w:w="2239"/>
          </w:tcPr>
          <w:p>
            <w:pPr>
              <w:spacing w:after="20"/>
            </w:pPr>
            <w:r/>
            <w:r>
              <w:rPr>
                <w:rFonts w:ascii="Times New Roman" w:hAnsi="Times New Roman" w:eastAsia="宋体"/>
                <w:b w:val="0"/>
                <w:i w:val="0"/>
                <w:sz w:val="17"/>
              </w:rPr>
              <w:t>200 组</w:t>
            </w:r>
          </w:p>
        </w:tc>
        <w:tc>
          <w:tcPr>
            <w:tcW w:type="dxa" w:w="3001"/>
          </w:tcPr>
          <w:p>
            <w:pPr>
              <w:spacing w:after="20"/>
            </w:pPr>
            <w:r/>
            <w:r>
              <w:rPr>
                <w:rFonts w:ascii="Times New Roman" w:hAnsi="Times New Roman" w:eastAsia="宋体"/>
                <w:b w:val="0"/>
                <w:i w:val="0"/>
                <w:sz w:val="17"/>
              </w:rPr>
              <w:t>定档阶梯、命中上限、严重度合并、事实引用</w:t>
            </w:r>
          </w:p>
        </w:tc>
      </w:tr>
      <w:tr>
        <w:trPr>
          <w:cantSplit w:val="true"/>
        </w:trPr>
        <w:tc>
          <w:tcPr>
            <w:tcW w:type="dxa" w:w="1140"/>
          </w:tcPr>
          <w:p>
            <w:pPr>
              <w:spacing w:after="20"/>
            </w:pPr>
            <w:r/>
            <w:r>
              <w:rPr>
                <w:rFonts w:ascii="Times New Roman" w:hAnsi="Times New Roman" w:eastAsia="宋体"/>
                <w:b w:val="0"/>
                <w:i w:val="0"/>
                <w:sz w:val="17"/>
              </w:rPr>
              <w:t>语料契约校验</w:t>
            </w:r>
          </w:p>
        </w:tc>
        <w:tc>
          <w:tcPr>
            <w:tcW w:type="dxa" w:w="2620"/>
          </w:tcPr>
          <w:p>
            <w:pPr>
              <w:spacing w:after="20"/>
            </w:pPr>
            <w:r/>
            <w:r>
              <w:rPr>
                <w:rFonts w:ascii="Times New Roman" w:hAnsi="Times New Roman" w:eastAsia="宋体"/>
                <w:b w:val="0"/>
                <w:i w:val="0"/>
                <w:sz w:val="17"/>
              </w:rPr>
              <w:t>A 版语料 150 条目标答案</w:t>
            </w:r>
          </w:p>
        </w:tc>
        <w:tc>
          <w:tcPr>
            <w:tcW w:type="dxa" w:w="2239"/>
          </w:tcPr>
          <w:p>
            <w:pPr>
              <w:spacing w:after="20"/>
            </w:pPr>
            <w:r/>
            <w:r>
              <w:rPr>
                <w:rFonts w:ascii="Times New Roman" w:hAnsi="Times New Roman" w:eastAsia="宋体"/>
                <w:b w:val="0"/>
                <w:i w:val="0"/>
                <w:sz w:val="17"/>
              </w:rPr>
              <w:t>150 条</w:t>
            </w:r>
          </w:p>
        </w:tc>
        <w:tc>
          <w:tcPr>
            <w:tcW w:type="dxa" w:w="3001"/>
          </w:tcPr>
          <w:p>
            <w:pPr>
              <w:spacing w:after="20"/>
            </w:pPr>
            <w:r/>
            <w:r>
              <w:rPr>
                <w:rFonts w:ascii="Times New Roman" w:hAnsi="Times New Roman" w:eastAsia="宋体"/>
                <w:b w:val="0"/>
                <w:i w:val="0"/>
                <w:sz w:val="17"/>
              </w:rPr>
              <w:t>契约、等级算术、排期单调性、安全边界、数值溯源</w:t>
            </w:r>
          </w:p>
        </w:tc>
      </w:tr>
      <w:tr>
        <w:trPr>
          <w:cantSplit w:val="true"/>
        </w:trPr>
        <w:tc>
          <w:tcPr>
            <w:tcW w:type="dxa" w:w="1140"/>
          </w:tcPr>
          <w:p>
            <w:pPr>
              <w:spacing w:after="20"/>
            </w:pPr>
            <w:r/>
            <w:r>
              <w:rPr>
                <w:rFonts w:ascii="Times New Roman" w:hAnsi="Times New Roman" w:eastAsia="宋体"/>
                <w:b w:val="0"/>
                <w:i w:val="0"/>
                <w:sz w:val="17"/>
              </w:rPr>
              <w:t>模型实测</w:t>
            </w:r>
          </w:p>
        </w:tc>
        <w:tc>
          <w:tcPr>
            <w:tcW w:type="dxa" w:w="2620"/>
          </w:tcPr>
          <w:p>
            <w:pPr>
              <w:spacing w:after="20"/>
            </w:pPr>
            <w:r/>
            <w:r>
              <w:rPr>
                <w:rFonts w:ascii="Times New Roman" w:hAnsi="Times New Roman" w:eastAsia="宋体"/>
                <w:b w:val="0"/>
                <w:i w:val="0"/>
                <w:sz w:val="17"/>
              </w:rPr>
              <w:t>留出样本 20 条、训练原样样本 6 条</w:t>
            </w:r>
          </w:p>
        </w:tc>
        <w:tc>
          <w:tcPr>
            <w:tcW w:type="dxa" w:w="2239"/>
          </w:tcPr>
          <w:p>
            <w:pPr>
              <w:spacing w:after="20"/>
            </w:pPr>
            <w:r/>
            <w:r>
              <w:rPr>
                <w:rFonts w:ascii="Times New Roman" w:hAnsi="Times New Roman" w:eastAsia="宋体"/>
                <w:b w:val="0"/>
                <w:i w:val="0"/>
                <w:sz w:val="17"/>
              </w:rPr>
              <w:t>26 次请求</w:t>
            </w:r>
          </w:p>
        </w:tc>
        <w:tc>
          <w:tcPr>
            <w:tcW w:type="dxa" w:w="3001"/>
          </w:tcPr>
          <w:p>
            <w:pPr>
              <w:spacing w:after="20"/>
            </w:pPr>
            <w:r/>
            <w:r>
              <w:rPr>
                <w:rFonts w:ascii="Times New Roman" w:hAnsi="Times New Roman" w:eastAsia="宋体"/>
                <w:b w:val="0"/>
                <w:i w:val="0"/>
                <w:sz w:val="17"/>
              </w:rPr>
              <w:t>六项合规、引用与溯源、端到端延迟</w:t>
            </w:r>
          </w:p>
        </w:tc>
      </w:tr>
    </w:tbl>
    <w:p>
      <w:pPr>
        <w:spacing w:after="40"/>
      </w:pPr>
    </w:p>
    <w:p>
      <w:pPr>
        <w:spacing w:before="200" w:after="80"/>
      </w:pPr>
      <w:r>
        <w:rPr>
          <w:rFonts w:ascii="Times New Roman" w:hAnsi="Times New Roman" w:eastAsia="黑体"/>
          <w:b/>
          <w:i w:val="0"/>
          <w:sz w:val="21"/>
        </w:rPr>
        <w:t>5.3　规则集有效性</w:t>
      </w:r>
    </w:p>
    <w:p>
      <w:pPr>
        <w:ind w:firstLine="420"/>
        <w:jc w:val="both"/>
      </w:pPr>
      <w:r>
        <w:rPr>
          <w:rFonts w:ascii="Times New Roman" w:hAnsi="Times New Roman" w:eastAsia="宋体"/>
          <w:b w:val="0"/>
          <w:i w:val="0"/>
          <w:sz w:val="21"/>
        </w:rPr>
        <w:t>档案覆盖率定义为至少命中一条规则的档案所占比例，如式（8）所示：</w:t>
      </w:r>
    </w:p>
    <w:p>
      <w:pPr>
        <w:spacing w:before="120" w:after="120"/>
        <w:jc w:val="center"/>
      </w:pPr>
      <m:oMathPara>
        <m:oMath>
          <m:r>
            <m:rPr/>
            <w:t xml:space="preserve">C</w:t>
          </m:r>
          <m:r>
            <m:rPr>
              <m:sty m:val="p"/>
            </m:rPr>
            <w:t xml:space="preserve"> = </w:t>
          </m:r>
          <m:f>
            <m:num>
              <m:r>
                <m:rPr>
                  <m:sty m:val="p"/>
                </m:rPr>
                <w:t xml:space="preserve">|{ </w:t>
              </m:r>
              <m:r>
                <m:rPr/>
                <w:t xml:space="preserve">i</w:t>
              </m:r>
              <m:r>
                <m:rPr>
                  <m:sty m:val="p"/>
                </m:rPr>
                <w:t xml:space="preserve"> | ∃ </w:t>
              </m:r>
              <m:r>
                <m:rPr/>
                <w:t xml:space="preserve">r</w:t>
              </m:r>
              <m:r>
                <m:rPr>
                  <m:sty m:val="p"/>
                </m:rPr>
                <w:t xml:space="preserve"> ∈ </w:t>
              </m:r>
              <m:r>
                <m:rPr/>
                <w:t xml:space="preserve">R</w:t>
              </m:r>
              <m:r>
                <m:rPr>
                  <m:sty m:val="p"/>
                </m:rPr>
                <w:t xml:space="preserve">，</w:t>
              </m:r>
              <m:r>
                <m:rPr/>
                <w:t xml:space="preserve">fired</w:t>
              </m:r>
              <m:r>
                <m:rPr>
                  <m:sty m:val="p"/>
                </m:rPr>
                <w:t xml:space="preserve">(</w:t>
              </m:r>
              <m:r>
                <m:rPr/>
                <w:t xml:space="preserve">i</w:t>
              </m:r>
              <m:r>
                <m:rPr>
                  <m:sty m:val="p"/>
                </m:rPr>
                <w:t xml:space="preserve">, </w:t>
              </m:r>
              <m:r>
                <m:rPr/>
                <w:t xml:space="preserve">r</w:t>
              </m:r>
              <m:r>
                <m:rPr>
                  <m:sty m:val="p"/>
                </m:rPr>
                <w:t xml:space="preserve">) }|</w:t>
              </m:r>
            </m:num>
            <m:den>
              <m:r>
                <m:rPr/>
                <w:t xml:space="preserve">N</w:t>
              </m:r>
            </m:den>
          </m:f>
        </m:oMath>
      </m:oMathPara>
      <w:r>
        <w:rPr>
          <w:rFonts w:ascii="Times New Roman" w:hAnsi="Times New Roman" w:eastAsia="宋体"/>
          <w:b w:val="0"/>
          <w:i w:val="0"/>
          <w:sz w:val="21"/>
        </w:rPr>
        <w:tab/>
        <w:t>（8）</w:t>
      </w:r>
    </w:p>
    <w:p>
      <w:pPr>
        <w:ind w:firstLine="420"/>
        <w:jc w:val="both"/>
      </w:pPr>
      <w:r>
        <w:rPr>
          <w:rFonts w:ascii="Times New Roman" w:hAnsi="Times New Roman" w:eastAsia="宋体"/>
          <w:b w:val="0"/>
          <w:i w:val="0"/>
          <w:sz w:val="21"/>
        </w:rPr>
        <w:t>其中 N 为档案总数，R 为规则集合，fired(i, r) 表示第 i 份档案是否触发规则 r。回放结果见表 18：450 次执行中 404 次命中，档案级覆盖率达到 100%，即 150 份档案均至少获得一条处置建议。分场景看，个人诊断场景命中 145 次（96.7%），考试场景命中 132 次（88.0%），实操归因场景命中 127 次（84.7%）。</w:t>
      </w:r>
    </w:p>
    <w:p>
      <w:pPr>
        <w:spacing w:before="160" w:after="40"/>
        <w:jc w:val="center"/>
      </w:pPr>
      <w:r>
        <w:rPr>
          <w:rFonts w:ascii="Times New Roman" w:hAnsi="Times New Roman" w:eastAsia="宋体"/>
          <w:b/>
          <w:i w:val="0"/>
          <w:sz w:val="18"/>
        </w:rPr>
        <w:t xml:space="preserve">表 18　</w:t>
      </w:r>
      <w:r>
        <w:rPr>
          <w:rFonts w:ascii="Times New Roman" w:hAnsi="Times New Roman" w:eastAsia="宋体"/>
          <w:b w:val="0"/>
          <w:i w:val="0"/>
          <w:sz w:val="18"/>
        </w:rPr>
        <w:t>规则集在 150 份档案上的覆盖回放结果。</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2298"/>
        <w:gridCol w:w="800"/>
        <w:gridCol w:w="800"/>
        <w:gridCol w:w="771"/>
        <w:gridCol w:w="4332"/>
      </w:tblGrid>
      <w:tr>
        <w:trPr>
          <w:tblHeader w:val="true"/>
          <w:cantSplit w:val="true"/>
        </w:trPr>
        <w:tc>
          <w:tcPr>
            <w:tcW w:type="dxa" w:w="2298"/>
          </w:tcPr>
          <w:p>
            <w:pPr>
              <w:spacing w:after="20"/>
              <w:jc w:val="center"/>
            </w:pPr>
            <w:r/>
            <w:r>
              <w:rPr>
                <w:rFonts w:ascii="Times New Roman" w:hAnsi="Times New Roman" w:eastAsia="宋体"/>
                <w:b/>
                <w:i w:val="0"/>
                <w:sz w:val="17"/>
              </w:rPr>
              <w:t>场景</w:t>
            </w:r>
          </w:p>
        </w:tc>
        <w:tc>
          <w:tcPr>
            <w:tcW w:type="dxa" w:w="800"/>
          </w:tcPr>
          <w:p>
            <w:pPr>
              <w:spacing w:after="20"/>
              <w:jc w:val="center"/>
            </w:pPr>
            <w:r/>
            <w:r>
              <w:rPr>
                <w:rFonts w:ascii="Times New Roman" w:hAnsi="Times New Roman" w:eastAsia="宋体"/>
                <w:b/>
                <w:i w:val="0"/>
                <w:sz w:val="17"/>
              </w:rPr>
              <w:t>执行次数</w:t>
            </w:r>
          </w:p>
        </w:tc>
        <w:tc>
          <w:tcPr>
            <w:tcW w:type="dxa" w:w="800"/>
          </w:tcPr>
          <w:p>
            <w:pPr>
              <w:spacing w:after="20"/>
              <w:jc w:val="center"/>
            </w:pPr>
            <w:r/>
            <w:r>
              <w:rPr>
                <w:rFonts w:ascii="Times New Roman" w:hAnsi="Times New Roman" w:eastAsia="宋体"/>
                <w:b/>
                <w:i w:val="0"/>
                <w:sz w:val="17"/>
              </w:rPr>
              <w:t>命中次数</w:t>
            </w:r>
          </w:p>
        </w:tc>
        <w:tc>
          <w:tcPr>
            <w:tcW w:type="dxa" w:w="771"/>
          </w:tcPr>
          <w:p>
            <w:pPr>
              <w:spacing w:after="20"/>
              <w:jc w:val="center"/>
            </w:pPr>
            <w:r/>
            <w:r>
              <w:rPr>
                <w:rFonts w:ascii="Times New Roman" w:hAnsi="Times New Roman" w:eastAsia="宋体"/>
                <w:b/>
                <w:i w:val="0"/>
                <w:sz w:val="17"/>
              </w:rPr>
              <w:t>命中率</w:t>
            </w:r>
          </w:p>
        </w:tc>
        <w:tc>
          <w:tcPr>
            <w:tcW w:type="dxa" w:w="4332"/>
          </w:tcPr>
          <w:p>
            <w:pPr>
              <w:spacing w:after="20"/>
              <w:jc w:val="center"/>
            </w:pPr>
            <w:r/>
            <w:r>
              <w:rPr>
                <w:rFonts w:ascii="Times New Roman" w:hAnsi="Times New Roman" w:eastAsia="宋体"/>
                <w:b/>
                <w:i w:val="0"/>
                <w:sz w:val="17"/>
              </w:rPr>
              <w:t>主要命中规则（条次）</w:t>
            </w:r>
          </w:p>
        </w:tc>
      </w:tr>
      <w:tr>
        <w:trPr>
          <w:cantSplit w:val="true"/>
        </w:trPr>
        <w:tc>
          <w:tcPr>
            <w:tcW w:type="dxa" w:w="2298"/>
          </w:tcPr>
          <w:p>
            <w:pPr>
              <w:spacing w:after="20"/>
            </w:pPr>
            <w:r/>
            <w:r>
              <w:rPr>
                <w:rFonts w:ascii="Times New Roman" w:hAnsi="Times New Roman" w:eastAsia="宋体"/>
                <w:b w:val="0"/>
                <w:i w:val="0"/>
                <w:sz w:val="17"/>
              </w:rPr>
              <w:t>PERSONAL_GAP</w:t>
            </w:r>
          </w:p>
        </w:tc>
        <w:tc>
          <w:tcPr>
            <w:tcW w:type="dxa" w:w="800"/>
          </w:tcPr>
          <w:p>
            <w:pPr>
              <w:spacing w:after="20"/>
            </w:pPr>
            <w:r/>
            <w:r>
              <w:rPr>
                <w:rFonts w:ascii="Times New Roman" w:hAnsi="Times New Roman" w:eastAsia="宋体"/>
                <w:b w:val="0"/>
                <w:i w:val="0"/>
                <w:sz w:val="17"/>
              </w:rPr>
              <w:t>150</w:t>
            </w:r>
          </w:p>
        </w:tc>
        <w:tc>
          <w:tcPr>
            <w:tcW w:type="dxa" w:w="800"/>
          </w:tcPr>
          <w:p>
            <w:pPr>
              <w:spacing w:after="20"/>
            </w:pPr>
            <w:r/>
            <w:r>
              <w:rPr>
                <w:rFonts w:ascii="Times New Roman" w:hAnsi="Times New Roman" w:eastAsia="宋体"/>
                <w:b w:val="0"/>
                <w:i w:val="0"/>
                <w:sz w:val="17"/>
              </w:rPr>
              <w:t>145</w:t>
            </w:r>
          </w:p>
        </w:tc>
        <w:tc>
          <w:tcPr>
            <w:tcW w:type="dxa" w:w="771"/>
          </w:tcPr>
          <w:p>
            <w:pPr>
              <w:spacing w:after="20"/>
            </w:pPr>
            <w:r/>
            <w:r>
              <w:rPr>
                <w:rFonts w:ascii="Times New Roman" w:hAnsi="Times New Roman" w:eastAsia="宋体"/>
                <w:b w:val="0"/>
                <w:i w:val="0"/>
                <w:sz w:val="17"/>
              </w:rPr>
              <w:t>96.7%</w:t>
            </w:r>
          </w:p>
        </w:tc>
        <w:tc>
          <w:tcPr>
            <w:tcW w:type="dxa" w:w="4332"/>
          </w:tcPr>
          <w:p>
            <w:pPr>
              <w:spacing w:after="20"/>
            </w:pPr>
            <w:r/>
            <w:r>
              <w:rPr>
                <w:rFonts w:ascii="Times New Roman" w:hAnsi="Times New Roman" w:eastAsia="宋体"/>
                <w:b w:val="0"/>
                <w:i w:val="0"/>
                <w:sz w:val="17"/>
              </w:rPr>
              <w:t>SKILL_BELOW_REQUIRED（120）、SAFETY_VETO_VIOLATION（75）、SAFETY_DEDUCTION（50）</w:t>
            </w:r>
          </w:p>
        </w:tc>
      </w:tr>
      <w:tr>
        <w:trPr>
          <w:cantSplit w:val="true"/>
        </w:trPr>
        <w:tc>
          <w:tcPr>
            <w:tcW w:type="dxa" w:w="2298"/>
          </w:tcPr>
          <w:p>
            <w:pPr>
              <w:spacing w:after="20"/>
            </w:pPr>
            <w:r/>
            <w:r>
              <w:rPr>
                <w:rFonts w:ascii="Times New Roman" w:hAnsi="Times New Roman" w:eastAsia="宋体"/>
                <w:b w:val="0"/>
                <w:i w:val="0"/>
                <w:sz w:val="17"/>
              </w:rPr>
              <w:t>EXAM_RESULT</w:t>
            </w:r>
          </w:p>
        </w:tc>
        <w:tc>
          <w:tcPr>
            <w:tcW w:type="dxa" w:w="800"/>
          </w:tcPr>
          <w:p>
            <w:pPr>
              <w:spacing w:after="20"/>
            </w:pPr>
            <w:r/>
            <w:r>
              <w:rPr>
                <w:rFonts w:ascii="Times New Roman" w:hAnsi="Times New Roman" w:eastAsia="宋体"/>
                <w:b w:val="0"/>
                <w:i w:val="0"/>
                <w:sz w:val="17"/>
              </w:rPr>
              <w:t>150</w:t>
            </w:r>
          </w:p>
        </w:tc>
        <w:tc>
          <w:tcPr>
            <w:tcW w:type="dxa" w:w="800"/>
          </w:tcPr>
          <w:p>
            <w:pPr>
              <w:spacing w:after="20"/>
            </w:pPr>
            <w:r/>
            <w:r>
              <w:rPr>
                <w:rFonts w:ascii="Times New Roman" w:hAnsi="Times New Roman" w:eastAsia="宋体"/>
                <w:b w:val="0"/>
                <w:i w:val="0"/>
                <w:sz w:val="17"/>
              </w:rPr>
              <w:t>132</w:t>
            </w:r>
          </w:p>
        </w:tc>
        <w:tc>
          <w:tcPr>
            <w:tcW w:type="dxa" w:w="771"/>
          </w:tcPr>
          <w:p>
            <w:pPr>
              <w:spacing w:after="20"/>
            </w:pPr>
            <w:r/>
            <w:r>
              <w:rPr>
                <w:rFonts w:ascii="Times New Roman" w:hAnsi="Times New Roman" w:eastAsia="宋体"/>
                <w:b w:val="0"/>
                <w:i w:val="0"/>
                <w:sz w:val="17"/>
              </w:rPr>
              <w:t>88.0%</w:t>
            </w:r>
          </w:p>
        </w:tc>
        <w:tc>
          <w:tcPr>
            <w:tcW w:type="dxa" w:w="4332"/>
          </w:tcPr>
          <w:p>
            <w:pPr>
              <w:spacing w:after="20"/>
            </w:pPr>
            <w:r/>
            <w:r>
              <w:rPr>
                <w:rFonts w:ascii="Times New Roman" w:hAnsi="Times New Roman" w:eastAsia="宋体"/>
                <w:b w:val="0"/>
                <w:i w:val="0"/>
                <w:sz w:val="17"/>
              </w:rPr>
              <w:t>EXAM_BELOW_PASS（132）</w:t>
            </w:r>
          </w:p>
        </w:tc>
      </w:tr>
      <w:tr>
        <w:trPr>
          <w:cantSplit w:val="true"/>
        </w:trPr>
        <w:tc>
          <w:tcPr>
            <w:tcW w:type="dxa" w:w="2298"/>
          </w:tcPr>
          <w:p>
            <w:pPr>
              <w:spacing w:after="20"/>
            </w:pPr>
            <w:r/>
            <w:r>
              <w:rPr>
                <w:rFonts w:ascii="Times New Roman" w:hAnsi="Times New Roman" w:eastAsia="宋体"/>
                <w:b w:val="0"/>
                <w:i w:val="0"/>
                <w:sz w:val="17"/>
              </w:rPr>
              <w:t>REPORT_ANALYSIS</w:t>
            </w:r>
          </w:p>
        </w:tc>
        <w:tc>
          <w:tcPr>
            <w:tcW w:type="dxa" w:w="800"/>
          </w:tcPr>
          <w:p>
            <w:pPr>
              <w:spacing w:after="20"/>
            </w:pPr>
            <w:r/>
            <w:r>
              <w:rPr>
                <w:rFonts w:ascii="Times New Roman" w:hAnsi="Times New Roman" w:eastAsia="宋体"/>
                <w:b w:val="0"/>
                <w:i w:val="0"/>
                <w:sz w:val="17"/>
              </w:rPr>
              <w:t>150</w:t>
            </w:r>
          </w:p>
        </w:tc>
        <w:tc>
          <w:tcPr>
            <w:tcW w:type="dxa" w:w="800"/>
          </w:tcPr>
          <w:p>
            <w:pPr>
              <w:spacing w:after="20"/>
            </w:pPr>
            <w:r/>
            <w:r>
              <w:rPr>
                <w:rFonts w:ascii="Times New Roman" w:hAnsi="Times New Roman" w:eastAsia="宋体"/>
                <w:b w:val="0"/>
                <w:i w:val="0"/>
                <w:sz w:val="17"/>
              </w:rPr>
              <w:t>127</w:t>
            </w:r>
          </w:p>
        </w:tc>
        <w:tc>
          <w:tcPr>
            <w:tcW w:type="dxa" w:w="771"/>
          </w:tcPr>
          <w:p>
            <w:pPr>
              <w:spacing w:after="20"/>
            </w:pPr>
            <w:r/>
            <w:r>
              <w:rPr>
                <w:rFonts w:ascii="Times New Roman" w:hAnsi="Times New Roman" w:eastAsia="宋体"/>
                <w:b w:val="0"/>
                <w:i w:val="0"/>
                <w:sz w:val="17"/>
              </w:rPr>
              <w:t>84.7%</w:t>
            </w:r>
          </w:p>
        </w:tc>
        <w:tc>
          <w:tcPr>
            <w:tcW w:type="dxa" w:w="4332"/>
          </w:tcPr>
          <w:p>
            <w:pPr>
              <w:spacing w:after="20"/>
            </w:pPr>
            <w:r/>
            <w:r>
              <w:rPr>
                <w:rFonts w:ascii="Times New Roman" w:hAnsi="Times New Roman" w:eastAsia="宋体"/>
                <w:b w:val="0"/>
                <w:i w:val="0"/>
                <w:sz w:val="17"/>
              </w:rPr>
              <w:t>PRACTICE_HUMAN_CAUSE（75）、PRACTICE_SKILL_CAUSE（52）</w:t>
            </w:r>
          </w:p>
        </w:tc>
      </w:tr>
      <w:tr>
        <w:trPr>
          <w:cantSplit w:val="true"/>
        </w:trPr>
        <w:tc>
          <w:tcPr>
            <w:tcW w:type="dxa" w:w="2298"/>
          </w:tcPr>
          <w:p>
            <w:pPr>
              <w:spacing w:after="20"/>
            </w:pPr>
            <w:r/>
            <w:r>
              <w:rPr>
                <w:rFonts w:ascii="Times New Roman" w:hAnsi="Times New Roman" w:eastAsia="宋体"/>
                <w:b w:val="0"/>
                <w:i w:val="0"/>
                <w:sz w:val="17"/>
              </w:rPr>
              <w:t>合计</w:t>
            </w:r>
          </w:p>
        </w:tc>
        <w:tc>
          <w:tcPr>
            <w:tcW w:type="dxa" w:w="800"/>
          </w:tcPr>
          <w:p>
            <w:pPr>
              <w:spacing w:after="20"/>
            </w:pPr>
            <w:r/>
            <w:r>
              <w:rPr>
                <w:rFonts w:ascii="Times New Roman" w:hAnsi="Times New Roman" w:eastAsia="宋体"/>
                <w:b w:val="0"/>
                <w:i w:val="0"/>
                <w:sz w:val="17"/>
              </w:rPr>
              <w:t>450</w:t>
            </w:r>
          </w:p>
        </w:tc>
        <w:tc>
          <w:tcPr>
            <w:tcW w:type="dxa" w:w="800"/>
          </w:tcPr>
          <w:p>
            <w:pPr>
              <w:spacing w:after="20"/>
            </w:pPr>
            <w:r/>
            <w:r>
              <w:rPr>
                <w:rFonts w:ascii="Times New Roman" w:hAnsi="Times New Roman" w:eastAsia="宋体"/>
                <w:b w:val="0"/>
                <w:i w:val="0"/>
                <w:sz w:val="17"/>
              </w:rPr>
              <w:t>404</w:t>
            </w:r>
          </w:p>
        </w:tc>
        <w:tc>
          <w:tcPr>
            <w:tcW w:type="dxa" w:w="771"/>
          </w:tcPr>
          <w:p>
            <w:pPr>
              <w:spacing w:after="20"/>
            </w:pPr>
            <w:r/>
            <w:r>
              <w:rPr>
                <w:rFonts w:ascii="Times New Roman" w:hAnsi="Times New Roman" w:eastAsia="宋体"/>
                <w:b w:val="0"/>
                <w:i w:val="0"/>
                <w:sz w:val="17"/>
              </w:rPr>
              <w:t>89.8%</w:t>
            </w:r>
          </w:p>
        </w:tc>
        <w:tc>
          <w:tcPr>
            <w:tcW w:type="dxa" w:w="4332"/>
          </w:tcPr>
          <w:p>
            <w:pPr>
              <w:spacing w:after="20"/>
            </w:pPr>
            <w:r/>
            <w:r>
              <w:rPr>
                <w:rFonts w:ascii="Times New Roman" w:hAnsi="Times New Roman" w:eastAsia="宋体"/>
                <w:b w:val="0"/>
                <w:i w:val="0"/>
                <w:sz w:val="17"/>
              </w:rPr>
              <w:t>—</w:t>
            </w:r>
          </w:p>
        </w:tc>
      </w:tr>
      <w:tr>
        <w:trPr>
          <w:cantSplit w:val="true"/>
        </w:trPr>
        <w:tc>
          <w:tcPr>
            <w:tcW w:type="dxa" w:w="2298"/>
          </w:tcPr>
          <w:p>
            <w:pPr>
              <w:spacing w:after="20"/>
            </w:pPr>
            <w:r/>
            <w:r>
              <w:rPr>
                <w:rFonts w:ascii="Times New Roman" w:hAnsi="Times New Roman" w:eastAsia="宋体"/>
                <w:b w:val="0"/>
                <w:i w:val="0"/>
                <w:sz w:val="17"/>
              </w:rPr>
              <w:t>档案级覆盖</w:t>
            </w:r>
          </w:p>
        </w:tc>
        <w:tc>
          <w:tcPr>
            <w:tcW w:type="dxa" w:w="800"/>
          </w:tcPr>
          <w:p>
            <w:pPr>
              <w:spacing w:after="20"/>
            </w:pPr>
            <w:r/>
            <w:r>
              <w:rPr>
                <w:rFonts w:ascii="Times New Roman" w:hAnsi="Times New Roman" w:eastAsia="宋体"/>
                <w:b w:val="0"/>
                <w:i w:val="0"/>
                <w:sz w:val="17"/>
              </w:rPr>
              <w:t>150</w:t>
            </w:r>
          </w:p>
        </w:tc>
        <w:tc>
          <w:tcPr>
            <w:tcW w:type="dxa" w:w="800"/>
          </w:tcPr>
          <w:p>
            <w:pPr>
              <w:spacing w:after="20"/>
            </w:pPr>
            <w:r/>
            <w:r>
              <w:rPr>
                <w:rFonts w:ascii="Times New Roman" w:hAnsi="Times New Roman" w:eastAsia="宋体"/>
                <w:b w:val="0"/>
                <w:i w:val="0"/>
                <w:sz w:val="17"/>
              </w:rPr>
              <w:t>150</w:t>
            </w:r>
          </w:p>
        </w:tc>
        <w:tc>
          <w:tcPr>
            <w:tcW w:type="dxa" w:w="771"/>
          </w:tcPr>
          <w:p>
            <w:pPr>
              <w:spacing w:after="20"/>
            </w:pPr>
            <w:r/>
            <w:r>
              <w:rPr>
                <w:rFonts w:ascii="Times New Roman" w:hAnsi="Times New Roman" w:eastAsia="宋体"/>
                <w:b w:val="0"/>
                <w:i w:val="0"/>
                <w:sz w:val="17"/>
              </w:rPr>
              <w:t>100%</w:t>
            </w:r>
          </w:p>
        </w:tc>
        <w:tc>
          <w:tcPr>
            <w:tcW w:type="dxa" w:w="4332"/>
          </w:tcPr>
          <w:p>
            <w:pPr>
              <w:spacing w:after="20"/>
            </w:pPr>
            <w:r/>
            <w:r>
              <w:rPr>
                <w:rFonts w:ascii="Times New Roman" w:hAnsi="Times New Roman" w:eastAsia="宋体"/>
                <w:b w:val="0"/>
                <w:i w:val="0"/>
                <w:sz w:val="17"/>
              </w:rPr>
              <w:t>至少命中一条规则</w:t>
            </w:r>
          </w:p>
        </w:tc>
      </w:tr>
    </w:tbl>
    <w:p>
      <w:pPr>
        <w:spacing w:after="40"/>
      </w:pPr>
    </w:p>
    <w:p>
      <w:pPr>
        <w:ind w:firstLine="420"/>
        <w:jc w:val="both"/>
      </w:pPr>
      <w:r>
        <w:rPr>
          <w:rFonts w:ascii="Times New Roman" w:hAnsi="Times New Roman" w:eastAsia="宋体"/>
          <w:b w:val="0"/>
          <w:i w:val="0"/>
          <w:sz w:val="21"/>
        </w:rPr>
        <w:t>面向业务口径的校验结果如下。低于课程合格线的 132 份档案全部命中，漏报与误报均为 0，召回率与精确率均为 100%；证书等级低于授权门槛的 120 份档案亦全部命中，另有 25 份因安全记录单独触发安全组规则，合计 145 次。150 份档案中 125 份带安全负例（授权类违规 75 份），全部由安全组显式处置，未处置数为 0。</w:t>
      </w:r>
    </w:p>
    <w:p>
      <w:pPr>
        <w:ind w:firstLine="420"/>
        <w:jc w:val="both"/>
      </w:pPr>
      <w:r>
        <w:rPr>
          <w:rFonts w:ascii="Times New Roman" w:hAnsi="Times New Roman" w:eastAsia="宋体"/>
          <w:b w:val="0"/>
          <w:i w:val="0"/>
          <w:sz w:val="21"/>
        </w:rPr>
        <w:t>规则语义在 200 组网格上验证，结果见表 19：VALUE 组五档定档在两种口径下正确率均为 100%，终端规则 REPORT_GAS_WITHIN 在 40 组余量充足用例上全部命中，误升为「中」的用例为 0；KEYWORD 组的命中上限、严重度合并与事实引用解析均为 100%。所有启用规则至少命中一次，不存在不可达规则。各场景命中情况见图 4。</w:t>
      </w:r>
    </w:p>
    <w:p>
      <w:pPr>
        <w:spacing w:before="160" w:after="40"/>
        <w:jc w:val="center"/>
      </w:pPr>
      <w:r>
        <w:rPr>
          <w:rFonts w:ascii="Times New Roman" w:hAnsi="Times New Roman" w:eastAsia="宋体"/>
          <w:b/>
          <w:i w:val="0"/>
          <w:sz w:val="18"/>
        </w:rPr>
        <w:t xml:space="preserve">表 19　</w:t>
      </w:r>
      <w:r>
        <w:rPr>
          <w:rFonts w:ascii="Times New Roman" w:hAnsi="Times New Roman" w:eastAsia="宋体"/>
          <w:b w:val="0"/>
          <w:i w:val="0"/>
          <w:sz w:val="18"/>
        </w:rPr>
        <w:t>200 组参数网格上的规则语义验证结果。</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5863"/>
        <w:gridCol w:w="2111"/>
        <w:gridCol w:w="1026"/>
      </w:tblGrid>
      <w:tr>
        <w:trPr>
          <w:tblHeader w:val="true"/>
          <w:cantSplit w:val="true"/>
        </w:trPr>
        <w:tc>
          <w:tcPr>
            <w:tcW w:type="dxa" w:w="5863"/>
          </w:tcPr>
          <w:p>
            <w:pPr>
              <w:spacing w:after="20"/>
              <w:jc w:val="center"/>
            </w:pPr>
            <w:r/>
            <w:r>
              <w:rPr>
                <w:rFonts w:ascii="Times New Roman" w:hAnsi="Times New Roman" w:eastAsia="宋体"/>
                <w:b/>
                <w:i w:val="0"/>
                <w:sz w:val="17"/>
              </w:rPr>
              <w:t>验证项</w:t>
            </w:r>
          </w:p>
        </w:tc>
        <w:tc>
          <w:tcPr>
            <w:tcW w:type="dxa" w:w="2111"/>
          </w:tcPr>
          <w:p>
            <w:pPr>
              <w:spacing w:after="20"/>
              <w:jc w:val="center"/>
            </w:pPr>
            <w:r/>
            <w:r>
              <w:rPr>
                <w:rFonts w:ascii="Times New Roman" w:hAnsi="Times New Roman" w:eastAsia="宋体"/>
                <w:b/>
                <w:i w:val="0"/>
                <w:sz w:val="17"/>
              </w:rPr>
              <w:t>正确数</w:t>
            </w:r>
          </w:p>
        </w:tc>
        <w:tc>
          <w:tcPr>
            <w:tcW w:type="dxa" w:w="1026"/>
          </w:tcPr>
          <w:p>
            <w:pPr>
              <w:spacing w:after="20"/>
              <w:jc w:val="center"/>
            </w:pPr>
            <w:r/>
            <w:r>
              <w:rPr>
                <w:rFonts w:ascii="Times New Roman" w:hAnsi="Times New Roman" w:eastAsia="宋体"/>
                <w:b/>
                <w:i w:val="0"/>
                <w:sz w:val="17"/>
              </w:rPr>
              <w:t>正确率</w:t>
            </w:r>
          </w:p>
        </w:tc>
      </w:tr>
      <w:tr>
        <w:trPr>
          <w:cantSplit w:val="true"/>
        </w:trPr>
        <w:tc>
          <w:tcPr>
            <w:tcW w:type="dxa" w:w="5863"/>
          </w:tcPr>
          <w:p>
            <w:pPr>
              <w:spacing w:after="20"/>
            </w:pPr>
            <w:r/>
            <w:r>
              <w:rPr>
                <w:rFonts w:ascii="Times New Roman" w:hAnsi="Times New Roman" w:eastAsia="宋体"/>
                <w:b w:val="0"/>
                <w:i w:val="0"/>
                <w:sz w:val="17"/>
              </w:rPr>
              <w:t>VALUE 组定档阶梯（按业务意图）</w:t>
            </w:r>
          </w:p>
        </w:tc>
        <w:tc>
          <w:tcPr>
            <w:tcW w:type="dxa" w:w="2111"/>
          </w:tcPr>
          <w:p>
            <w:pPr>
              <w:spacing w:after="20"/>
            </w:pPr>
            <w:r/>
            <w:r>
              <w:rPr>
                <w:rFonts w:ascii="Times New Roman" w:hAnsi="Times New Roman" w:eastAsia="宋体"/>
                <w:b w:val="0"/>
                <w:i w:val="0"/>
                <w:sz w:val="17"/>
              </w:rPr>
              <w:t>200 / 200</w:t>
            </w:r>
          </w:p>
        </w:tc>
        <w:tc>
          <w:tcPr>
            <w:tcW w:type="dxa" w:w="1026"/>
          </w:tcPr>
          <w:p>
            <w:pPr>
              <w:spacing w:after="20"/>
            </w:pPr>
            <w:r/>
            <w:r>
              <w:rPr>
                <w:rFonts w:ascii="Times New Roman" w:hAnsi="Times New Roman" w:eastAsia="宋体"/>
                <w:b w:val="0"/>
                <w:i w:val="0"/>
                <w:sz w:val="17"/>
              </w:rPr>
              <w:t>100%</w:t>
            </w:r>
          </w:p>
        </w:tc>
      </w:tr>
      <w:tr>
        <w:trPr>
          <w:cantSplit w:val="true"/>
        </w:trPr>
        <w:tc>
          <w:tcPr>
            <w:tcW w:type="dxa" w:w="5863"/>
          </w:tcPr>
          <w:p>
            <w:pPr>
              <w:spacing w:after="20"/>
            </w:pPr>
            <w:r/>
            <w:r>
              <w:rPr>
                <w:rFonts w:ascii="Times New Roman" w:hAnsi="Times New Roman" w:eastAsia="宋体"/>
                <w:b w:val="0"/>
                <w:i w:val="0"/>
                <w:sz w:val="17"/>
              </w:rPr>
              <w:t>VALUE 组定档阶梯（按条件实现）</w:t>
            </w:r>
          </w:p>
        </w:tc>
        <w:tc>
          <w:tcPr>
            <w:tcW w:type="dxa" w:w="2111"/>
          </w:tcPr>
          <w:p>
            <w:pPr>
              <w:spacing w:after="20"/>
            </w:pPr>
            <w:r/>
            <w:r>
              <w:rPr>
                <w:rFonts w:ascii="Times New Roman" w:hAnsi="Times New Roman" w:eastAsia="宋体"/>
                <w:b w:val="0"/>
                <w:i w:val="0"/>
                <w:sz w:val="17"/>
              </w:rPr>
              <w:t>200 / 200</w:t>
            </w:r>
          </w:p>
        </w:tc>
        <w:tc>
          <w:tcPr>
            <w:tcW w:type="dxa" w:w="1026"/>
          </w:tcPr>
          <w:p>
            <w:pPr>
              <w:spacing w:after="20"/>
            </w:pPr>
            <w:r/>
            <w:r>
              <w:rPr>
                <w:rFonts w:ascii="Times New Roman" w:hAnsi="Times New Roman" w:eastAsia="宋体"/>
                <w:b w:val="0"/>
                <w:i w:val="0"/>
                <w:sz w:val="17"/>
              </w:rPr>
              <w:t>100%</w:t>
            </w:r>
          </w:p>
        </w:tc>
      </w:tr>
      <w:tr>
        <w:trPr>
          <w:cantSplit w:val="true"/>
        </w:trPr>
        <w:tc>
          <w:tcPr>
            <w:tcW w:type="dxa" w:w="5863"/>
          </w:tcPr>
          <w:p>
            <w:pPr>
              <w:spacing w:after="20"/>
            </w:pPr>
            <w:r/>
            <w:r>
              <w:rPr>
                <w:rFonts w:ascii="Times New Roman" w:hAnsi="Times New Roman" w:eastAsia="宋体"/>
                <w:b w:val="0"/>
                <w:i w:val="0"/>
                <w:sz w:val="17"/>
              </w:rPr>
              <w:t>终端规则 REPORT_GAS_WITHIN 可达</w:t>
            </w:r>
          </w:p>
        </w:tc>
        <w:tc>
          <w:tcPr>
            <w:tcW w:type="dxa" w:w="2111"/>
          </w:tcPr>
          <w:p>
            <w:pPr>
              <w:spacing w:after="20"/>
            </w:pPr>
            <w:r/>
            <w:r>
              <w:rPr>
                <w:rFonts w:ascii="Times New Roman" w:hAnsi="Times New Roman" w:eastAsia="宋体"/>
                <w:b w:val="0"/>
                <w:i w:val="0"/>
                <w:sz w:val="17"/>
              </w:rPr>
              <w:t>40 / 40</w:t>
            </w:r>
          </w:p>
        </w:tc>
        <w:tc>
          <w:tcPr>
            <w:tcW w:type="dxa" w:w="1026"/>
          </w:tcPr>
          <w:p>
            <w:pPr>
              <w:spacing w:after="20"/>
            </w:pPr>
            <w:r/>
            <w:r>
              <w:rPr>
                <w:rFonts w:ascii="Times New Roman" w:hAnsi="Times New Roman" w:eastAsia="宋体"/>
                <w:b w:val="0"/>
                <w:i w:val="0"/>
                <w:sz w:val="17"/>
              </w:rPr>
              <w:t>100%</w:t>
            </w:r>
          </w:p>
        </w:tc>
      </w:tr>
      <w:tr>
        <w:trPr>
          <w:cantSplit w:val="true"/>
        </w:trPr>
        <w:tc>
          <w:tcPr>
            <w:tcW w:type="dxa" w:w="5863"/>
          </w:tcPr>
          <w:p>
            <w:pPr>
              <w:spacing w:after="20"/>
            </w:pPr>
            <w:r/>
            <w:r>
              <w:rPr>
                <w:rFonts w:ascii="Times New Roman" w:hAnsi="Times New Roman" w:eastAsia="宋体"/>
                <w:b w:val="0"/>
                <w:i w:val="0"/>
                <w:sz w:val="17"/>
              </w:rPr>
              <w:t>余量超过 10% 的读数误升为「中」</w:t>
            </w:r>
          </w:p>
        </w:tc>
        <w:tc>
          <w:tcPr>
            <w:tcW w:type="dxa" w:w="2111"/>
          </w:tcPr>
          <w:p>
            <w:pPr>
              <w:spacing w:after="20"/>
            </w:pPr>
            <w:r/>
            <w:r>
              <w:rPr>
                <w:rFonts w:ascii="Times New Roman" w:hAnsi="Times New Roman" w:eastAsia="宋体"/>
                <w:b w:val="0"/>
                <w:i w:val="0"/>
                <w:sz w:val="17"/>
              </w:rPr>
              <w:t>0 组</w:t>
            </w:r>
          </w:p>
        </w:tc>
        <w:tc>
          <w:tcPr>
            <w:tcW w:type="dxa" w:w="1026"/>
          </w:tcPr>
          <w:p>
            <w:pPr>
              <w:spacing w:after="20"/>
            </w:pPr>
            <w:r/>
            <w:r>
              <w:rPr>
                <w:rFonts w:ascii="Times New Roman" w:hAnsi="Times New Roman" w:eastAsia="宋体"/>
                <w:b w:val="0"/>
                <w:i w:val="0"/>
                <w:sz w:val="17"/>
              </w:rPr>
              <w:t>—</w:t>
            </w:r>
          </w:p>
        </w:tc>
      </w:tr>
      <w:tr>
        <w:trPr>
          <w:cantSplit w:val="true"/>
        </w:trPr>
        <w:tc>
          <w:tcPr>
            <w:tcW w:type="dxa" w:w="5863"/>
          </w:tcPr>
          <w:p>
            <w:pPr>
              <w:spacing w:after="20"/>
            </w:pPr>
            <w:r/>
            <w:r>
              <w:rPr>
                <w:rFonts w:ascii="Times New Roman" w:hAnsi="Times New Roman" w:eastAsia="宋体"/>
                <w:b w:val="0"/>
                <w:i w:val="0"/>
                <w:sz w:val="17"/>
              </w:rPr>
              <w:t>KEYWORD 组关键词补充（上限三条）</w:t>
            </w:r>
          </w:p>
        </w:tc>
        <w:tc>
          <w:tcPr>
            <w:tcW w:type="dxa" w:w="2111"/>
          </w:tcPr>
          <w:p>
            <w:pPr>
              <w:spacing w:after="20"/>
            </w:pPr>
            <w:r/>
            <w:r>
              <w:rPr>
                <w:rFonts w:ascii="Times New Roman" w:hAnsi="Times New Roman" w:eastAsia="宋体"/>
                <w:b w:val="0"/>
                <w:i w:val="0"/>
                <w:sz w:val="17"/>
              </w:rPr>
              <w:t>200 / 200</w:t>
            </w:r>
          </w:p>
        </w:tc>
        <w:tc>
          <w:tcPr>
            <w:tcW w:type="dxa" w:w="1026"/>
          </w:tcPr>
          <w:p>
            <w:pPr>
              <w:spacing w:after="20"/>
            </w:pPr>
            <w:r/>
            <w:r>
              <w:rPr>
                <w:rFonts w:ascii="Times New Roman" w:hAnsi="Times New Roman" w:eastAsia="宋体"/>
                <w:b w:val="0"/>
                <w:i w:val="0"/>
                <w:sz w:val="17"/>
              </w:rPr>
              <w:t>100%</w:t>
            </w:r>
          </w:p>
        </w:tc>
      </w:tr>
      <w:tr>
        <w:trPr>
          <w:cantSplit w:val="true"/>
        </w:trPr>
        <w:tc>
          <w:tcPr>
            <w:tcW w:type="dxa" w:w="5863"/>
          </w:tcPr>
          <w:p>
            <w:pPr>
              <w:spacing w:after="20"/>
            </w:pPr>
            <w:r/>
            <w:r>
              <w:rPr>
                <w:rFonts w:ascii="Times New Roman" w:hAnsi="Times New Roman" w:eastAsia="宋体"/>
                <w:b w:val="0"/>
                <w:i w:val="0"/>
                <w:sz w:val="17"/>
              </w:rPr>
              <w:t>严重度合并（取最严重者）</w:t>
            </w:r>
          </w:p>
        </w:tc>
        <w:tc>
          <w:tcPr>
            <w:tcW w:type="dxa" w:w="2111"/>
          </w:tcPr>
          <w:p>
            <w:pPr>
              <w:spacing w:after="20"/>
            </w:pPr>
            <w:r/>
            <w:r>
              <w:rPr>
                <w:rFonts w:ascii="Times New Roman" w:hAnsi="Times New Roman" w:eastAsia="宋体"/>
                <w:b w:val="0"/>
                <w:i w:val="0"/>
                <w:sz w:val="17"/>
              </w:rPr>
              <w:t>200 / 200</w:t>
            </w:r>
          </w:p>
        </w:tc>
        <w:tc>
          <w:tcPr>
            <w:tcW w:type="dxa" w:w="1026"/>
          </w:tcPr>
          <w:p>
            <w:pPr>
              <w:spacing w:after="20"/>
            </w:pPr>
            <w:r/>
            <w:r>
              <w:rPr>
                <w:rFonts w:ascii="Times New Roman" w:hAnsi="Times New Roman" w:eastAsia="宋体"/>
                <w:b w:val="0"/>
                <w:i w:val="0"/>
                <w:sz w:val="17"/>
              </w:rPr>
              <w:t>100%</w:t>
            </w:r>
          </w:p>
        </w:tc>
      </w:tr>
      <w:tr>
        <w:trPr>
          <w:cantSplit w:val="true"/>
        </w:trPr>
        <w:tc>
          <w:tcPr>
            <w:tcW w:type="dxa" w:w="5863"/>
          </w:tcPr>
          <w:p>
            <w:pPr>
              <w:spacing w:after="20"/>
            </w:pPr>
            <w:r/>
            <w:r>
              <w:rPr>
                <w:rFonts w:ascii="Times New Roman" w:hAnsi="Times New Roman" w:eastAsia="宋体"/>
                <w:b w:val="0"/>
                <w:i w:val="0"/>
                <w:sz w:val="17"/>
              </w:rPr>
              <w:t>*_from 事实引用解析</w:t>
            </w:r>
          </w:p>
        </w:tc>
        <w:tc>
          <w:tcPr>
            <w:tcW w:type="dxa" w:w="2111"/>
          </w:tcPr>
          <w:p>
            <w:pPr>
              <w:spacing w:after="20"/>
            </w:pPr>
            <w:r/>
            <w:r>
              <w:rPr>
                <w:rFonts w:ascii="Times New Roman" w:hAnsi="Times New Roman" w:eastAsia="宋体"/>
                <w:b w:val="0"/>
                <w:i w:val="0"/>
                <w:sz w:val="17"/>
              </w:rPr>
              <w:t>120 / 120</w:t>
            </w:r>
          </w:p>
        </w:tc>
        <w:tc>
          <w:tcPr>
            <w:tcW w:type="dxa" w:w="1026"/>
          </w:tcPr>
          <w:p>
            <w:pPr>
              <w:spacing w:after="20"/>
            </w:pPr>
            <w:r/>
            <w:r>
              <w:rPr>
                <w:rFonts w:ascii="Times New Roman" w:hAnsi="Times New Roman" w:eastAsia="宋体"/>
                <w:b w:val="0"/>
                <w:i w:val="0"/>
                <w:sz w:val="17"/>
              </w:rPr>
              <w:t>100%</w:t>
            </w:r>
          </w:p>
        </w:tc>
      </w:tr>
      <w:tr>
        <w:trPr>
          <w:cantSplit w:val="true"/>
        </w:trPr>
        <w:tc>
          <w:tcPr>
            <w:tcW w:type="dxa" w:w="5863"/>
          </w:tcPr>
          <w:p>
            <w:pPr>
              <w:spacing w:after="20"/>
            </w:pPr>
            <w:r/>
            <w:r>
              <w:rPr>
                <w:rFonts w:ascii="Times New Roman" w:hAnsi="Times New Roman" w:eastAsia="宋体"/>
                <w:b w:val="0"/>
                <w:i w:val="0"/>
                <w:sz w:val="17"/>
              </w:rPr>
              <w:t>不可达规则</w:t>
            </w:r>
          </w:p>
        </w:tc>
        <w:tc>
          <w:tcPr>
            <w:tcW w:type="dxa" w:w="2111"/>
          </w:tcPr>
          <w:p>
            <w:pPr>
              <w:spacing w:after="20"/>
            </w:pPr>
            <w:r/>
            <w:r>
              <w:rPr>
                <w:rFonts w:ascii="Times New Roman" w:hAnsi="Times New Roman" w:eastAsia="宋体"/>
                <w:b w:val="0"/>
                <w:i w:val="0"/>
                <w:sz w:val="17"/>
              </w:rPr>
              <w:t>0 条</w:t>
            </w:r>
          </w:p>
        </w:tc>
        <w:tc>
          <w:tcPr>
            <w:tcW w:type="dxa" w:w="1026"/>
          </w:tcPr>
          <w:p>
            <w:pPr>
              <w:spacing w:after="20"/>
            </w:pPr>
            <w:r/>
            <w:r>
              <w:rPr>
                <w:rFonts w:ascii="Times New Roman" w:hAnsi="Times New Roman" w:eastAsia="宋体"/>
                <w:b w:val="0"/>
                <w:i w:val="0"/>
                <w:sz w:val="17"/>
              </w:rPr>
              <w:t>—</w:t>
            </w:r>
          </w:p>
        </w:tc>
      </w:tr>
    </w:tbl>
    <w:p>
      <w:pPr>
        <w:spacing w:after="40"/>
      </w:pPr>
    </w:p>
    <w:p>
      <w:pPr>
        <w:jc w:val="center"/>
      </w:pPr>
      <w:r>
        <w:drawing>
          <wp:inline xmlns:a="http://schemas.openxmlformats.org/drawingml/2006/main" xmlns:pic="http://schemas.openxmlformats.org/drawingml/2006/picture">
            <wp:extent cx="3931920" cy="2229543"/>
            <wp:docPr id="4" name="Picture 4"/>
            <wp:cNvGraphicFramePr>
              <a:graphicFrameLocks noChangeAspect="1"/>
            </wp:cNvGraphicFramePr>
            <a:graphic>
              <a:graphicData uri="http://schemas.openxmlformats.org/drawingml/2006/picture">
                <pic:pic>
                  <pic:nvPicPr>
                    <pic:cNvPr id="0" name="fig4_coverage.png"/>
                    <pic:cNvPicPr/>
                  </pic:nvPicPr>
                  <pic:blipFill>
                    <a:blip r:embed="rId12"/>
                    <a:stretch>
                      <a:fillRect/>
                    </a:stretch>
                  </pic:blipFill>
                  <pic:spPr>
                    <a:xfrm>
                      <a:off x="0" y="0"/>
                      <a:ext cx="3931920" cy="2229543"/>
                    </a:xfrm>
                    <a:prstGeom prst="rect"/>
                  </pic:spPr>
                </pic:pic>
              </a:graphicData>
            </a:graphic>
          </wp:inline>
        </w:drawing>
      </w:r>
    </w:p>
    <w:p>
      <w:pPr>
        <w:spacing w:after="200"/>
        <w:jc w:val="center"/>
      </w:pPr>
      <w:r>
        <w:rPr>
          <w:rFonts w:ascii="Times New Roman" w:hAnsi="Times New Roman" w:eastAsia="宋体"/>
          <w:b/>
          <w:i w:val="0"/>
          <w:sz w:val="18"/>
        </w:rPr>
        <w:t xml:space="preserve">图 4　</w:t>
      </w:r>
      <w:r>
        <w:rPr>
          <w:rFonts w:ascii="Times New Roman" w:hAnsi="Times New Roman" w:eastAsia="宋体"/>
          <w:b w:val="0"/>
          <w:i w:val="0"/>
          <w:sz w:val="18"/>
        </w:rPr>
        <w:t>各场景命中率与档案级覆盖率。三个场景的命中率分别为 96.7%、88.0% 与 84.7%，所有档案均至少命中一条规则。</w:t>
      </w:r>
    </w:p>
    <w:p>
      <w:pPr>
        <w:spacing w:before="200" w:after="80"/>
      </w:pPr>
      <w:r>
        <w:rPr>
          <w:rFonts w:ascii="Times New Roman" w:hAnsi="Times New Roman" w:eastAsia="黑体"/>
          <w:b/>
          <w:i w:val="0"/>
          <w:sz w:val="21"/>
        </w:rPr>
        <w:t>5.4　确定性与执行性能</w:t>
      </w:r>
    </w:p>
    <w:p>
      <w:pPr>
        <w:ind w:firstLine="420"/>
        <w:jc w:val="both"/>
      </w:pPr>
      <w:r>
        <w:rPr>
          <w:rFonts w:ascii="Times New Roman" w:hAnsi="Times New Roman" w:eastAsia="宋体"/>
          <w:b w:val="0"/>
          <w:i w:val="0"/>
          <w:sz w:val="21"/>
        </w:rPr>
        <w:t>表 20 给出确定性与时延。450 次重复执行逐字节一致，规则物理顺序颠倒后结论不变，因排序按优先级与编号归一化。进程内单次求值平均 0.0122 ms、95 分位 0.0194 ms，不含数据库访问、事实组装、模型推理与网络往返，不能视为端到端时延。</w:t>
      </w:r>
    </w:p>
    <w:p>
      <w:pPr>
        <w:spacing w:before="160" w:after="40"/>
        <w:jc w:val="center"/>
      </w:pPr>
      <w:r>
        <w:rPr>
          <w:rFonts w:ascii="Times New Roman" w:hAnsi="Times New Roman" w:eastAsia="宋体"/>
          <w:b/>
          <w:i w:val="0"/>
          <w:sz w:val="18"/>
        </w:rPr>
        <w:t xml:space="preserve">表 20　</w:t>
      </w:r>
      <w:r>
        <w:rPr>
          <w:rFonts w:ascii="Times New Roman" w:hAnsi="Times New Roman" w:eastAsia="宋体"/>
          <w:b w:val="0"/>
          <w:i w:val="0"/>
          <w:sz w:val="18"/>
        </w:rPr>
        <w:t>确定性与执行性能。末三行为模型路径，与规则路径不在同一量级。</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4687"/>
        <w:gridCol w:w="4312"/>
      </w:tblGrid>
      <w:tr>
        <w:trPr>
          <w:tblHeader w:val="true"/>
          <w:cantSplit w:val="true"/>
        </w:trPr>
        <w:tc>
          <w:tcPr>
            <w:tcW w:type="dxa" w:w="4687"/>
          </w:tcPr>
          <w:p>
            <w:pPr>
              <w:spacing w:after="20"/>
              <w:jc w:val="center"/>
            </w:pPr>
            <w:r/>
            <w:r>
              <w:rPr>
                <w:rFonts w:ascii="Times New Roman" w:hAnsi="Times New Roman" w:eastAsia="宋体"/>
                <w:b/>
                <w:i w:val="0"/>
                <w:sz w:val="17"/>
              </w:rPr>
              <w:t>指标</w:t>
            </w:r>
          </w:p>
        </w:tc>
        <w:tc>
          <w:tcPr>
            <w:tcW w:type="dxa" w:w="4312"/>
          </w:tcPr>
          <w:p>
            <w:pPr>
              <w:spacing w:after="20"/>
              <w:jc w:val="center"/>
            </w:pPr>
            <w:r/>
            <w:r>
              <w:rPr>
                <w:rFonts w:ascii="Times New Roman" w:hAnsi="Times New Roman" w:eastAsia="宋体"/>
                <w:b/>
                <w:i w:val="0"/>
                <w:sz w:val="17"/>
              </w:rPr>
              <w:t>数值</w:t>
            </w:r>
          </w:p>
        </w:tc>
      </w:tr>
      <w:tr>
        <w:trPr>
          <w:cantSplit w:val="true"/>
        </w:trPr>
        <w:tc>
          <w:tcPr>
            <w:tcW w:type="dxa" w:w="4687"/>
          </w:tcPr>
          <w:p>
            <w:pPr>
              <w:spacing w:after="20"/>
            </w:pPr>
            <w:r/>
            <w:r>
              <w:rPr>
                <w:rFonts w:ascii="Times New Roman" w:hAnsi="Times New Roman" w:eastAsia="宋体"/>
                <w:b w:val="0"/>
                <w:i w:val="0"/>
                <w:sz w:val="17"/>
              </w:rPr>
              <w:t>执行次数</w:t>
            </w:r>
          </w:p>
        </w:tc>
        <w:tc>
          <w:tcPr>
            <w:tcW w:type="dxa" w:w="4312"/>
          </w:tcPr>
          <w:p>
            <w:pPr>
              <w:spacing w:after="20"/>
            </w:pPr>
            <w:r/>
            <w:r>
              <w:rPr>
                <w:rFonts w:ascii="Times New Roman" w:hAnsi="Times New Roman" w:eastAsia="宋体"/>
                <w:b w:val="0"/>
                <w:i w:val="0"/>
                <w:sz w:val="17"/>
              </w:rPr>
              <w:t>450</w:t>
            </w:r>
          </w:p>
        </w:tc>
      </w:tr>
      <w:tr>
        <w:trPr>
          <w:cantSplit w:val="true"/>
        </w:trPr>
        <w:tc>
          <w:tcPr>
            <w:tcW w:type="dxa" w:w="4687"/>
          </w:tcPr>
          <w:p>
            <w:pPr>
              <w:spacing w:after="20"/>
            </w:pPr>
            <w:r/>
            <w:r>
              <w:rPr>
                <w:rFonts w:ascii="Times New Roman" w:hAnsi="Times New Roman" w:eastAsia="宋体"/>
                <w:b w:val="0"/>
                <w:i w:val="0"/>
                <w:sz w:val="17"/>
              </w:rPr>
              <w:t>重复执行逐字节一致</w:t>
            </w:r>
          </w:p>
        </w:tc>
        <w:tc>
          <w:tcPr>
            <w:tcW w:type="dxa" w:w="4312"/>
          </w:tcPr>
          <w:p>
            <w:pPr>
              <w:spacing w:after="20"/>
            </w:pPr>
            <w:r/>
            <w:r>
              <w:rPr>
                <w:rFonts w:ascii="Times New Roman" w:hAnsi="Times New Roman" w:eastAsia="宋体"/>
                <w:b w:val="0"/>
                <w:i w:val="0"/>
                <w:sz w:val="17"/>
              </w:rPr>
              <w:t>450 / 450</w:t>
            </w:r>
          </w:p>
        </w:tc>
      </w:tr>
      <w:tr>
        <w:trPr>
          <w:cantSplit w:val="true"/>
        </w:trPr>
        <w:tc>
          <w:tcPr>
            <w:tcW w:type="dxa" w:w="4687"/>
          </w:tcPr>
          <w:p>
            <w:pPr>
              <w:spacing w:after="20"/>
            </w:pPr>
            <w:r/>
            <w:r>
              <w:rPr>
                <w:rFonts w:ascii="Times New Roman" w:hAnsi="Times New Roman" w:eastAsia="宋体"/>
                <w:b w:val="0"/>
                <w:i w:val="0"/>
                <w:sz w:val="17"/>
              </w:rPr>
              <w:t>规则物理顺序打乱后结论一致</w:t>
            </w:r>
          </w:p>
        </w:tc>
        <w:tc>
          <w:tcPr>
            <w:tcW w:type="dxa" w:w="4312"/>
          </w:tcPr>
          <w:p>
            <w:pPr>
              <w:spacing w:after="20"/>
            </w:pPr>
            <w:r/>
            <w:r>
              <w:rPr>
                <w:rFonts w:ascii="Times New Roman" w:hAnsi="Times New Roman" w:eastAsia="宋体"/>
                <w:b w:val="0"/>
                <w:i w:val="0"/>
                <w:sz w:val="17"/>
              </w:rPr>
              <w:t>450 / 450</w:t>
            </w:r>
          </w:p>
        </w:tc>
      </w:tr>
      <w:tr>
        <w:trPr>
          <w:cantSplit w:val="true"/>
        </w:trPr>
        <w:tc>
          <w:tcPr>
            <w:tcW w:type="dxa" w:w="4687"/>
          </w:tcPr>
          <w:p>
            <w:pPr>
              <w:spacing w:after="20"/>
            </w:pPr>
            <w:r/>
            <w:r>
              <w:rPr>
                <w:rFonts w:ascii="Times New Roman" w:hAnsi="Times New Roman" w:eastAsia="宋体"/>
                <w:b w:val="0"/>
                <w:i w:val="0"/>
                <w:sz w:val="17"/>
              </w:rPr>
              <w:t>单次求值均值</w:t>
            </w:r>
          </w:p>
        </w:tc>
        <w:tc>
          <w:tcPr>
            <w:tcW w:type="dxa" w:w="4312"/>
          </w:tcPr>
          <w:p>
            <w:pPr>
              <w:spacing w:after="20"/>
            </w:pPr>
            <w:r/>
            <w:r>
              <w:rPr>
                <w:rFonts w:ascii="Times New Roman" w:hAnsi="Times New Roman" w:eastAsia="宋体"/>
                <w:b w:val="0"/>
                <w:i w:val="0"/>
                <w:sz w:val="17"/>
              </w:rPr>
              <w:t>0.0122 ms</w:t>
            </w:r>
          </w:p>
        </w:tc>
      </w:tr>
      <w:tr>
        <w:trPr>
          <w:cantSplit w:val="true"/>
        </w:trPr>
        <w:tc>
          <w:tcPr>
            <w:tcW w:type="dxa" w:w="4687"/>
          </w:tcPr>
          <w:p>
            <w:pPr>
              <w:spacing w:after="20"/>
            </w:pPr>
            <w:r/>
            <w:r>
              <w:rPr>
                <w:rFonts w:ascii="Times New Roman" w:hAnsi="Times New Roman" w:eastAsia="宋体"/>
                <w:b w:val="0"/>
                <w:i w:val="0"/>
                <w:sz w:val="17"/>
              </w:rPr>
              <w:t>单次求值 p50、p95、最大值</w:t>
            </w:r>
          </w:p>
        </w:tc>
        <w:tc>
          <w:tcPr>
            <w:tcW w:type="dxa" w:w="4312"/>
          </w:tcPr>
          <w:p>
            <w:pPr>
              <w:spacing w:after="20"/>
            </w:pPr>
            <w:r/>
            <w:r>
              <w:rPr>
                <w:rFonts w:ascii="Times New Roman" w:hAnsi="Times New Roman" w:eastAsia="宋体"/>
                <w:b w:val="0"/>
                <w:i w:val="0"/>
                <w:sz w:val="17"/>
              </w:rPr>
              <w:t>0.0105、0.0194、0.0609 ms</w:t>
            </w:r>
          </w:p>
        </w:tc>
      </w:tr>
      <w:tr>
        <w:trPr>
          <w:cantSplit w:val="true"/>
        </w:trPr>
        <w:tc>
          <w:tcPr>
            <w:tcW w:type="dxa" w:w="4687"/>
          </w:tcPr>
          <w:p>
            <w:pPr>
              <w:spacing w:after="20"/>
            </w:pPr>
            <w:r/>
            <w:r>
              <w:rPr>
                <w:rFonts w:ascii="Times New Roman" w:hAnsi="Times New Roman" w:eastAsia="宋体"/>
                <w:b w:val="0"/>
                <w:i w:val="0"/>
                <w:sz w:val="17"/>
              </w:rPr>
              <w:t>模型端到端 p50、均值、最大值（留出 20 条）</w:t>
            </w:r>
          </w:p>
        </w:tc>
        <w:tc>
          <w:tcPr>
            <w:tcW w:type="dxa" w:w="4312"/>
          </w:tcPr>
          <w:p>
            <w:pPr>
              <w:spacing w:after="20"/>
            </w:pPr>
            <w:r/>
            <w:r>
              <w:rPr>
                <w:rFonts w:ascii="Times New Roman" w:hAnsi="Times New Roman" w:eastAsia="宋体"/>
                <w:b w:val="0"/>
                <w:i w:val="0"/>
                <w:sz w:val="17"/>
              </w:rPr>
              <w:t>105.4、124.3、324.7 s</w:t>
            </w:r>
          </w:p>
        </w:tc>
      </w:tr>
      <w:tr>
        <w:trPr>
          <w:cantSplit w:val="true"/>
        </w:trPr>
        <w:tc>
          <w:tcPr>
            <w:tcW w:type="dxa" w:w="4687"/>
          </w:tcPr>
          <w:p>
            <w:pPr>
              <w:spacing w:after="20"/>
            </w:pPr>
            <w:r/>
            <w:r>
              <w:rPr>
                <w:rFonts w:ascii="Times New Roman" w:hAnsi="Times New Roman" w:eastAsia="宋体"/>
                <w:b w:val="0"/>
                <w:i w:val="0"/>
                <w:sz w:val="17"/>
              </w:rPr>
              <w:t>模型端到端 p50、均值、最大值（原样 6 条）</w:t>
            </w:r>
          </w:p>
        </w:tc>
        <w:tc>
          <w:tcPr>
            <w:tcW w:type="dxa" w:w="4312"/>
          </w:tcPr>
          <w:p>
            <w:pPr>
              <w:spacing w:after="20"/>
            </w:pPr>
            <w:r/>
            <w:r>
              <w:rPr>
                <w:rFonts w:ascii="Times New Roman" w:hAnsi="Times New Roman" w:eastAsia="宋体"/>
                <w:b w:val="0"/>
                <w:i w:val="0"/>
                <w:sz w:val="17"/>
              </w:rPr>
              <w:t>99.3、96.5、108.0 s</w:t>
            </w:r>
          </w:p>
        </w:tc>
      </w:tr>
    </w:tbl>
    <w:p>
      <w:pPr>
        <w:spacing w:after="40"/>
      </w:pPr>
    </w:p>
    <w:p>
      <w:pPr>
        <w:ind w:firstLine="420"/>
        <w:jc w:val="both"/>
      </w:pPr>
      <w:r>
        <w:rPr>
          <w:rFonts w:ascii="Times New Roman" w:hAnsi="Times New Roman" w:eastAsia="宋体"/>
          <w:b w:val="0"/>
          <w:i w:val="0"/>
          <w:sz w:val="21"/>
        </w:rPr>
        <w:t>模型路径的端到端时延中位数为 105.4 s，均值为 124.3 s，最长 324.7 s，该结果对应 3B 模型、4-bit 量化、4096 上下文与单张 8 GB 显卡，且采集期间前端并行调用同一服务。两条路径的时延相差约七个数量级，见图 5。这一差距并非调优可消除，而是决定了部署形态：模型路径必须异步执行、可回退，并由规则路径兜底，不能置于任何同步交互的必经链路上。</w:t>
      </w:r>
    </w:p>
    <w:p>
      <w:pPr>
        <w:jc w:val="center"/>
      </w:pPr>
      <w:r>
        <w:drawing>
          <wp:inline xmlns:a="http://schemas.openxmlformats.org/drawingml/2006/main" xmlns:pic="http://schemas.openxmlformats.org/drawingml/2006/picture">
            <wp:extent cx="3931920" cy="2364488"/>
            <wp:docPr id="5" name="Picture 5"/>
            <wp:cNvGraphicFramePr>
              <a:graphicFrameLocks noChangeAspect="1"/>
            </wp:cNvGraphicFramePr>
            <a:graphic>
              <a:graphicData uri="http://schemas.openxmlformats.org/drawingml/2006/picture">
                <pic:pic>
                  <pic:nvPicPr>
                    <pic:cNvPr id="0" name="fig5_latency.png"/>
                    <pic:cNvPicPr/>
                  </pic:nvPicPr>
                  <pic:blipFill>
                    <a:blip r:embed="rId13"/>
                    <a:stretch>
                      <a:fillRect/>
                    </a:stretch>
                  </pic:blipFill>
                  <pic:spPr>
                    <a:xfrm>
                      <a:off x="0" y="0"/>
                      <a:ext cx="3931920" cy="2364488"/>
                    </a:xfrm>
                    <a:prstGeom prst="rect"/>
                  </pic:spPr>
                </pic:pic>
              </a:graphicData>
            </a:graphic>
          </wp:inline>
        </w:drawing>
      </w:r>
    </w:p>
    <w:p>
      <w:pPr>
        <w:spacing w:after="200"/>
        <w:jc w:val="center"/>
      </w:pPr>
      <w:r>
        <w:rPr>
          <w:rFonts w:ascii="Times New Roman" w:hAnsi="Times New Roman" w:eastAsia="宋体"/>
          <w:b/>
          <w:i w:val="0"/>
          <w:sz w:val="18"/>
        </w:rPr>
        <w:t xml:space="preserve">图 5　</w:t>
      </w:r>
      <w:r>
        <w:rPr>
          <w:rFonts w:ascii="Times New Roman" w:hAnsi="Times New Roman" w:eastAsia="宋体"/>
          <w:b w:val="0"/>
          <w:i w:val="0"/>
          <w:sz w:val="18"/>
        </w:rPr>
        <w:t>两条路径的单次响应时间（对数坐标）。规则路径取 95 分位，模型路径取中位数。</w:t>
      </w:r>
    </w:p>
    <w:p>
      <w:pPr>
        <w:spacing w:before="200" w:after="80"/>
      </w:pPr>
      <w:r>
        <w:rPr>
          <w:rFonts w:ascii="Times New Roman" w:hAnsi="Times New Roman" w:eastAsia="黑体"/>
          <w:b/>
          <w:i w:val="0"/>
          <w:sz w:val="21"/>
        </w:rPr>
        <w:t>5.5　模型输出质量</w:t>
      </w:r>
    </w:p>
    <w:p>
      <w:pPr>
        <w:ind w:firstLine="420"/>
        <w:jc w:val="both"/>
      </w:pPr>
      <w:r>
        <w:rPr>
          <w:rFonts w:ascii="Times New Roman" w:hAnsi="Times New Roman" w:eastAsia="宋体"/>
          <w:b w:val="0"/>
          <w:i w:val="0"/>
          <w:sz w:val="21"/>
        </w:rPr>
        <w:t>表 21 为模型实测结果。20 条留出样本的输出均为合法 JSON 且符合六键契约；差距项集合与缺口清单一致，三个等级与事实清单逐项对应，影响等级与雷达优先级一致，排期晚于当前日期且严格递增；每条理由均带有效事实编号，平均引用 4.75 个事实；数值全部可溯源，安全边界均出现在输出中。十项校验在 26 条样本上全部通过，训练原样样本结果与留出样本一致，说明模型未依赖对特定提示词的记忆。</w:t>
      </w:r>
    </w:p>
    <w:p>
      <w:pPr>
        <w:spacing w:before="160" w:after="40"/>
        <w:jc w:val="center"/>
      </w:pPr>
      <w:r>
        <w:rPr>
          <w:rFonts w:ascii="Times New Roman" w:hAnsi="Times New Roman" w:eastAsia="宋体"/>
          <w:b/>
          <w:i w:val="0"/>
          <w:sz w:val="18"/>
        </w:rPr>
        <w:t xml:space="preserve">表 21　</w:t>
      </w:r>
      <w:r>
        <w:rPr>
          <w:rFonts w:ascii="Times New Roman" w:hAnsi="Times New Roman" w:eastAsia="宋体"/>
          <w:b w:val="0"/>
          <w:i w:val="0"/>
          <w:sz w:val="18"/>
        </w:rPr>
        <w:t>模型输出的实测合规率。留出样本 20 条，训练原样样本 6 条。</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3732"/>
        <w:gridCol w:w="2854"/>
        <w:gridCol w:w="2415"/>
      </w:tblGrid>
      <w:tr>
        <w:trPr>
          <w:tblHeader w:val="true"/>
          <w:cantSplit w:val="true"/>
        </w:trPr>
        <w:tc>
          <w:tcPr>
            <w:tcW w:type="dxa" w:w="3732"/>
          </w:tcPr>
          <w:p>
            <w:pPr>
              <w:spacing w:after="20"/>
              <w:jc w:val="center"/>
            </w:pPr>
            <w:r/>
            <w:r>
              <w:rPr>
                <w:rFonts w:ascii="Times New Roman" w:hAnsi="Times New Roman" w:eastAsia="宋体"/>
                <w:b/>
                <w:i w:val="0"/>
                <w:sz w:val="17"/>
              </w:rPr>
              <w:t>评测项</w:t>
            </w:r>
          </w:p>
        </w:tc>
        <w:tc>
          <w:tcPr>
            <w:tcW w:type="dxa" w:w="2854"/>
          </w:tcPr>
          <w:p>
            <w:pPr>
              <w:spacing w:after="20"/>
              <w:jc w:val="center"/>
            </w:pPr>
            <w:r/>
            <w:r>
              <w:rPr>
                <w:rFonts w:ascii="Times New Roman" w:hAnsi="Times New Roman" w:eastAsia="宋体"/>
                <w:b/>
                <w:i w:val="0"/>
                <w:sz w:val="17"/>
              </w:rPr>
              <w:t>留出样本</w:t>
            </w:r>
          </w:p>
        </w:tc>
        <w:tc>
          <w:tcPr>
            <w:tcW w:type="dxa" w:w="2415"/>
          </w:tcPr>
          <w:p>
            <w:pPr>
              <w:spacing w:after="20"/>
              <w:jc w:val="center"/>
            </w:pPr>
            <w:r/>
            <w:r>
              <w:rPr>
                <w:rFonts w:ascii="Times New Roman" w:hAnsi="Times New Roman" w:eastAsia="宋体"/>
                <w:b/>
                <w:i w:val="0"/>
                <w:sz w:val="17"/>
              </w:rPr>
              <w:t>训练原样样本</w:t>
            </w:r>
          </w:p>
        </w:tc>
      </w:tr>
      <w:tr>
        <w:trPr>
          <w:cantSplit w:val="true"/>
        </w:trPr>
        <w:tc>
          <w:tcPr>
            <w:tcW w:type="dxa" w:w="3732"/>
          </w:tcPr>
          <w:p>
            <w:pPr>
              <w:spacing w:after="20"/>
            </w:pPr>
            <w:r/>
            <w:r>
              <w:rPr>
                <w:rFonts w:ascii="Times New Roman" w:hAnsi="Times New Roman" w:eastAsia="宋体"/>
                <w:b w:val="0"/>
                <w:i w:val="0"/>
                <w:sz w:val="17"/>
              </w:rPr>
              <w:t>输出为合法 JSON</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六键契约合规（含枚举与嵌套结构）</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差距项技能集合与缺口清单一致</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差距项等级与事实清单一致</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影响等级与雷达优先级一致</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优先级与严重度映射一致</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学习排期晚于当前日期且严格递增</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事实编号引用有效（至少三条带编号）</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数值全部可溯源</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安全边界（授权与监护）出现在输出中</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十项校验全部通过</w:t>
            </w:r>
          </w:p>
        </w:tc>
        <w:tc>
          <w:tcPr>
            <w:tcW w:type="dxa" w:w="2854"/>
          </w:tcPr>
          <w:p>
            <w:pPr>
              <w:spacing w:after="20"/>
            </w:pPr>
            <w:r/>
            <w:r>
              <w:rPr>
                <w:rFonts w:ascii="Times New Roman" w:hAnsi="Times New Roman" w:eastAsia="宋体"/>
                <w:b w:val="0"/>
                <w:i w:val="0"/>
                <w:sz w:val="17"/>
              </w:rPr>
              <w:t>100%</w:t>
            </w:r>
          </w:p>
        </w:tc>
        <w:tc>
          <w:tcPr>
            <w:tcW w:type="dxa" w:w="2415"/>
          </w:tcPr>
          <w:p>
            <w:pPr>
              <w:spacing w:after="20"/>
            </w:pPr>
            <w:r/>
            <w:r>
              <w:rPr>
                <w:rFonts w:ascii="Times New Roman" w:hAnsi="Times New Roman" w:eastAsia="宋体"/>
                <w:b w:val="0"/>
                <w:i w:val="0"/>
                <w:sz w:val="17"/>
              </w:rPr>
              <w:t>100%</w:t>
            </w:r>
          </w:p>
        </w:tc>
      </w:tr>
      <w:tr>
        <w:trPr>
          <w:cantSplit w:val="true"/>
        </w:trPr>
        <w:tc>
          <w:tcPr>
            <w:tcW w:type="dxa" w:w="3732"/>
          </w:tcPr>
          <w:p>
            <w:pPr>
              <w:spacing w:after="20"/>
            </w:pPr>
            <w:r/>
            <w:r>
              <w:rPr>
                <w:rFonts w:ascii="Times New Roman" w:hAnsi="Times New Roman" w:eastAsia="宋体"/>
                <w:b w:val="0"/>
                <w:i w:val="0"/>
                <w:sz w:val="17"/>
              </w:rPr>
              <w:t>平均引用不同事实数</w:t>
            </w:r>
          </w:p>
        </w:tc>
        <w:tc>
          <w:tcPr>
            <w:tcW w:type="dxa" w:w="2854"/>
          </w:tcPr>
          <w:p>
            <w:pPr>
              <w:spacing w:after="20"/>
            </w:pPr>
            <w:r/>
            <w:r>
              <w:rPr>
                <w:rFonts w:ascii="Times New Roman" w:hAnsi="Times New Roman" w:eastAsia="宋体"/>
                <w:b w:val="0"/>
                <w:i w:val="0"/>
                <w:sz w:val="17"/>
              </w:rPr>
              <w:t>4.75</w:t>
            </w:r>
          </w:p>
        </w:tc>
        <w:tc>
          <w:tcPr>
            <w:tcW w:type="dxa" w:w="2415"/>
          </w:tcPr>
          <w:p>
            <w:pPr>
              <w:spacing w:after="20"/>
            </w:pPr>
            <w:r/>
            <w:r>
              <w:rPr>
                <w:rFonts w:ascii="Times New Roman" w:hAnsi="Times New Roman" w:eastAsia="宋体"/>
                <w:b w:val="0"/>
                <w:i w:val="0"/>
                <w:sz w:val="17"/>
              </w:rPr>
              <w:t>4.67</w:t>
            </w:r>
          </w:p>
        </w:tc>
      </w:tr>
      <w:tr>
        <w:trPr>
          <w:cantSplit w:val="true"/>
        </w:trPr>
        <w:tc>
          <w:tcPr>
            <w:tcW w:type="dxa" w:w="3732"/>
          </w:tcPr>
          <w:p>
            <w:pPr>
              <w:spacing w:after="20"/>
            </w:pPr>
            <w:r/>
            <w:r>
              <w:rPr>
                <w:rFonts w:ascii="Times New Roman" w:hAnsi="Times New Roman" w:eastAsia="宋体"/>
                <w:b w:val="0"/>
                <w:i w:val="0"/>
                <w:sz w:val="17"/>
              </w:rPr>
              <w:t>参考口径：优先级随差距单调</w:t>
            </w:r>
          </w:p>
        </w:tc>
        <w:tc>
          <w:tcPr>
            <w:tcW w:type="dxa" w:w="2854"/>
          </w:tcPr>
          <w:p>
            <w:pPr>
              <w:spacing w:after="20"/>
            </w:pPr>
            <w:r/>
            <w:r>
              <w:rPr>
                <w:rFonts w:ascii="Times New Roman" w:hAnsi="Times New Roman" w:eastAsia="宋体"/>
                <w:b w:val="0"/>
                <w:i w:val="0"/>
                <w:sz w:val="17"/>
              </w:rPr>
              <w:t>80%</w:t>
            </w:r>
          </w:p>
        </w:tc>
        <w:tc>
          <w:tcPr>
            <w:tcW w:type="dxa" w:w="2415"/>
          </w:tcPr>
          <w:p>
            <w:pPr>
              <w:spacing w:after="20"/>
            </w:pPr>
            <w:r/>
            <w:r>
              <w:rPr>
                <w:rFonts w:ascii="Times New Roman" w:hAnsi="Times New Roman" w:eastAsia="宋体"/>
                <w:b w:val="0"/>
                <w:i w:val="0"/>
                <w:sz w:val="17"/>
              </w:rPr>
              <w:t>67%</w:t>
            </w:r>
          </w:p>
        </w:tc>
      </w:tr>
      <w:tr>
        <w:trPr>
          <w:cantSplit w:val="true"/>
        </w:trPr>
        <w:tc>
          <w:tcPr>
            <w:tcW w:type="dxa" w:w="3732"/>
          </w:tcPr>
          <w:p>
            <w:pPr>
              <w:spacing w:after="20"/>
            </w:pPr>
            <w:r/>
            <w:r>
              <w:rPr>
                <w:rFonts w:ascii="Times New Roman" w:hAnsi="Times New Roman" w:eastAsia="宋体"/>
                <w:b w:val="0"/>
                <w:i w:val="0"/>
                <w:sz w:val="17"/>
              </w:rPr>
              <w:t>端到端延迟（中位、均值、最大）</w:t>
            </w:r>
          </w:p>
        </w:tc>
        <w:tc>
          <w:tcPr>
            <w:tcW w:type="dxa" w:w="2854"/>
          </w:tcPr>
          <w:p>
            <w:pPr>
              <w:spacing w:after="20"/>
            </w:pPr>
            <w:r/>
            <w:r>
              <w:rPr>
                <w:rFonts w:ascii="Times New Roman" w:hAnsi="Times New Roman" w:eastAsia="宋体"/>
                <w:b w:val="0"/>
                <w:i w:val="0"/>
                <w:sz w:val="17"/>
              </w:rPr>
              <w:t>105、124、325 s</w:t>
            </w:r>
          </w:p>
        </w:tc>
        <w:tc>
          <w:tcPr>
            <w:tcW w:type="dxa" w:w="2415"/>
          </w:tcPr>
          <w:p>
            <w:pPr>
              <w:spacing w:after="20"/>
            </w:pPr>
            <w:r/>
            <w:r>
              <w:rPr>
                <w:rFonts w:ascii="Times New Roman" w:hAnsi="Times New Roman" w:eastAsia="宋体"/>
                <w:b w:val="0"/>
                <w:i w:val="0"/>
                <w:sz w:val="17"/>
              </w:rPr>
              <w:t>99、97、108 s</w:t>
            </w:r>
          </w:p>
        </w:tc>
      </w:tr>
    </w:tbl>
    <w:p>
      <w:pPr>
        <w:spacing w:after="40"/>
      </w:pPr>
    </w:p>
    <w:p>
      <w:pPr>
        <w:ind w:firstLine="420"/>
        <w:jc w:val="both"/>
      </w:pPr>
      <w:r>
        <w:rPr>
          <w:rFonts w:ascii="Times New Roman" w:hAnsi="Times New Roman" w:eastAsia="宋体"/>
          <w:b w:val="0"/>
          <w:i w:val="0"/>
          <w:sz w:val="21"/>
        </w:rPr>
        <w:t>该结果需结合两点理解。其一，留出样本与训练样本同源，档案来自同一批 150 人、同一套模板，因此它反映的是契约遵从与事实忠实度，而非对未见人员的泛化能力。其二，若以契约未规定的口径衡量，例如「优先级应随差距大小单调」，模型为 80%，第一版语料的参考输出为 75%。该差异说明模型复述的是语料中「严重度映射优先级」的约定，并未自主推导优先级；正因如此，这一口径未写入契约。</w:t>
      </w:r>
    </w:p>
    <w:p>
      <w:pPr>
        <w:spacing w:before="200" w:after="80"/>
      </w:pPr>
      <w:r>
        <w:rPr>
          <w:rFonts w:ascii="Times New Roman" w:hAnsi="Times New Roman" w:eastAsia="黑体"/>
          <w:b/>
          <w:i w:val="0"/>
          <w:sz w:val="21"/>
        </w:rPr>
        <w:t>5.6　三条路径对比</w:t>
      </w:r>
    </w:p>
    <w:p>
      <w:pPr>
        <w:ind w:firstLine="420"/>
        <w:jc w:val="both"/>
      </w:pPr>
      <w:r>
        <w:rPr>
          <w:rFonts w:ascii="Times New Roman" w:hAnsi="Times New Roman" w:eastAsia="宋体"/>
          <w:b w:val="0"/>
          <w:i w:val="0"/>
          <w:sz w:val="21"/>
        </w:rPr>
        <w:t>表 22 比较三种输出形态：第一版参考输出内容完整但契约不一致，六键校验通过率为 0；规则路径在确定性、可溯源性与契约一致性上均为 100%，时延毫秒级，但表达形式固定；实测模型在契约、事实、排期与溯源上全部合规，时延秒级且不作确定性保证。三者并非替代：规则保证不出错，模型扩展表达与覆盖，校验层取舍并留证。</w:t>
      </w:r>
    </w:p>
    <w:p>
      <w:pPr>
        <w:spacing w:before="160" w:after="40"/>
        <w:jc w:val="center"/>
      </w:pPr>
      <w:r>
        <w:rPr>
          <w:rFonts w:ascii="Times New Roman" w:hAnsi="Times New Roman" w:eastAsia="宋体"/>
          <w:b/>
          <w:i w:val="0"/>
          <w:sz w:val="18"/>
        </w:rPr>
        <w:t xml:space="preserve">表 22　</w:t>
      </w:r>
      <w:r>
        <w:rPr>
          <w:rFonts w:ascii="Times New Roman" w:hAnsi="Times New Roman" w:eastAsia="宋体"/>
          <w:b w:val="0"/>
          <w:i w:val="0"/>
          <w:sz w:val="18"/>
        </w:rPr>
        <w:t>同一批档案上三种输出形态的对比。参考输出为 A 版语料，规则路径与模型路径均为实测。</w:t>
      </w:r>
    </w:p>
    <w:tbl>
      <w:tblPr>
        <w:tblStyle w:val="TableGrid"/>
        <w:tblW w:w="9000" w:type="dxa"/>
        <w:jc w:val="center"/>
        <w:tblLayout w:type="fixed"/>
        <w:tblCellMar>
          <w:left w:w="57" w:type="dxa"/>
          <w:right w:w="57" w:type="dxa"/>
          <w:top w:w="14" w:type="dxa"/>
          <w:bottom w:w="14" w:type="dxa"/>
        </w:tblCellMar>
        <w:tblLook w:firstColumn="1" w:firstRow="1" w:lastColumn="0" w:lastRow="0" w:noHBand="0" w:noVBand="1" w:val="04A0"/>
      </w:tblPr>
      <w:tblGrid>
        <w:gridCol w:w="2308"/>
        <w:gridCol w:w="2538"/>
        <w:gridCol w:w="2077"/>
        <w:gridCol w:w="2077"/>
      </w:tblGrid>
      <w:tr>
        <w:trPr>
          <w:tblHeader w:val="true"/>
          <w:cantSplit w:val="true"/>
        </w:trPr>
        <w:tc>
          <w:tcPr>
            <w:tcW w:type="dxa" w:w="2308"/>
          </w:tcPr>
          <w:p>
            <w:pPr>
              <w:spacing w:after="20"/>
              <w:jc w:val="center"/>
            </w:pPr>
            <w:r/>
            <w:r>
              <w:rPr>
                <w:rFonts w:ascii="Times New Roman" w:hAnsi="Times New Roman" w:eastAsia="宋体"/>
                <w:b/>
                <w:i w:val="0"/>
                <w:sz w:val="17"/>
              </w:rPr>
              <w:t>指标</w:t>
            </w:r>
          </w:p>
        </w:tc>
        <w:tc>
          <w:tcPr>
            <w:tcW w:type="dxa" w:w="2538"/>
          </w:tcPr>
          <w:p>
            <w:pPr>
              <w:spacing w:after="20"/>
              <w:jc w:val="center"/>
            </w:pPr>
            <w:r/>
            <w:r>
              <w:rPr>
                <w:rFonts w:ascii="Times New Roman" w:hAnsi="Times New Roman" w:eastAsia="宋体"/>
                <w:b/>
                <w:i w:val="0"/>
                <w:sz w:val="17"/>
              </w:rPr>
              <w:t>参考输出（A 版语料）</w:t>
            </w:r>
          </w:p>
        </w:tc>
        <w:tc>
          <w:tcPr>
            <w:tcW w:type="dxa" w:w="2077"/>
          </w:tcPr>
          <w:p>
            <w:pPr>
              <w:spacing w:after="20"/>
              <w:jc w:val="center"/>
            </w:pPr>
            <w:r/>
            <w:r>
              <w:rPr>
                <w:rFonts w:ascii="Times New Roman" w:hAnsi="Times New Roman" w:eastAsia="宋体"/>
                <w:b/>
                <w:i w:val="0"/>
                <w:sz w:val="17"/>
              </w:rPr>
              <w:t>规则路径</w:t>
            </w:r>
          </w:p>
        </w:tc>
        <w:tc>
          <w:tcPr>
            <w:tcW w:type="dxa" w:w="2077"/>
          </w:tcPr>
          <w:p>
            <w:pPr>
              <w:spacing w:after="20"/>
              <w:jc w:val="center"/>
            </w:pPr>
            <w:r/>
            <w:r>
              <w:rPr>
                <w:rFonts w:ascii="Times New Roman" w:hAnsi="Times New Roman" w:eastAsia="宋体"/>
                <w:b/>
                <w:i w:val="0"/>
                <w:sz w:val="17"/>
              </w:rPr>
              <w:t>实测模型（B 版）</w:t>
            </w:r>
          </w:p>
        </w:tc>
      </w:tr>
      <w:tr>
        <w:trPr>
          <w:cantSplit w:val="true"/>
        </w:trPr>
        <w:tc>
          <w:tcPr>
            <w:tcW w:type="dxa" w:w="2308"/>
          </w:tcPr>
          <w:p>
            <w:pPr>
              <w:spacing w:after="20"/>
            </w:pPr>
            <w:r/>
            <w:r>
              <w:rPr>
                <w:rFonts w:ascii="Times New Roman" w:hAnsi="Times New Roman" w:eastAsia="宋体"/>
                <w:b w:val="0"/>
                <w:i w:val="0"/>
                <w:sz w:val="17"/>
              </w:rPr>
              <w:t>与线上六键契约一致</w:t>
            </w:r>
          </w:p>
        </w:tc>
        <w:tc>
          <w:tcPr>
            <w:tcW w:type="dxa" w:w="2538"/>
          </w:tcPr>
          <w:p>
            <w:pPr>
              <w:spacing w:after="20"/>
            </w:pPr>
            <w:r/>
            <w:r>
              <w:rPr>
                <w:rFonts w:ascii="Times New Roman" w:hAnsi="Times New Roman" w:eastAsia="宋体"/>
                <w:b w:val="0"/>
                <w:i w:val="0"/>
                <w:sz w:val="17"/>
              </w:rPr>
              <w:t>0%</w:t>
            </w:r>
          </w:p>
        </w:tc>
        <w:tc>
          <w:tcPr>
            <w:tcW w:type="dxa" w:w="2077"/>
          </w:tcPr>
          <w:p>
            <w:pPr>
              <w:spacing w:after="20"/>
            </w:pPr>
            <w:r/>
            <w:r>
              <w:rPr>
                <w:rFonts w:ascii="Times New Roman" w:hAnsi="Times New Roman" w:eastAsia="宋体"/>
                <w:b w:val="0"/>
                <w:i w:val="0"/>
                <w:sz w:val="17"/>
              </w:rPr>
              <w:t>—</w:t>
            </w:r>
          </w:p>
        </w:tc>
        <w:tc>
          <w:tcPr>
            <w:tcW w:type="dxa" w:w="2077"/>
          </w:tcPr>
          <w:p>
            <w:pPr>
              <w:spacing w:after="20"/>
            </w:pPr>
            <w:r/>
            <w:r>
              <w:rPr>
                <w:rFonts w:ascii="Times New Roman" w:hAnsi="Times New Roman" w:eastAsia="宋体"/>
                <w:b w:val="0"/>
                <w:i w:val="0"/>
                <w:sz w:val="17"/>
              </w:rPr>
              <w:t>100%</w:t>
            </w:r>
          </w:p>
        </w:tc>
      </w:tr>
      <w:tr>
        <w:trPr>
          <w:cantSplit w:val="true"/>
        </w:trPr>
        <w:tc>
          <w:tcPr>
            <w:tcW w:type="dxa" w:w="2308"/>
          </w:tcPr>
          <w:p>
            <w:pPr>
              <w:spacing w:after="20"/>
            </w:pPr>
            <w:r/>
            <w:r>
              <w:rPr>
                <w:rFonts w:ascii="Times New Roman" w:hAnsi="Times New Roman" w:eastAsia="宋体"/>
                <w:b w:val="0"/>
                <w:i w:val="0"/>
                <w:sz w:val="17"/>
              </w:rPr>
              <w:t>差距项等级与档案一致</w:t>
            </w:r>
          </w:p>
        </w:tc>
        <w:tc>
          <w:tcPr>
            <w:tcW w:type="dxa" w:w="2538"/>
          </w:tcPr>
          <w:p>
            <w:pPr>
              <w:spacing w:after="20"/>
            </w:pPr>
            <w:r/>
            <w:r>
              <w:rPr>
                <w:rFonts w:ascii="Times New Roman" w:hAnsi="Times New Roman" w:eastAsia="宋体"/>
                <w:b w:val="0"/>
                <w:i w:val="0"/>
                <w:sz w:val="17"/>
              </w:rPr>
              <w:t>74.7%</w:t>
            </w:r>
          </w:p>
        </w:tc>
        <w:tc>
          <w:tcPr>
            <w:tcW w:type="dxa" w:w="2077"/>
          </w:tcPr>
          <w:p>
            <w:pPr>
              <w:spacing w:after="20"/>
            </w:pPr>
            <w:r/>
            <w:r>
              <w:rPr>
                <w:rFonts w:ascii="Times New Roman" w:hAnsi="Times New Roman" w:eastAsia="宋体"/>
                <w:b w:val="0"/>
                <w:i w:val="0"/>
                <w:sz w:val="17"/>
              </w:rPr>
              <w:t>100%</w:t>
            </w:r>
          </w:p>
        </w:tc>
        <w:tc>
          <w:tcPr>
            <w:tcW w:type="dxa" w:w="2077"/>
          </w:tcPr>
          <w:p>
            <w:pPr>
              <w:spacing w:after="20"/>
            </w:pPr>
            <w:r/>
            <w:r>
              <w:rPr>
                <w:rFonts w:ascii="Times New Roman" w:hAnsi="Times New Roman" w:eastAsia="宋体"/>
                <w:b w:val="0"/>
                <w:i w:val="0"/>
                <w:sz w:val="17"/>
              </w:rPr>
              <w:t>100%</w:t>
            </w:r>
          </w:p>
        </w:tc>
      </w:tr>
      <w:tr>
        <w:trPr>
          <w:cantSplit w:val="true"/>
        </w:trPr>
        <w:tc>
          <w:tcPr>
            <w:tcW w:type="dxa" w:w="2308"/>
          </w:tcPr>
          <w:p>
            <w:pPr>
              <w:spacing w:after="20"/>
            </w:pPr>
            <w:r/>
            <w:r>
              <w:rPr>
                <w:rFonts w:ascii="Times New Roman" w:hAnsi="Times New Roman" w:eastAsia="宋体"/>
                <w:b w:val="0"/>
                <w:i w:val="0"/>
                <w:sz w:val="17"/>
              </w:rPr>
              <w:t>数值可溯源</w:t>
            </w:r>
          </w:p>
        </w:tc>
        <w:tc>
          <w:tcPr>
            <w:tcW w:type="dxa" w:w="2538"/>
          </w:tcPr>
          <w:p>
            <w:pPr>
              <w:spacing w:after="20"/>
            </w:pPr>
            <w:r/>
            <w:r>
              <w:rPr>
                <w:rFonts w:ascii="Times New Roman" w:hAnsi="Times New Roman" w:eastAsia="宋体"/>
                <w:b w:val="0"/>
                <w:i w:val="0"/>
                <w:sz w:val="17"/>
              </w:rPr>
              <w:t>99.8%</w:t>
            </w:r>
          </w:p>
        </w:tc>
        <w:tc>
          <w:tcPr>
            <w:tcW w:type="dxa" w:w="2077"/>
          </w:tcPr>
          <w:p>
            <w:pPr>
              <w:spacing w:after="20"/>
            </w:pPr>
            <w:r/>
            <w:r>
              <w:rPr>
                <w:rFonts w:ascii="Times New Roman" w:hAnsi="Times New Roman" w:eastAsia="宋体"/>
                <w:b w:val="0"/>
                <w:i w:val="0"/>
                <w:sz w:val="17"/>
              </w:rPr>
              <w:t>100%</w:t>
            </w:r>
          </w:p>
        </w:tc>
        <w:tc>
          <w:tcPr>
            <w:tcW w:type="dxa" w:w="2077"/>
          </w:tcPr>
          <w:p>
            <w:pPr>
              <w:spacing w:after="20"/>
            </w:pPr>
            <w:r/>
            <w:r>
              <w:rPr>
                <w:rFonts w:ascii="Times New Roman" w:hAnsi="Times New Roman" w:eastAsia="宋体"/>
                <w:b w:val="0"/>
                <w:i w:val="0"/>
                <w:sz w:val="17"/>
              </w:rPr>
              <w:t>100%</w:t>
            </w:r>
          </w:p>
        </w:tc>
      </w:tr>
      <w:tr>
        <w:trPr>
          <w:cantSplit w:val="true"/>
        </w:trPr>
        <w:tc>
          <w:tcPr>
            <w:tcW w:type="dxa" w:w="2308"/>
          </w:tcPr>
          <w:p>
            <w:pPr>
              <w:spacing w:after="20"/>
            </w:pPr>
            <w:r/>
            <w:r>
              <w:rPr>
                <w:rFonts w:ascii="Times New Roman" w:hAnsi="Times New Roman" w:eastAsia="宋体"/>
                <w:b w:val="0"/>
                <w:i w:val="0"/>
                <w:sz w:val="17"/>
              </w:rPr>
              <w:t>安全边界出现在输出中</w:t>
            </w:r>
          </w:p>
        </w:tc>
        <w:tc>
          <w:tcPr>
            <w:tcW w:type="dxa" w:w="2538"/>
          </w:tcPr>
          <w:p>
            <w:pPr>
              <w:spacing w:after="20"/>
            </w:pPr>
            <w:r/>
            <w:r>
              <w:rPr>
                <w:rFonts w:ascii="Times New Roman" w:hAnsi="Times New Roman" w:eastAsia="宋体"/>
                <w:b w:val="0"/>
                <w:i w:val="0"/>
                <w:sz w:val="17"/>
              </w:rPr>
              <w:t>100%</w:t>
            </w:r>
          </w:p>
        </w:tc>
        <w:tc>
          <w:tcPr>
            <w:tcW w:type="dxa" w:w="2077"/>
          </w:tcPr>
          <w:p>
            <w:pPr>
              <w:spacing w:after="20"/>
            </w:pPr>
            <w:r/>
            <w:r>
              <w:rPr>
                <w:rFonts w:ascii="Times New Roman" w:hAnsi="Times New Roman" w:eastAsia="宋体"/>
                <w:b w:val="0"/>
                <w:i w:val="0"/>
                <w:sz w:val="17"/>
              </w:rPr>
              <w:t>100%</w:t>
            </w:r>
          </w:p>
        </w:tc>
        <w:tc>
          <w:tcPr>
            <w:tcW w:type="dxa" w:w="2077"/>
          </w:tcPr>
          <w:p>
            <w:pPr>
              <w:spacing w:after="20"/>
            </w:pPr>
            <w:r/>
            <w:r>
              <w:rPr>
                <w:rFonts w:ascii="Times New Roman" w:hAnsi="Times New Roman" w:eastAsia="宋体"/>
                <w:b w:val="0"/>
                <w:i w:val="0"/>
                <w:sz w:val="17"/>
              </w:rPr>
              <w:t>100%</w:t>
            </w:r>
          </w:p>
        </w:tc>
      </w:tr>
      <w:tr>
        <w:trPr>
          <w:cantSplit w:val="true"/>
        </w:trPr>
        <w:tc>
          <w:tcPr>
            <w:tcW w:type="dxa" w:w="2308"/>
          </w:tcPr>
          <w:p>
            <w:pPr>
              <w:spacing w:after="20"/>
            </w:pPr>
            <w:r/>
            <w:r>
              <w:rPr>
                <w:rFonts w:ascii="Times New Roman" w:hAnsi="Times New Roman" w:eastAsia="宋体"/>
                <w:b w:val="0"/>
                <w:i w:val="0"/>
                <w:sz w:val="17"/>
              </w:rPr>
              <w:t>输出确定性</w:t>
            </w:r>
          </w:p>
        </w:tc>
        <w:tc>
          <w:tcPr>
            <w:tcW w:type="dxa" w:w="2538"/>
          </w:tcPr>
          <w:p>
            <w:pPr>
              <w:spacing w:after="20"/>
            </w:pPr>
            <w:r/>
            <w:r>
              <w:rPr>
                <w:rFonts w:ascii="Times New Roman" w:hAnsi="Times New Roman" w:eastAsia="宋体"/>
                <w:b w:val="0"/>
                <w:i w:val="0"/>
                <w:sz w:val="17"/>
              </w:rPr>
              <w:t>—</w:t>
            </w:r>
          </w:p>
        </w:tc>
        <w:tc>
          <w:tcPr>
            <w:tcW w:type="dxa" w:w="2077"/>
          </w:tcPr>
          <w:p>
            <w:pPr>
              <w:spacing w:after="20"/>
            </w:pPr>
            <w:r/>
            <w:r>
              <w:rPr>
                <w:rFonts w:ascii="Times New Roman" w:hAnsi="Times New Roman" w:eastAsia="宋体"/>
                <w:b w:val="0"/>
                <w:i w:val="0"/>
                <w:sz w:val="17"/>
              </w:rPr>
              <w:t>100%</w:t>
            </w:r>
          </w:p>
        </w:tc>
        <w:tc>
          <w:tcPr>
            <w:tcW w:type="dxa" w:w="2077"/>
          </w:tcPr>
          <w:p>
            <w:pPr>
              <w:spacing w:after="20"/>
            </w:pPr>
            <w:r/>
            <w:r>
              <w:rPr>
                <w:rFonts w:ascii="Times New Roman" w:hAnsi="Times New Roman" w:eastAsia="宋体"/>
                <w:b w:val="0"/>
                <w:i w:val="0"/>
                <w:sz w:val="17"/>
              </w:rPr>
              <w:t>不作保证</w:t>
            </w:r>
          </w:p>
        </w:tc>
      </w:tr>
      <w:tr>
        <w:trPr>
          <w:cantSplit w:val="true"/>
        </w:trPr>
        <w:tc>
          <w:tcPr>
            <w:tcW w:type="dxa" w:w="2308"/>
          </w:tcPr>
          <w:p>
            <w:pPr>
              <w:spacing w:after="20"/>
            </w:pPr>
            <w:r/>
            <w:r>
              <w:rPr>
                <w:rFonts w:ascii="Times New Roman" w:hAnsi="Times New Roman" w:eastAsia="宋体"/>
                <w:b w:val="0"/>
                <w:i w:val="0"/>
                <w:sz w:val="17"/>
              </w:rPr>
              <w:t>单次响应时间</w:t>
            </w:r>
          </w:p>
        </w:tc>
        <w:tc>
          <w:tcPr>
            <w:tcW w:type="dxa" w:w="2538"/>
          </w:tcPr>
          <w:p>
            <w:pPr>
              <w:spacing w:after="20"/>
            </w:pPr>
            <w:r/>
            <w:r>
              <w:rPr>
                <w:rFonts w:ascii="Times New Roman" w:hAnsi="Times New Roman" w:eastAsia="宋体"/>
                <w:b w:val="0"/>
                <w:i w:val="0"/>
                <w:sz w:val="17"/>
              </w:rPr>
              <w:t>—</w:t>
            </w:r>
          </w:p>
        </w:tc>
        <w:tc>
          <w:tcPr>
            <w:tcW w:type="dxa" w:w="2077"/>
          </w:tcPr>
          <w:p>
            <w:pPr>
              <w:spacing w:after="20"/>
            </w:pPr>
            <w:r/>
            <w:r>
              <w:rPr>
                <w:rFonts w:ascii="Times New Roman" w:hAnsi="Times New Roman" w:eastAsia="宋体"/>
                <w:b w:val="0"/>
                <w:i w:val="0"/>
                <w:sz w:val="17"/>
              </w:rPr>
              <w:t>0.0122 ms</w:t>
            </w:r>
          </w:p>
        </w:tc>
        <w:tc>
          <w:tcPr>
            <w:tcW w:type="dxa" w:w="2077"/>
          </w:tcPr>
          <w:p>
            <w:pPr>
              <w:spacing w:after="20"/>
            </w:pPr>
            <w:r/>
            <w:r>
              <w:rPr>
                <w:rFonts w:ascii="Times New Roman" w:hAnsi="Times New Roman" w:eastAsia="宋体"/>
                <w:b w:val="0"/>
                <w:i w:val="0"/>
                <w:sz w:val="17"/>
              </w:rPr>
              <w:t>105 s</w:t>
            </w:r>
          </w:p>
        </w:tc>
      </w:tr>
      <w:tr>
        <w:trPr>
          <w:cantSplit w:val="true"/>
        </w:trPr>
        <w:tc>
          <w:tcPr>
            <w:tcW w:type="dxa" w:w="2308"/>
          </w:tcPr>
          <w:p>
            <w:pPr>
              <w:spacing w:after="20"/>
            </w:pPr>
            <w:r/>
            <w:r>
              <w:rPr>
                <w:rFonts w:ascii="Times New Roman" w:hAnsi="Times New Roman" w:eastAsia="宋体"/>
                <w:b w:val="0"/>
                <w:i w:val="0"/>
                <w:sz w:val="17"/>
              </w:rPr>
              <w:t>结论可解释到规则编号</w:t>
            </w:r>
          </w:p>
        </w:tc>
        <w:tc>
          <w:tcPr>
            <w:tcW w:type="dxa" w:w="2538"/>
          </w:tcPr>
          <w:p>
            <w:pPr>
              <w:spacing w:after="20"/>
            </w:pPr>
            <w:r/>
            <w:r>
              <w:rPr>
                <w:rFonts w:ascii="Times New Roman" w:hAnsi="Times New Roman" w:eastAsia="宋体"/>
                <w:b w:val="0"/>
                <w:i w:val="0"/>
                <w:sz w:val="17"/>
              </w:rPr>
              <w:t>否</w:t>
            </w:r>
          </w:p>
        </w:tc>
        <w:tc>
          <w:tcPr>
            <w:tcW w:type="dxa" w:w="2077"/>
          </w:tcPr>
          <w:p>
            <w:pPr>
              <w:spacing w:after="20"/>
            </w:pPr>
            <w:r/>
            <w:r>
              <w:rPr>
                <w:rFonts w:ascii="Times New Roman" w:hAnsi="Times New Roman" w:eastAsia="宋体"/>
                <w:b w:val="0"/>
                <w:i w:val="0"/>
                <w:sz w:val="17"/>
              </w:rPr>
              <w:t>是</w:t>
            </w:r>
          </w:p>
        </w:tc>
        <w:tc>
          <w:tcPr>
            <w:tcW w:type="dxa" w:w="2077"/>
          </w:tcPr>
          <w:p>
            <w:pPr>
              <w:spacing w:after="20"/>
            </w:pPr>
            <w:r/>
            <w:r>
              <w:rPr>
                <w:rFonts w:ascii="Times New Roman" w:hAnsi="Times New Roman" w:eastAsia="宋体"/>
                <w:b w:val="0"/>
                <w:i w:val="0"/>
                <w:sz w:val="17"/>
              </w:rPr>
              <w:t>否（仅事实编号）</w:t>
            </w:r>
          </w:p>
        </w:tc>
      </w:tr>
    </w:tbl>
    <w:p>
      <w:pPr>
        <w:spacing w:after="40"/>
      </w:pPr>
    </w:p>
    <w:p>
      <w:pPr>
        <w:spacing w:before="280" w:after="120"/>
      </w:pPr>
      <w:r>
        <w:rPr>
          <w:rFonts w:ascii="Times New Roman" w:hAnsi="Times New Roman" w:eastAsia="黑体"/>
          <w:b/>
          <w:i w:val="0"/>
          <w:sz w:val="24"/>
        </w:rPr>
        <w:t>6　适用场景与讨论</w:t>
      </w:r>
    </w:p>
    <w:p>
      <w:pPr>
        <w:spacing w:before="200" w:after="80"/>
      </w:pPr>
      <w:r>
        <w:rPr>
          <w:rFonts w:ascii="Times New Roman" w:hAnsi="Times New Roman" w:eastAsia="黑体"/>
          <w:b/>
          <w:i w:val="0"/>
          <w:sz w:val="21"/>
        </w:rPr>
        <w:t>6.1　适用条件</w:t>
      </w:r>
    </w:p>
    <w:p>
      <w:pPr>
        <w:ind w:firstLine="420"/>
        <w:jc w:val="both"/>
      </w:pPr>
      <w:r>
        <w:rPr>
          <w:rFonts w:ascii="Times New Roman" w:hAnsi="Times New Roman" w:eastAsia="宋体"/>
          <w:b w:val="0"/>
          <w:i w:val="0"/>
          <w:sz w:val="21"/>
        </w:rPr>
        <w:t>本文方法的适用性取决于四项条件，四者同时成立时效果最佳：</w:t>
      </w:r>
    </w:p>
    <w:p>
      <w:pPr>
        <w:ind w:left="420" w:hanging="210"/>
        <w:jc w:val="both"/>
      </w:pPr>
      <w:r>
        <w:rPr>
          <w:rFonts w:ascii="Times New Roman" w:hAnsi="Times New Roman" w:eastAsia="宋体"/>
          <w:b w:val="0"/>
          <w:i w:val="0"/>
          <w:sz w:val="21"/>
        </w:rPr>
        <w:t>· 岗位能力可分级：能力项能映射到有序等级或可枚举状态，使「当前低于要求」可判定。</w:t>
      </w:r>
    </w:p>
    <w:p>
      <w:pPr>
        <w:ind w:left="420" w:hanging="210"/>
        <w:jc w:val="both"/>
      </w:pPr>
      <w:r>
        <w:rPr>
          <w:rFonts w:ascii="Times New Roman" w:hAnsi="Times New Roman" w:eastAsia="宋体"/>
          <w:b w:val="0"/>
          <w:i w:val="0"/>
          <w:sz w:val="21"/>
        </w:rPr>
        <w:t>· 业务阈值可枚举：规程与考核中的量化要求能写成条件，并维护为独立事实。</w:t>
      </w:r>
    </w:p>
    <w:p>
      <w:pPr>
        <w:ind w:left="420" w:hanging="210"/>
        <w:jc w:val="both"/>
      </w:pPr>
      <w:r>
        <w:rPr>
          <w:rFonts w:ascii="Times New Roman" w:hAnsi="Times New Roman" w:eastAsia="宋体"/>
          <w:b w:val="0"/>
          <w:i w:val="0"/>
          <w:sz w:val="21"/>
        </w:rPr>
        <w:t>· 存在结构化档案：人事、考试、实操与安全记录已入库，可按人汇总为事实清单；若仍以纸质或自由文本为主，适配层成本将显著上升。</w:t>
      </w:r>
    </w:p>
    <w:p>
      <w:pPr>
        <w:ind w:left="420" w:hanging="210"/>
        <w:jc w:val="both"/>
      </w:pPr>
      <w:r>
        <w:rPr>
          <w:rFonts w:ascii="Times New Roman" w:hAnsi="Times New Roman" w:eastAsia="宋体"/>
          <w:b w:val="0"/>
          <w:i w:val="0"/>
          <w:sz w:val="21"/>
        </w:rPr>
        <w:t>· 建议须经人工确认：业务上要求建议可复核、可追责，接受「智能体提建议、人工做决定」的流程。</w:t>
      </w:r>
    </w:p>
    <w:p>
      <w:pPr>
        <w:spacing w:before="200" w:after="80"/>
      </w:pPr>
      <w:r>
        <w:rPr>
          <w:rFonts w:ascii="Times New Roman" w:hAnsi="Times New Roman" w:eastAsia="黑体"/>
          <w:b/>
          <w:i w:val="0"/>
          <w:sz w:val="21"/>
        </w:rPr>
        <w:t>6.2　典型应用场景</w:t>
      </w:r>
    </w:p>
    <w:p>
      <w:pPr>
        <w:ind w:firstLine="420"/>
        <w:jc w:val="both"/>
      </w:pPr>
      <w:r>
        <w:rPr>
          <w:rFonts w:ascii="Times New Roman" w:hAnsi="Times New Roman" w:eastAsia="宋体"/>
          <w:b w:val="0"/>
          <w:i w:val="0"/>
          <w:sz w:val="21"/>
        </w:rPr>
        <w:t>在变电运维领域，下列场景可直接复用本文架构：</w:t>
      </w:r>
    </w:p>
    <w:p>
      <w:pPr>
        <w:ind w:left="420" w:hanging="210"/>
        <w:jc w:val="both"/>
      </w:pPr>
      <w:r>
        <w:rPr>
          <w:rFonts w:ascii="Times New Roman" w:hAnsi="Times New Roman" w:eastAsia="宋体"/>
          <w:b w:val="0"/>
          <w:i w:val="0"/>
          <w:sz w:val="21"/>
        </w:rPr>
        <w:t>· 岗位培训与考核：按技能雷达生成个体学习路径，考试不合格触发错题复盘并关联课程、带教与模拟考。</w:t>
      </w:r>
    </w:p>
    <w:p>
      <w:pPr>
        <w:ind w:left="420" w:hanging="210"/>
        <w:jc w:val="both"/>
      </w:pPr>
      <w:r>
        <w:rPr>
          <w:rFonts w:ascii="Times New Roman" w:hAnsi="Times New Roman" w:eastAsia="宋体"/>
          <w:b w:val="0"/>
          <w:i w:val="0"/>
          <w:sz w:val="21"/>
        </w:rPr>
        <w:t>· 实操报告归因：区分技能不足与未按标准作业程序执行，前者指向培训，后者指向流程修订。</w:t>
      </w:r>
    </w:p>
    <w:p>
      <w:pPr>
        <w:ind w:left="420" w:hanging="210"/>
        <w:jc w:val="both"/>
      </w:pPr>
      <w:r>
        <w:rPr>
          <w:rFonts w:ascii="Times New Roman" w:hAnsi="Times New Roman" w:eastAsia="宋体"/>
          <w:b w:val="0"/>
          <w:i w:val="0"/>
          <w:sz w:val="21"/>
        </w:rPr>
        <w:t>· 安全记录处置：授权类违规与一般扣分分级处置，安全结论优先于技能结论。</w:t>
      </w:r>
    </w:p>
    <w:p>
      <w:pPr>
        <w:ind w:left="420" w:hanging="210"/>
        <w:jc w:val="both"/>
      </w:pPr>
      <w:r>
        <w:rPr>
          <w:rFonts w:ascii="Times New Roman" w:hAnsi="Times New Roman" w:eastAsia="宋体"/>
          <w:b w:val="0"/>
          <w:i w:val="0"/>
          <w:sz w:val="21"/>
        </w:rPr>
        <w:t>· 技能鉴定与持证管理：证书等级与授权门槛不一致时给出补证或降级建议。</w:t>
      </w:r>
    </w:p>
    <w:p>
      <w:pPr>
        <w:ind w:left="420" w:hanging="210"/>
        <w:jc w:val="both"/>
      </w:pPr>
      <w:r>
        <w:rPr>
          <w:rFonts w:ascii="Times New Roman" w:hAnsi="Times New Roman" w:eastAsia="宋体"/>
          <w:b w:val="0"/>
          <w:i w:val="0"/>
          <w:sz w:val="21"/>
        </w:rPr>
        <w:t>· 班组能力盘点：按班组聚合个人事实，用于备份力量评估与人员调配。</w:t>
      </w:r>
    </w:p>
    <w:p>
      <w:pPr>
        <w:ind w:firstLine="420"/>
        <w:jc w:val="both"/>
      </w:pPr>
      <w:r>
        <w:rPr>
          <w:rFonts w:ascii="Times New Roman" w:hAnsi="Times New Roman" w:eastAsia="宋体"/>
          <w:b w:val="0"/>
          <w:i w:val="0"/>
          <w:sz w:val="21"/>
        </w:rPr>
        <w:t>同一架构亦可迁移至其他强规程约束的工业培训场景，例如调度运行、燃机运维与高压试验，迁移成本主要取决于事实适配层的改造量，而非规则引擎或模型本身。</w:t>
      </w:r>
    </w:p>
    <w:p>
      <w:pPr>
        <w:spacing w:before="200" w:after="80"/>
      </w:pPr>
      <w:r>
        <w:rPr>
          <w:rFonts w:ascii="Times New Roman" w:hAnsi="Times New Roman" w:eastAsia="黑体"/>
          <w:b/>
          <w:i w:val="0"/>
          <w:sz w:val="21"/>
        </w:rPr>
        <w:t>6.3　不适用情形</w:t>
      </w:r>
    </w:p>
    <w:p>
      <w:pPr>
        <w:ind w:firstLine="420"/>
        <w:jc w:val="both"/>
      </w:pPr>
      <w:r>
        <w:rPr>
          <w:rFonts w:ascii="Times New Roman" w:hAnsi="Times New Roman" w:eastAsia="宋体"/>
          <w:b w:val="0"/>
          <w:i w:val="0"/>
          <w:sz w:val="21"/>
        </w:rPr>
        <w:t>下列情形不宜采用本文方法，或需作较大调整：</w:t>
      </w:r>
    </w:p>
    <w:p>
      <w:pPr>
        <w:ind w:left="420" w:hanging="210"/>
        <w:jc w:val="both"/>
      </w:pPr>
      <w:r>
        <w:rPr>
          <w:rFonts w:ascii="Times New Roman" w:hAnsi="Times New Roman" w:eastAsia="宋体"/>
          <w:b w:val="0"/>
          <w:i w:val="0"/>
          <w:sz w:val="21"/>
        </w:rPr>
        <w:t>· 开放域问答：规则无法枚举判定条件，宜以检索增强生成为主。</w:t>
      </w:r>
    </w:p>
    <w:p>
      <w:pPr>
        <w:ind w:left="420" w:hanging="210"/>
        <w:jc w:val="both"/>
      </w:pPr>
      <w:r>
        <w:rPr>
          <w:rFonts w:ascii="Times New Roman" w:hAnsi="Times New Roman" w:eastAsia="宋体"/>
          <w:b w:val="0"/>
          <w:i w:val="0"/>
          <w:sz w:val="21"/>
        </w:rPr>
        <w:t>· 缺乏结构化数据：无法按人汇总事实清单时，规则路径将大面积进入跳过通道。</w:t>
      </w:r>
    </w:p>
    <w:p>
      <w:pPr>
        <w:ind w:left="420" w:hanging="210"/>
        <w:jc w:val="both"/>
      </w:pPr>
      <w:r>
        <w:rPr>
          <w:rFonts w:ascii="Times New Roman" w:hAnsi="Times New Roman" w:eastAsia="宋体"/>
          <w:b w:val="0"/>
          <w:i w:val="0"/>
          <w:sz w:val="21"/>
        </w:rPr>
        <w:t>· 实时闭环控制：模型路径为秒级至分钟级，无法满足在线控制与联锁要求。</w:t>
      </w:r>
    </w:p>
    <w:p>
      <w:pPr>
        <w:ind w:left="420" w:hanging="210"/>
        <w:jc w:val="both"/>
      </w:pPr>
      <w:r>
        <w:rPr>
          <w:rFonts w:ascii="Times New Roman" w:hAnsi="Times New Roman" w:eastAsia="宋体"/>
          <w:b w:val="0"/>
          <w:i w:val="0"/>
          <w:sz w:val="21"/>
        </w:rPr>
        <w:t>· 无人工确认的自动化执行：本文以建议须经确认为前提，直接下发指令须重新评估安全责任边界。</w:t>
      </w:r>
    </w:p>
    <w:p>
      <w:pPr>
        <w:spacing w:before="200" w:after="80"/>
      </w:pPr>
      <w:r>
        <w:rPr>
          <w:rFonts w:ascii="Times New Roman" w:hAnsi="Times New Roman" w:eastAsia="黑体"/>
          <w:b/>
          <w:i w:val="0"/>
          <w:sz w:val="21"/>
        </w:rPr>
        <w:t>6.4　与相关技术路线的关系</w:t>
      </w:r>
    </w:p>
    <w:p>
      <w:pPr>
        <w:ind w:firstLine="420"/>
        <w:jc w:val="both"/>
      </w:pPr>
      <w:r>
        <w:rPr>
          <w:rFonts w:ascii="Times New Roman" w:hAnsi="Times New Roman" w:eastAsia="宋体"/>
          <w:b w:val="0"/>
          <w:i w:val="0"/>
          <w:sz w:val="21"/>
        </w:rPr>
        <w:t>本文方法与知识图谱、检索增强生成并非替代关系：图谱提供结构，可为规则划分更细的能力项；检索提供依据，可生成规程条文的引用。四者的分工是图谱、检索、规则与模型各司其职。本文实现中规则与模型已协同，图谱与检索尚未接入，属后续工作。</w:t>
      </w:r>
    </w:p>
    <w:p>
      <w:pPr>
        <w:spacing w:before="200" w:after="80"/>
      </w:pPr>
      <w:r>
        <w:rPr>
          <w:rFonts w:ascii="Times New Roman" w:hAnsi="Times New Roman" w:eastAsia="黑体"/>
          <w:b/>
          <w:i w:val="0"/>
          <w:sz w:val="21"/>
        </w:rPr>
        <w:t>6.5　局限性</w:t>
      </w:r>
    </w:p>
    <w:p>
      <w:pPr>
        <w:ind w:firstLine="420"/>
        <w:jc w:val="both"/>
      </w:pPr>
      <w:r>
        <w:rPr>
          <w:rFonts w:ascii="Times New Roman" w:hAnsi="Times New Roman" w:eastAsia="宋体"/>
          <w:b w:val="0"/>
          <w:i w:val="0"/>
          <w:sz w:val="21"/>
        </w:rPr>
        <w:t>本文有三方面局限：实验限于单一单位的 150 份档案，语料覆盖均衡但不符合真实人力分布，结论宜作案例看待；模型实测为单次采样，26 条样本的分辨率约 4%，只宜判断量级，若要给出置信区间应扩大样本并多次采样；专家评分与现场采纳数据尚未采集，故不对学习效果作因果结论，仅报告覆盖、语义正确性与输出合规性。</w:t>
      </w:r>
    </w:p>
    <w:p>
      <w:pPr>
        <w:spacing w:before="280" w:after="120"/>
      </w:pPr>
      <w:r>
        <w:rPr>
          <w:rFonts w:ascii="Times New Roman" w:hAnsi="Times New Roman" w:eastAsia="黑体"/>
          <w:b/>
          <w:i w:val="0"/>
          <w:sz w:val="24"/>
        </w:rPr>
        <w:t>7　结论</w:t>
      </w:r>
    </w:p>
    <w:p>
      <w:pPr>
        <w:ind w:firstLine="420"/>
        <w:jc w:val="both"/>
      </w:pPr>
      <w:r>
        <w:rPr>
          <w:rFonts w:ascii="Times New Roman" w:hAnsi="Times New Roman" w:eastAsia="宋体"/>
          <w:b w:val="0"/>
          <w:i w:val="0"/>
          <w:sz w:val="21"/>
        </w:rPr>
        <w:t>本文针对变电运维岗位培训中安全约束与个体差异并存的矛盾，提出一种规则增强的个性化培训智能体。系统将安全与业务判定交由声明式规则引擎承担，将叙述性表达交由微调模型承担，并以四重校验与回退机制连接两条路径。规则以 JSON 条件树存储，支持分组收敛、事实引用与热更新；阈值一律引用事实而非写入字面量，使同一规则可适配不同的合格线与授权门槛。</w:t>
      </w:r>
    </w:p>
    <w:p>
      <w:pPr>
        <w:ind w:firstLine="420"/>
        <w:jc w:val="both"/>
      </w:pPr>
      <w:r>
        <w:rPr>
          <w:rFonts w:ascii="Times New Roman" w:hAnsi="Times New Roman" w:eastAsia="宋体"/>
          <w:b w:val="0"/>
          <w:i w:val="0"/>
          <w:sz w:val="21"/>
        </w:rPr>
        <w:t>在 150 份结构化档案上的 450 次回放表明，规则集覆盖全部档案，考试不合格与能力差距的漏报数均为 0，125 份带安全负例的档案全部得到显式处置；200 组参数网格上定档、关键词补充、严重度合并与事实引用的正确率均为 100%，无不可达规则；重复执行结果逐字节一致，单次求值平均 0.0122 ms。26 条留出样本的模型实测表明，六键契约、事实一致性、学习排期与数值溯源全部合规，平均引用 4.75 个不同事实，端到端时延中位数 105 s。</w:t>
      </w:r>
    </w:p>
    <w:p>
      <w:pPr>
        <w:ind w:firstLine="420"/>
        <w:jc w:val="both"/>
      </w:pPr>
      <w:r>
        <w:rPr>
          <w:rFonts w:ascii="Times New Roman" w:hAnsi="Times New Roman" w:eastAsia="宋体"/>
          <w:b w:val="0"/>
          <w:i w:val="0"/>
          <w:sz w:val="21"/>
        </w:rPr>
        <w:t>上述结果说明，在岗位能力可分级、阈值可枚举、档案已结构化的场景中，以规则承担判定、模型承担表达、校验承担取舍的架构可在保证安全边界与可追溯性的前提下自动生成个体化建议。后续工作包括接入知识图谱与检索以细化能力项、扩大样本并多次采样以给出置信区间，以及开展专家评分与现场采纳研究。</w:t>
      </w:r>
    </w:p>
    <w:p>
      <w:pPr>
        <w:spacing w:before="280" w:after="120"/>
      </w:pPr>
      <w:r>
        <w:rPr>
          <w:rFonts w:ascii="Times New Roman" w:hAnsi="Times New Roman" w:eastAsia="黑体"/>
          <w:b/>
          <w:i w:val="0"/>
          <w:sz w:val="24"/>
        </w:rPr>
        <w:t>致谢</w:t>
      </w:r>
    </w:p>
    <w:p>
      <w:pPr>
        <w:ind w:firstLine="420"/>
        <w:jc w:val="both"/>
      </w:pPr>
      <w:r>
        <w:rPr>
          <w:rFonts w:ascii="Times New Roman" w:hAnsi="Times New Roman" w:eastAsia="宋体"/>
          <w:b w:val="0"/>
          <w:i w:val="0"/>
          <w:sz w:val="21"/>
        </w:rPr>
        <w:t>感谢试点单位运维与技术人员在需求梳理、档案脱敏与结论复核中的配合，感谢评审意见对本文实验口径的修正。</w:t>
      </w:r>
    </w:p>
    <w:p>
      <w:pPr>
        <w:spacing w:before="320"/>
      </w:pPr>
      <w:r>
        <w:rPr>
          <w:rFonts w:ascii="Times New Roman" w:hAnsi="Times New Roman" w:eastAsia="黑体"/>
          <w:b/>
          <w:i w:val="0"/>
          <w:sz w:val="24"/>
        </w:rPr>
        <w:t>参考文献</w:t>
      </w:r>
    </w:p>
    <w:p>
      <w:pPr>
        <w:spacing w:line="288" w:lineRule="auto" w:after="40"/>
        <w:ind w:left="420" w:hanging="420"/>
      </w:pPr>
      <w:r>
        <w:rPr>
          <w:rFonts w:ascii="Times New Roman" w:hAnsi="Times New Roman" w:eastAsia="宋体"/>
          <w:b w:val="0"/>
          <w:i w:val="0"/>
          <w:sz w:val="18"/>
        </w:rPr>
        <w:t>[1] Lewis P, Perez E, Piktus A, et al. Retrieval-augmented generation for knowledge-intensive NLP tasks. Advances in Neural Information Processing Systems (NeurIPS), 2020, 33: 9459-9474. https://doi.org/10.48550/arXiv.2005.11401.</w:t>
      </w:r>
    </w:p>
    <w:p>
      <w:pPr>
        <w:spacing w:line="288" w:lineRule="auto" w:after="40"/>
        <w:ind w:left="420" w:hanging="420"/>
      </w:pPr>
      <w:r>
        <w:rPr>
          <w:rFonts w:ascii="Times New Roman" w:hAnsi="Times New Roman" w:eastAsia="宋体"/>
          <w:b w:val="0"/>
          <w:i w:val="0"/>
          <w:sz w:val="18"/>
        </w:rPr>
        <w:t>[2] Hu E J, Shen Y, Wallis P, et al. LoRA: low-rank adaptation of large language models. International Conference on Learning Representations (ICLR), 2022. https://doi.org/10.48550/arXiv.2106.09685.</w:t>
      </w:r>
    </w:p>
    <w:p>
      <w:pPr>
        <w:spacing w:line="288" w:lineRule="auto" w:after="40"/>
        <w:ind w:left="420" w:hanging="420"/>
      </w:pPr>
      <w:r>
        <w:rPr>
          <w:rFonts w:ascii="Times New Roman" w:hAnsi="Times New Roman" w:eastAsia="宋体"/>
          <w:b w:val="0"/>
          <w:i w:val="0"/>
          <w:sz w:val="18"/>
        </w:rPr>
        <w:t>[3] Yao S, Zhao J, Yu D, et al. ReAct: synergizing reasoning and acting in language models. International Conference on Learning Representations (ICLR), 2023. https://doi.org/10.48550/arXiv.2210.03629.</w:t>
      </w:r>
    </w:p>
    <w:p>
      <w:pPr>
        <w:spacing w:line="288" w:lineRule="auto" w:after="40"/>
        <w:ind w:left="420" w:hanging="420"/>
      </w:pPr>
      <w:r>
        <w:rPr>
          <w:rFonts w:ascii="Times New Roman" w:hAnsi="Times New Roman" w:eastAsia="宋体"/>
          <w:b w:val="0"/>
          <w:i w:val="0"/>
          <w:sz w:val="18"/>
        </w:rPr>
        <w:t>[4] Wei J, Wang X, Schuurmans D, et al. Chain-of-thought prompting elicits reasoning in large language models. Advances in Neural Information Processing Systems (NeurIPS), 2022, 35: 24824-24837. https://doi.org/10.48550/arXiv.2201.11903.</w:t>
      </w:r>
    </w:p>
    <w:p>
      <w:pPr>
        <w:spacing w:line="288" w:lineRule="auto" w:after="40"/>
        <w:ind w:left="420" w:hanging="420"/>
      </w:pPr>
      <w:r>
        <w:rPr>
          <w:rFonts w:ascii="Times New Roman" w:hAnsi="Times New Roman" w:eastAsia="宋体"/>
          <w:b w:val="0"/>
          <w:i w:val="0"/>
          <w:sz w:val="18"/>
        </w:rPr>
        <w:t>[5] Ouyang L, Wu J, Jiang X, et al. Training language models to follow instructions with human feedback. Advances in Neural Information Processing Systems (NeurIPS), 2022, 35: 27730-27744. https://doi.org/10.48550/arXiv.2203.02155.</w:t>
      </w:r>
    </w:p>
    <w:p>
      <w:pPr>
        <w:spacing w:line="288" w:lineRule="auto" w:after="40"/>
        <w:ind w:left="420" w:hanging="420"/>
      </w:pPr>
      <w:r>
        <w:rPr>
          <w:rFonts w:ascii="Times New Roman" w:hAnsi="Times New Roman" w:eastAsia="宋体"/>
          <w:b w:val="0"/>
          <w:i w:val="0"/>
          <w:sz w:val="18"/>
        </w:rPr>
        <w:t>[6] Bai Y, Kadavath S, Kundu S, et al. Constitutional AI: harmlessness from AI feedback. arXiv preprint, 2022. https://doi.org/10.48550/arXiv.2212.08073.</w:t>
      </w:r>
    </w:p>
    <w:p>
      <w:pPr>
        <w:spacing w:line="288" w:lineRule="auto" w:after="40"/>
        <w:ind w:left="420" w:hanging="420"/>
      </w:pPr>
      <w:r>
        <w:rPr>
          <w:rFonts w:ascii="Times New Roman" w:hAnsi="Times New Roman" w:eastAsia="宋体"/>
          <w:b w:val="0"/>
          <w:i w:val="0"/>
          <w:sz w:val="18"/>
        </w:rPr>
        <w:t>[7] Shinn N, Cassano F, Gopinath A, et al. Reflexion: language agents with verbal reinforcement learning. Advances in Neural Information Processing Systems (NeurIPS), 2023, 36. https://doi.org/10.48550/arXiv.2303.11366.</w:t>
      </w:r>
    </w:p>
    <w:p>
      <w:pPr>
        <w:spacing w:line="288" w:lineRule="auto" w:after="40"/>
        <w:ind w:left="420" w:hanging="420"/>
      </w:pPr>
      <w:r>
        <w:rPr>
          <w:rFonts w:ascii="Times New Roman" w:hAnsi="Times New Roman" w:eastAsia="宋体"/>
          <w:b w:val="0"/>
          <w:i w:val="0"/>
          <w:sz w:val="18"/>
        </w:rPr>
        <w:t>[8] Rebedea T, Dinu R, Sreedhar M, et al. NeMo Guardrails: a toolkit for controllable and safe LLM applications with programmable rails. Proc. EMNLP 2023 (Demo), 2023. https://doi.org/10.48550/arXiv.2310.10501.</w:t>
      </w:r>
    </w:p>
    <w:p>
      <w:pPr>
        <w:spacing w:line="288" w:lineRule="auto" w:after="40"/>
        <w:ind w:left="420" w:hanging="420"/>
      </w:pPr>
      <w:r>
        <w:rPr>
          <w:rFonts w:ascii="Times New Roman" w:hAnsi="Times New Roman" w:eastAsia="宋体"/>
          <w:b w:val="0"/>
          <w:i w:val="0"/>
          <w:sz w:val="18"/>
        </w:rPr>
        <w:t>[9] Ji Z, Lee N, Frieske R, et al. Survey of hallucination in natural language generation. ACM Computing Surveys, 2023, 55(12): 1-38. https://doi.org/10.1145/3571730.</w:t>
      </w:r>
    </w:p>
    <w:p>
      <w:pPr>
        <w:spacing w:line="288" w:lineRule="auto" w:after="40"/>
        <w:ind w:left="420" w:hanging="420"/>
      </w:pPr>
      <w:r>
        <w:rPr>
          <w:rFonts w:ascii="Times New Roman" w:hAnsi="Times New Roman" w:eastAsia="宋体"/>
          <w:b w:val="0"/>
          <w:i w:val="0"/>
          <w:sz w:val="18"/>
        </w:rPr>
        <w:t>[10] Zhao W X, Zhou K, Li J, et al. A survey of large language models. arXiv preprint, 2023. https://doi.org/10.48550/arXiv.2303.18223.</w:t>
      </w:r>
    </w:p>
    <w:p>
      <w:pPr>
        <w:spacing w:line="288" w:lineRule="auto" w:after="40"/>
        <w:ind w:left="420" w:hanging="420"/>
      </w:pPr>
      <w:r>
        <w:rPr>
          <w:rFonts w:ascii="Times New Roman" w:hAnsi="Times New Roman" w:eastAsia="宋体"/>
          <w:b w:val="0"/>
          <w:i w:val="0"/>
          <w:sz w:val="18"/>
        </w:rPr>
        <w:t>[11] Gao Y, Xiong Y, Gao X, et al. Retrieval-augmented generation for large language models: a survey. arXiv preprint, 2023. https://doi.org/10.48550/arXiv.2312.10997.</w:t>
      </w:r>
    </w:p>
    <w:p>
      <w:pPr>
        <w:spacing w:line="288" w:lineRule="auto" w:after="40"/>
        <w:ind w:left="420" w:hanging="420"/>
      </w:pPr>
      <w:r>
        <w:rPr>
          <w:rFonts w:ascii="Times New Roman" w:hAnsi="Times New Roman" w:eastAsia="宋体"/>
          <w:b w:val="0"/>
          <w:i w:val="0"/>
          <w:sz w:val="18"/>
        </w:rPr>
        <w:t>[12] Qwen Team. Qwen2.5 technical report. arXiv preprint, 2024. https://doi.org/10.48550/arXiv.2412.15115.</w:t>
      </w:r>
    </w:p>
    <w:p>
      <w:pPr>
        <w:spacing w:line="288" w:lineRule="auto" w:after="40"/>
        <w:ind w:left="420" w:hanging="420"/>
      </w:pPr>
      <w:r>
        <w:rPr>
          <w:rFonts w:ascii="Times New Roman" w:hAnsi="Times New Roman" w:eastAsia="宋体"/>
          <w:b w:val="0"/>
          <w:i w:val="0"/>
          <w:sz w:val="18"/>
        </w:rPr>
        <w:t>[13] Zheng Y, Zhang R, Zhang J, et al. LLaMA-Factory: unified efficient fine-tuning of 100+ language models. Proc. ACL 2024 (System Demonstrations), 2024. https://doi.org/10.48550/arXiv.2403.13372.</w:t>
      </w:r>
    </w:p>
    <w:p>
      <w:pPr>
        <w:spacing w:line="288" w:lineRule="auto" w:after="40"/>
        <w:ind w:left="420" w:hanging="420"/>
      </w:pPr>
      <w:r>
        <w:rPr>
          <w:rFonts w:ascii="Times New Roman" w:hAnsi="Times New Roman" w:eastAsia="宋体"/>
          <w:b w:val="0"/>
          <w:i w:val="0"/>
          <w:sz w:val="18"/>
        </w:rPr>
        <w:t>[14] Forgy C L. Rete: a fast algorithm for the many pattern / many object pattern match problem. Artificial Intelligence, 1982, 19(1): 17-37. https://doi.org/10.1016/0004-3702(82)90020-0.</w:t>
      </w:r>
    </w:p>
    <w:p>
      <w:pPr>
        <w:spacing w:line="288" w:lineRule="auto" w:after="40"/>
        <w:ind w:left="420" w:hanging="420"/>
      </w:pPr>
      <w:r>
        <w:rPr>
          <w:rFonts w:ascii="Times New Roman" w:hAnsi="Times New Roman" w:eastAsia="宋体"/>
          <w:b w:val="0"/>
          <w:i w:val="0"/>
          <w:sz w:val="18"/>
        </w:rPr>
        <w:t>[15] Majumder S, Dong L, Doudi F, et al. Exploring the capabilities and limitations of large language models in the electric energy sector. Joule, 2024, 8(6): 1599-1608. https://doi.org/10.1016/j.joule.2024.05.009.</w:t>
      </w:r>
    </w:p>
    <w:p>
      <w:pPr>
        <w:spacing w:line="288" w:lineRule="auto" w:after="40"/>
        <w:ind w:left="420" w:hanging="420"/>
      </w:pPr>
      <w:r>
        <w:rPr>
          <w:rFonts w:ascii="Times New Roman" w:hAnsi="Times New Roman" w:eastAsia="宋体"/>
          <w:b w:val="0"/>
          <w:i w:val="0"/>
          <w:sz w:val="18"/>
        </w:rPr>
        <w:t>[16] Piech C, Bassen J, Huang J, et al. Deep knowledge tracing. Advances in Neural Information Processing Systems (NeurIPS), 2015, 28: 505-513. https://doi.org/10.48550/arXiv.1506.05908.</w:t>
      </w:r>
    </w:p>
    <w:p>
      <w:pPr>
        <w:spacing w:line="288" w:lineRule="auto" w:after="40"/>
        <w:ind w:left="420" w:hanging="420"/>
      </w:pPr>
      <w:r>
        <w:rPr>
          <w:rFonts w:ascii="Times New Roman" w:hAnsi="Times New Roman" w:eastAsia="宋体"/>
          <w:b w:val="0"/>
          <w:i w:val="0"/>
          <w:sz w:val="18"/>
        </w:rPr>
        <w:t>[17] Neshaei S P, Davis R L, Hazimeh A, et al. Towards modeling learner performance with large language models. arXiv preprint, 2024. https://doi.org/10.48550/arXiv.2403.14661.</w:t>
      </w:r>
    </w:p>
    <w:p>
      <w:pPr>
        <w:spacing w:line="288" w:lineRule="auto" w:after="40"/>
        <w:ind w:left="420" w:hanging="420"/>
      </w:pPr>
      <w:r>
        <w:rPr>
          <w:rFonts w:ascii="Times New Roman" w:hAnsi="Times New Roman" w:eastAsia="宋体"/>
          <w:b w:val="0"/>
          <w:i w:val="0"/>
          <w:sz w:val="18"/>
        </w:rPr>
        <w:t>[18] Cho Y, AlMamlook R E, Gharaibeh T. A systematic review of knowledge tracing and large language models in education: opportunities, issues, and future research. arXiv preprint, 2024. https://doi.org/10.48550/arXiv.2412.09248.</w:t>
      </w:r>
    </w:p>
    <w:p>
      <w:pPr>
        <w:spacing w:line="288" w:lineRule="auto" w:after="40"/>
        <w:ind w:left="420" w:hanging="420"/>
      </w:pPr>
      <w:r>
        <w:rPr>
          <w:rFonts w:ascii="Times New Roman" w:hAnsi="Times New Roman" w:eastAsia="宋体"/>
          <w:b w:val="0"/>
          <w:i w:val="0"/>
          <w:sz w:val="18"/>
        </w:rPr>
        <w:t>[19] Li Z, Wang J, Gu W, et al. TutorLLM: customizing learning recommendations with knowledge tracing and retrieval-augmented generation. Human-Computer Interaction - INTERACT 2025, LNCS, 2025: 137-146. https://doi.org/10.1007/978-3-032-05005-2_8.</w:t>
      </w:r>
    </w:p>
    <w:p>
      <w:pPr>
        <w:spacing w:line="288" w:lineRule="auto" w:after="40"/>
        <w:ind w:left="420" w:hanging="420"/>
      </w:pPr>
      <w:r>
        <w:rPr>
          <w:rFonts w:ascii="Times New Roman" w:hAnsi="Times New Roman" w:eastAsia="宋体"/>
          <w:b w:val="0"/>
          <w:i w:val="0"/>
          <w:sz w:val="18"/>
        </w:rPr>
        <w:t>[20] Wang X, Wei J, Schuurmans D, et al. Self-consistency improves chain of thought reasoning in language models. International Conference on Learning Representations (ICLR), 2023. https://doi.org/10.48550/arXiv.2203.11171.</w:t>
      </w:r>
    </w:p>
    <w:p>
      <w:pPr>
        <w:spacing w:line="288" w:lineRule="auto" w:after="40"/>
        <w:ind w:left="420" w:hanging="420"/>
      </w:pPr>
      <w:r>
        <w:rPr>
          <w:rFonts w:ascii="Times New Roman" w:hAnsi="Times New Roman" w:eastAsia="宋体"/>
          <w:b w:val="0"/>
          <w:i w:val="0"/>
          <w:sz w:val="18"/>
        </w:rPr>
        <w:t>[21] Xi Z, Chen W, Guo X, et al. The rise and potential of large language model based agents: a survey. arXiv preprint, 2023. https://doi.org/10.48550/arXiv.2309.07864.</w:t>
      </w:r>
    </w:p>
    <w:p>
      <w:pPr>
        <w:spacing w:line="288" w:lineRule="auto" w:after="40"/>
        <w:ind w:left="420" w:hanging="420"/>
      </w:pPr>
      <w:r>
        <w:rPr>
          <w:rFonts w:ascii="Times New Roman" w:hAnsi="Times New Roman" w:eastAsia="宋体"/>
          <w:b w:val="0"/>
          <w:i w:val="0"/>
          <w:sz w:val="18"/>
        </w:rPr>
        <w:t>[22] Huang L, Yu W, Ma J, et al. A survey on hallucination in large language models: principles, taxonomy, challenges, and open questions. ACM Transactions on Information Systems, 2025, 43(2): 1-55. https://doi.org/10.1145/3703155.</w:t>
      </w:r>
    </w:p>
    <w:p>
      <w:pPr>
        <w:spacing w:line="288" w:lineRule="auto" w:after="40"/>
        <w:ind w:left="420" w:hanging="420"/>
      </w:pPr>
      <w:r>
        <w:rPr>
          <w:rFonts w:ascii="Times New Roman" w:hAnsi="Times New Roman" w:eastAsia="宋体"/>
          <w:b w:val="0"/>
          <w:i w:val="0"/>
          <w:sz w:val="18"/>
        </w:rPr>
        <w:t>[23] 杨清波, 朱署光, 刘东, 等. 电网调控大语言模型能力提升关键技术研究[J]. 发电技术, 2026, 47(4): 697-708. DOI:10.12096/j.2096-4528.pgt.260402.</w:t>
      </w:r>
    </w:p>
    <w:p>
      <w:pPr>
        <w:spacing w:line="288" w:lineRule="auto" w:after="40"/>
        <w:ind w:left="420" w:hanging="420"/>
      </w:pPr>
      <w:r>
        <w:rPr>
          <w:rFonts w:ascii="Times New Roman" w:hAnsi="Times New Roman" w:eastAsia="宋体"/>
          <w:b w:val="0"/>
          <w:i w:val="0"/>
          <w:sz w:val="18"/>
        </w:rPr>
        <w:t>[24] 刘金波, 郭庆来, 付聪, 等. 规程思维链驱动的大语言模型调度机理知识嵌入方法[J]. 电力系统自动化, 2026, 50(13): 48-58. DOI:10.7500/AEPS20250902005.</w:t>
      </w:r>
    </w:p>
    <w:p>
      <w:pPr>
        <w:spacing w:line="288" w:lineRule="auto" w:after="40"/>
        <w:ind w:left="420" w:hanging="420"/>
      </w:pPr>
      <w:r>
        <w:rPr>
          <w:rFonts w:ascii="Times New Roman" w:hAnsi="Times New Roman" w:eastAsia="宋体"/>
          <w:b w:val="0"/>
          <w:i w:val="0"/>
          <w:sz w:val="18"/>
        </w:rPr>
        <w:t>[25] Wang W Z, Zhao X L, Gao Q, et al. 基于知识图谱的变电站自适应测评建模研究[J]. Journal of Physics: Conference Series, 2022, 2213: 012017. DOI:10.1088/1742-6596/2213/1/012017.</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