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0511A7">
      <w:pPr>
        <w:spacing w:after="160"/>
        <w:jc w:val="center"/>
      </w:pPr>
      <w:r>
        <w:rPr>
          <w:rFonts w:ascii="Times New Roman" w:hAnsi="Times New Roman" w:eastAsia="黑体"/>
          <w:b/>
          <w:i w:val="0"/>
          <w:sz w:val="34"/>
        </w:rPr>
        <w:t>规则增强的变电运维个性化培训智能体设计与实现</w:t>
      </w:r>
    </w:p>
    <w:p w14:paraId="444A796D"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22"/>
        </w:rPr>
        <w:t>〔作者一〕</w:t>
      </w:r>
      <w:r>
        <w:rPr>
          <w:rFonts w:hint="eastAsia"/>
          <w:b w:val="0"/>
          <w:i w:val="0"/>
          <w:sz w:val="22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2"/>
        </w:rPr>
        <w:t>〔作者二〕</w:t>
      </w:r>
      <w:r>
        <w:rPr>
          <w:rFonts w:hint="eastAsia"/>
          <w:b w:val="0"/>
          <w:i w:val="0"/>
          <w:sz w:val="22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22"/>
        </w:rPr>
        <w:t>〔作者三〕</w:t>
      </w:r>
    </w:p>
    <w:p w14:paraId="31662DE2">
      <w:pPr>
        <w:spacing w:after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（〔单位〕</w:t>
      </w:r>
      <w:r>
        <w:rPr>
          <w:rFonts w:hint="eastAsia"/>
          <w:b w:val="0"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〔城市〕</w:t>
      </w:r>
      <w:r>
        <w:rPr>
          <w:rFonts w:hint="eastAsia"/>
          <w:b w:val="0"/>
          <w:i w:val="0"/>
          <w:sz w:val="18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8"/>
        </w:rPr>
        <w:t>〔邮编〕）</w:t>
      </w:r>
    </w:p>
    <w:p w14:paraId="6454C095">
      <w:pPr>
        <w:spacing w:after="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通信作者：〔邮箱〕</w:t>
      </w:r>
    </w:p>
    <w:p w14:paraId="2935841A">
      <w:pPr>
        <w:spacing w:before="160"/>
        <w:jc w:val="both"/>
      </w:pPr>
      <w:r>
        <w:rPr>
          <w:rFonts w:ascii="Times New Roman" w:hAnsi="Times New Roman" w:eastAsia="黑体"/>
          <w:b/>
          <w:i w:val="0"/>
          <w:sz w:val="19"/>
        </w:rPr>
        <w:t>摘要：</w:t>
      </w:r>
      <w:r>
        <w:rPr>
          <w:rFonts w:ascii="Times New Roman" w:hAnsi="Times New Roman" w:eastAsia="宋体"/>
          <w:b w:val="0"/>
          <w:i w:val="0"/>
          <w:sz w:val="19"/>
        </w:rPr>
        <w:t>变电运维岗位培训既受安全规程约束，又受人员个体能力差异制约。通用大模型存在规程幻觉与结论不可追溯的问题，仅以检索文本作为生成上下文亦不能保证输出满足业务阈值。本文提出一种规则增强的个性化培训智能体，把安全与业务阈值的判定权交由声明式规则引擎，模型只承担叙述性表达，两者由四道防线衔接：结构契约、数值对账、输入端授权与安全处置，其中结构类不合格整份回退规则结论，数值类无出处者留痕并压低置信度。一次执行由同一执行编号串联命中规则、建议与人工决定。模型以 Qwen2.5-3B-Instruct 为基座，完成 4-bit QLoRA 微调。在 150 份按因子设计生成的结构化档案上回放 450 次规则执行，档案级覆盖 150/150，考试不合格与证书等级不足两类负例的漏报均为 0；200 组参数网格上定档、关键词补充与严重度合并的正确率均为 100%，重复执行结果逐字节一致，进程内单次求值平均 0.012 ms。26 条测试样本的模型输出首次即通过硬校验，未触发回退；另以 16 例错误注入检验校验器，结构类 11 例全部拦截、数值类 2 例全部留痕，语义类 3 例未被检出，构成当前实现的覆盖边界。该架构适用于岗位能力可分级、业务阈值可枚举且建议须经人工确认的工业培训场景。</w:t>
      </w:r>
    </w:p>
    <w:p w14:paraId="06AACD83">
      <w:pPr>
        <w:spacing w:after="120"/>
        <w:rPr>
          <w:rFonts w:ascii="Times New Roman" w:hAnsi="Times New Roman" w:eastAsia="宋体"/>
          <w:b w:val="0"/>
          <w:i w:val="0"/>
          <w:sz w:val="19"/>
        </w:rPr>
      </w:pPr>
      <w:r>
        <w:rPr>
          <w:rFonts w:ascii="Times New Roman" w:hAnsi="Times New Roman" w:eastAsia="黑体"/>
          <w:b/>
          <w:i w:val="0"/>
          <w:sz w:val="19"/>
        </w:rPr>
        <w:t>关键词：</w:t>
      </w:r>
      <w:r>
        <w:rPr>
          <w:rFonts w:ascii="Times New Roman" w:hAnsi="Times New Roman" w:eastAsia="宋体"/>
          <w:b w:val="0"/>
          <w:i w:val="0"/>
          <w:sz w:val="19"/>
        </w:rPr>
        <w:t>变电运维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个性化培训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大语言模型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声明式规则引擎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输出契约</w:t>
      </w:r>
      <w:r>
        <w:rPr>
          <w:rFonts w:hint="eastAsia"/>
          <w:b w:val="0"/>
          <w:i w:val="0"/>
          <w:sz w:val="19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9"/>
        </w:rPr>
        <w:t>参数高效微调</w:t>
      </w:r>
    </w:p>
    <w:p w14:paraId="5761CA28">
      <w:pPr>
        <w:spacing w:after="120"/>
      </w:pPr>
      <w:r>
        <w:rPr>
          <w:rFonts w:ascii="Times New Roman" w:hAnsi="Times New Roman" w:eastAsia="黑体"/>
          <w:b/>
          <w:i w:val="0"/>
          <w:sz w:val="24"/>
        </w:rPr>
        <w:t>引言</w:t>
      </w:r>
    </w:p>
    <w:p w14:paraId="1120072A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变电运维涵盖设备巡视、倒闸操作、异常处置等高风险作业，作业行为受安全规程约束。运维人员在资格等级、实操表现、考试成绩与安全记录上差异显著，数据分散于人事、培训与安全三套台账，统一推送课程的传统做法难以生成个体化建议。本文把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个性化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落在四个维度：补哪些能力项、每项差几级、按什么顺序补、用什么话说明原因</w:t>
      </w:r>
      <w:r>
        <w:rPr>
          <w:rFonts w:hint="eastAsia"/>
          <w:b w:val="0"/>
          <w:i w:val="0"/>
          <w:sz w:val="20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sz w:val="20"/>
        </w:rPr>
        <w:t>前两项由业务规则决定，后两项才是语言模型可发挥的空间。</w:t>
      </w:r>
    </w:p>
    <w:p w14:paraId="65A01B85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大语言模型为案例生成、规程问答与学习建议提供了新途径[8]，在电网调度知识嵌入与辅助决策中已有应用[12]，但用于安全攸关场景存在三类风险：</w:t>
      </w:r>
      <w:r>
        <w:rPr>
          <w:rFonts w:hint="eastAsia"/>
          <w:b w:val="0"/>
          <w:i w:val="0"/>
          <w:sz w:val="20"/>
          <w:lang w:val="en-US" w:eastAsia="zh-CN"/>
        </w:rPr>
        <w:t>第一是</w:t>
      </w:r>
      <w:r>
        <w:rPr>
          <w:rFonts w:ascii="Times New Roman" w:hAnsi="Times New Roman" w:eastAsia="宋体"/>
          <w:b w:val="0"/>
          <w:i w:val="0"/>
          <w:sz w:val="20"/>
        </w:rPr>
        <w:t>规程幻觉，模型可能以确定语气生成不存在的条款或阈值[7]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hint="eastAsia"/>
          <w:b w:val="0"/>
          <w:i w:val="0"/>
          <w:sz w:val="20"/>
          <w:lang w:val="en-US" w:eastAsia="zh-CN"/>
        </w:rPr>
        <w:t>第二是</w:t>
      </w:r>
      <w:r>
        <w:rPr>
          <w:rFonts w:ascii="Times New Roman" w:hAnsi="Times New Roman" w:eastAsia="宋体"/>
          <w:b w:val="0"/>
          <w:i w:val="0"/>
          <w:sz w:val="20"/>
        </w:rPr>
        <w:t>结论不可追溯，建议中的合格线、人数与金额无法对应到数据来源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hint="eastAsia"/>
          <w:b w:val="0"/>
          <w:i w:val="0"/>
          <w:sz w:val="20"/>
          <w:lang w:val="en-US" w:eastAsia="zh-CN"/>
        </w:rPr>
        <w:t>第三是</w:t>
      </w:r>
      <w:r>
        <w:rPr>
          <w:rFonts w:ascii="Times New Roman" w:hAnsi="Times New Roman" w:eastAsia="宋体"/>
          <w:b w:val="0"/>
          <w:i w:val="0"/>
          <w:sz w:val="20"/>
        </w:rPr>
        <w:t>输出不稳定，同一输入多次调用可能结论不同。已有研究系统评估了大模型在电力领域的能力边界，结论同样指向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需要外部判定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[13]。指令微调与基于反馈的对齐可降低幻觉比例[5]，但难以完全消除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检索增强生成缓解了第一类问题[1][9]，然而仅以检索到的文本作为生成上下文时，输出是否满足业务阈值仍无保证。</w:t>
      </w:r>
    </w:p>
    <w:p w14:paraId="0B857C5B">
      <w:pPr>
        <w:ind w:firstLine="400"/>
        <w:jc w:val="both"/>
        <w:rPr>
          <w:rFonts w:hint="eastAsia"/>
          <w:b w:val="0"/>
          <w:i w:val="0"/>
          <w:sz w:val="20"/>
          <w:lang w:eastAsia="zh-CN"/>
        </w:rPr>
      </w:pPr>
      <w:r>
        <w:rPr>
          <w:rFonts w:ascii="Times New Roman" w:hAnsi="Times New Roman" w:eastAsia="宋体"/>
          <w:b w:val="0"/>
          <w:i w:val="0"/>
          <w:sz w:val="20"/>
        </w:rPr>
        <w:t>本文的思路是把判定权与表达权分开：安全与业务阈值的判定交由可审计的声明式规则引擎，模型只承担叙述性表达，两者由四道防线衔接，结构类不合格即回退规则结论。本文不主张规则引擎、参数高效微调或输出校验各自的原创性，主张的是一项面向该场景的架构与治理贡献：一是给出规则配置、规则计算与决策治理三层架构，规则路径与模型路径以来源标记隔离，更替模型不影响接口与前端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二是设计 JSON 声明式规则，支持分组收敛、事实引用与热更新，阈值一律引用事实而不写入字面量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三是把校验拆成结构、数值、授权与安全四条通道，分别对应回退、留痕、拒绝与规则处置，并给出覆盖边界。在此基础上重建与线上提示词同形的语料完成微调，以规则回放、语义网格、模型实测与错误注入四组实验检验</w:t>
      </w:r>
      <w:r>
        <w:rPr>
          <w:rFonts w:hint="eastAsia"/>
          <w:b w:val="0"/>
          <w:i w:val="0"/>
          <w:sz w:val="20"/>
          <w:lang w:eastAsia="zh-CN"/>
        </w:rPr>
        <w:t>。</w:t>
      </w:r>
    </w:p>
    <w:p w14:paraId="32A30243">
      <w:pPr>
        <w:jc w:val="both"/>
      </w:pPr>
      <w:r>
        <w:rPr>
          <w:rFonts w:ascii="Times New Roman" w:hAnsi="Times New Roman" w:eastAsia="黑体"/>
          <w:b/>
          <w:i w:val="0"/>
          <w:sz w:val="24"/>
        </w:rPr>
        <w:t>2现有方法与问题定位</w:t>
      </w:r>
    </w:p>
    <w:p w14:paraId="2AE60446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按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约束在何处执行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这一维度，现有路线可分为五类，见表 1。固定课件把约束放在编制环节，课程一旦成形即与个体无关；通用大模型与工具调用型智能体把约束留在提示词里[4]，而提示词只影响生成倾向，不构成可验证的判定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检索增强生成把约束降级为上下文，检索到的规程不等于生成内容符合规程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知识图谱长于描述联系而短于触发阈值；规则引擎把约束落在运行期条件匹配上，确定性与可审计性最好，代价是表达固定，且规则库维护中易出现口径脱节与规则相互遮蔽，这类退化不引发报错，只表现为命中率下降。</w:t>
      </w:r>
    </w:p>
    <w:p w14:paraId="1E001B49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1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现有技术路线把约束放在何处，以及在本场景下的主要不足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025"/>
        <w:gridCol w:w="2785"/>
        <w:gridCol w:w="4810"/>
      </w:tblGrid>
      <w:tr w14:paraId="537B0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02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547AB9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技术路线</w:t>
            </w:r>
          </w:p>
        </w:tc>
        <w:tc>
          <w:tcPr>
            <w:tcW w:w="278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B644FC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约束在何处执行</w:t>
            </w:r>
          </w:p>
        </w:tc>
        <w:tc>
          <w:tcPr>
            <w:tcW w:w="481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4D235CF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本场景下的主要不足</w:t>
            </w:r>
          </w:p>
        </w:tc>
      </w:tr>
      <w:tr w14:paraId="118E3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9DD3E2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固定课件培训系统</w:t>
            </w:r>
          </w:p>
        </w:tc>
        <w:tc>
          <w:tcPr>
            <w:tcW w:w="278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5C1318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课程编制环节人工把关</w:t>
            </w:r>
          </w:p>
        </w:tc>
        <w:tc>
          <w:tcPr>
            <w:tcW w:w="481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3B1CE3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无法适配个体差异，规程修订后维护成本高</w:t>
            </w:r>
          </w:p>
        </w:tc>
      </w:tr>
      <w:tr w14:paraId="0B2AD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5974BCE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通用大模型智能体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417655F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提示词与解码策略</w:t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180B8CB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规程幻觉、结论不可追溯、多次调用不一致</w:t>
            </w:r>
          </w:p>
        </w:tc>
      </w:tr>
      <w:tr w14:paraId="2B8D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66E754D1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检索增强生成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0EE480B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检索结果作为生成上下文</w:t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6218797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只提供依据，不对建议本身作出判定</w:t>
            </w:r>
          </w:p>
        </w:tc>
      </w:tr>
      <w:tr w14:paraId="5D614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</w:tcPr>
          <w:p w14:paraId="3B77F59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知识图谱增强</w:t>
            </w:r>
          </w:p>
        </w:tc>
        <w:tc>
          <w:tcPr>
            <w:tcW w:w="2785" w:type="dxa"/>
            <w:tcBorders>
              <w:top w:val="nil"/>
              <w:left w:val="nil"/>
              <w:bottom w:val="nil"/>
              <w:right w:val="nil"/>
            </w:tcBorders>
          </w:tcPr>
          <w:p w14:paraId="6A8D8260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本体与关系约束</w:t>
            </w:r>
          </w:p>
        </w:tc>
        <w:tc>
          <w:tcPr>
            <w:tcW w:w="4810" w:type="dxa"/>
            <w:tcBorders>
              <w:top w:val="nil"/>
              <w:left w:val="nil"/>
              <w:bottom w:val="nil"/>
              <w:right w:val="nil"/>
            </w:tcBorders>
          </w:tcPr>
          <w:p w14:paraId="7F49CF7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依赖本体构建，缺少阈值触发的判定逻辑</w:t>
            </w:r>
          </w:p>
        </w:tc>
      </w:tr>
      <w:tr w14:paraId="512C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02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870AD3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业务规则引擎</w:t>
            </w:r>
          </w:p>
        </w:tc>
        <w:tc>
          <w:tcPr>
            <w:tcW w:w="278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B34832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运行期条件匹配</w:t>
            </w:r>
          </w:p>
        </w:tc>
        <w:tc>
          <w:tcPr>
            <w:tcW w:w="481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67D3A6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确定性强，但表达固定、规则库维护负担重</w:t>
            </w:r>
          </w:p>
        </w:tc>
      </w:tr>
    </w:tbl>
    <w:p w14:paraId="36FAD56B">
      <w:pPr>
        <w:spacing w:after="40" w:line="80" w:lineRule="exact"/>
      </w:pPr>
    </w:p>
    <w:p w14:paraId="2D1AB8DC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与本文最接近的是可编程护栏[6]，差别有三：护栏以专用语言在对话层设定输入输出边界，判定对象是对话行为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本文把判定条件放进业务规则库，判定对象是岗位标准、课程合格线与安全记录，规则由业务方维护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护栏通常拦截或改写文本，本文在拦截之外保留一条完整的规则结论作为回退产物，使失败时仍有可交付的结果。上述路线并非互斥，缺的是分工与失败处置：判定须由可审计的载体承担，表达可以交给模型，两者之间需要一层能够拒绝、能够回退并留下证据的机制。</w:t>
      </w:r>
    </w:p>
    <w:p w14:paraId="5445C8A4">
      <w:pPr>
        <w:jc w:val="both"/>
      </w:pPr>
      <w:r>
        <w:rPr>
          <w:rFonts w:ascii="Times New Roman" w:hAnsi="Times New Roman" w:eastAsia="黑体"/>
          <w:b/>
          <w:i w:val="0"/>
          <w:sz w:val="24"/>
        </w:rPr>
        <w:t>3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系统架构</w:t>
      </w:r>
    </w:p>
    <w:p w14:paraId="4A643D79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系统受三条工程约束：角色间存在数据边界，安全类判定优先于一般业务判定，只允许单库部署且不引入外部规则框架。据此规则以 JSON 列存储于 MySQL 8，服务端直接读写、不设对象关系映射层。整体分规则配置、规则计算与决策治理三层（图 1）：配置层负责规则的增删改与启停，修改即时生效；计算层按场景装配事实并求值；治理层负责校验、回退与人工确认。两条不变量贯穿全链：规则引擎只写中间结果、不改写业务原始数据；对外输出的 need_human_confirm 恒为真。一次执行由同一执行编号串联命中规则、建议与最终决定，使结论可回溯到规则编号与数据点。</w:t>
      </w:r>
    </w:p>
    <w:p w14:paraId="4C101A79">
      <w:pPr>
        <w:spacing w:before="120" w:after="40"/>
        <w:jc w:val="center"/>
      </w:pPr>
      <w:r>
        <w:drawing>
          <wp:inline distT="0" distB="0" distL="114300" distR="114300">
            <wp:extent cx="2267585" cy="2694940"/>
            <wp:effectExtent l="0" t="0" r="889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269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F76">
      <w:pPr>
        <w:spacing w:after="160"/>
        <w:jc w:val="center"/>
        <w:rPr>
          <w:rFonts w:ascii="Times New Roman" w:hAnsi="Times New Roman" w:eastAsia="宋体"/>
          <w:b w:val="0"/>
          <w:i w:val="0"/>
          <w:sz w:val="18"/>
        </w:rPr>
      </w:pPr>
      <w:r>
        <w:rPr>
          <w:rFonts w:ascii="Times New Roman" w:hAnsi="Times New Roman" w:eastAsia="宋体"/>
          <w:b/>
          <w:i w:val="0"/>
          <w:sz w:val="18"/>
        </w:rPr>
        <w:t>图 1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系统总体架构。规则层负责判定，模型层负责表达，治理层负责取舍与回退，执行编号串联全链。</w:t>
      </w:r>
    </w:p>
    <w:p w14:paraId="1F30962D">
      <w:pPr>
        <w:spacing w:after="160"/>
        <w:jc w:val="both"/>
      </w:pPr>
      <w:r>
        <w:rPr>
          <w:rFonts w:ascii="Times New Roman" w:hAnsi="Times New Roman" w:eastAsia="黑体"/>
          <w:b/>
          <w:i w:val="0"/>
          <w:sz w:val="21"/>
        </w:rPr>
        <w:t>3.1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声明式规则引擎</w:t>
      </w:r>
    </w:p>
    <w:p w14:paraId="3D976D9F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规则以 JSON 条件树描述，算子取白名单，禁用表达式求值与字符串拼接，从机制上排除注入风险。条件求值取三值语义：满足、不满足、不可判定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后者（事实缺失、类型不符、算子越界）只跳过该条规则并记录原因。当一个场景的全部规则均不可判定时，未命中原因标注为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可判定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而非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无风险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，避免把证据不足误读为结论正常。为支持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定档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与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关键词补充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并存，引入三个机制：rule_group 分组收敛，命中即关闭本组而不影响他组；max_hits 限制组内命中上限；星号_from 使动作字段引用其他事实的取值，一条规则因而可服务多类对象。求值前按优先级降序、再按编号升序排序，结果与物理行序无关；多组命中后按严重度去重合并取最严重者。以考试判定为例，条件体只声明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成绩低于合格线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，比较两侧的取值都来自事实，换课程只需换数据。</w:t>
      </w:r>
    </w:p>
    <w:p w14:paraId="45BB2C6D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3.2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校验与失败处置</w:t>
      </w:r>
    </w:p>
    <w:p w14:paraId="1A15CF92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模型输出进入治理层后依次通过四道防线，判定对象、处置方式与实现位置见表 2。四道防线并非同质的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校验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：结构契约是硬判定，不合格即整份作废并回退规则结论，系统不设自动重写环节——重写会把一次失败变成两次模型调用，且无法保证第二次更好，而规则结论已经可用；数值对账是软判定，只留痕并把置信度封顶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hint="eastAsia"/>
          <w:b w:val="0"/>
          <w:i w:val="0"/>
          <w:sz w:val="20"/>
          <w:lang w:val="en-US" w:eastAsia="zh-CN"/>
        </w:rPr>
        <w:t>输</w:t>
      </w:r>
      <w:r>
        <w:rPr>
          <w:rFonts w:ascii="Times New Roman" w:hAnsi="Times New Roman" w:eastAsia="宋体"/>
          <w:b w:val="0"/>
          <w:i w:val="0"/>
          <w:sz w:val="20"/>
        </w:rPr>
        <w:t>入端授权发生在装配事实之前，越权请求连数据都取不到，因而不存在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越权数据已进入上下文、再裁剪输出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的情形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安全处置不在校验器里，而在规则层由 SAFETY 分组硬处置，事实清单第 8 组固定给出安全记录，提示词同时约束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一票否决须作为最高优先级点名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。失败路径与来源标记见图 2，对外来源标记只取 rule 与 model 两值，替换模型服务不改动业务接口与前端。</w:t>
      </w:r>
    </w:p>
    <w:p w14:paraId="30A16834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2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四道防线的判定对象、处置方式与实现位置</w:t>
      </w:r>
    </w:p>
    <w:tbl>
      <w:tblPr>
        <w:tblStyle w:val="33"/>
        <w:tblW w:w="96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970"/>
        <w:gridCol w:w="2827"/>
        <w:gridCol w:w="2848"/>
        <w:gridCol w:w="2974"/>
      </w:tblGrid>
      <w:tr w14:paraId="11679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97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CFE386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防线</w:t>
            </w:r>
          </w:p>
        </w:tc>
        <w:tc>
          <w:tcPr>
            <w:tcW w:w="282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14EC842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判定对象与依据</w:t>
            </w:r>
          </w:p>
        </w:tc>
        <w:tc>
          <w:tcPr>
            <w:tcW w:w="2848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B525DB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不通过时的处置</w:t>
            </w:r>
          </w:p>
        </w:tc>
        <w:tc>
          <w:tcPr>
            <w:tcW w:w="2974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41A58B1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实现位置</w:t>
            </w:r>
          </w:p>
        </w:tc>
      </w:tr>
      <w:tr w14:paraId="3424F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9C8ED7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结构契约</w:t>
            </w:r>
          </w:p>
        </w:tc>
        <w:tc>
          <w:tcPr>
            <w:tcW w:w="282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81C55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六键字段完整性、枚举取值、等级区间、技能不重复、日期格式</w:t>
            </w:r>
          </w:p>
        </w:tc>
        <w:tc>
          <w:tcPr>
            <w:tcW w:w="2848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B6503D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整份结论作废，回退规则结论并写入 fallback_note；不重试</w:t>
            </w:r>
          </w:p>
        </w:tc>
        <w:tc>
          <w:tcPr>
            <w:tcW w:w="2974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E45774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DiagnosisContract.validatePersonal</w:t>
            </w:r>
          </w:p>
        </w:tc>
      </w:tr>
      <w:tr w14:paraId="1E7FF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2AB295A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数值对账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14:paraId="626D99D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总述、结论理由与计划理由中出现的数字，须落在事实清单的数字集合内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14:paraId="61C3CE3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不拦截结论，记入 unverified_numbers，置信度封顶 0.6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6D93D39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DiagnosisPipeline.finish</w:t>
            </w:r>
          </w:p>
        </w:tc>
      </w:tr>
      <w:tr w14:paraId="1D5B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nil"/>
              <w:right w:val="nil"/>
            </w:tcBorders>
          </w:tcPr>
          <w:p w14:paraId="7294997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输入端授权</w:t>
            </w:r>
          </w:p>
        </w:tc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</w:tcPr>
          <w:p w14:paraId="782E2FF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令牌投影出的角色与接口路径前缀白名单（员工／组长／老总／管理员）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</w:tcPr>
          <w:p w14:paraId="5F3DD5F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直接返回 403，请求不进入事实装配，也不进入模型上下文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</w:tcPr>
          <w:p w14:paraId="41AE428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rbac/RoleInterceptor</w:t>
            </w:r>
          </w:p>
        </w:tc>
      </w:tr>
      <w:tr w14:paraId="5BD14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97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C4802C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安全处置</w:t>
            </w:r>
          </w:p>
        </w:tc>
        <w:tc>
          <w:tcPr>
            <w:tcW w:w="282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B0AA18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safety_record 的一票否决标志与风险等级</w:t>
            </w:r>
          </w:p>
        </w:tc>
        <w:tc>
          <w:tcPr>
            <w:tcW w:w="2848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2FDAC2A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由 SAFETY 规则组硬处置，结论须点名；第 8 组事实固定给出</w:t>
            </w:r>
          </w:p>
        </w:tc>
        <w:tc>
          <w:tcPr>
            <w:tcW w:w="2974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523DA10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规则层 SAFETY 分组</w:t>
            </w:r>
          </w:p>
        </w:tc>
      </w:tr>
    </w:tbl>
    <w:p w14:paraId="68AD7B8F">
      <w:pPr>
        <w:spacing w:after="40" w:line="80" w:lineRule="exact"/>
      </w:pPr>
    </w:p>
    <w:p w14:paraId="3E4EA3D7">
      <w:pPr>
        <w:spacing w:before="120" w:after="40"/>
        <w:jc w:val="center"/>
      </w:pPr>
      <w:r>
        <w:drawing>
          <wp:inline distT="0" distB="0" distL="114300" distR="114300">
            <wp:extent cx="3362325" cy="22923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-249" r="-1285" b="-72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FD67">
      <w:pPr>
        <w:spacing w:after="160"/>
        <w:jc w:val="center"/>
        <w:rPr>
          <w:rFonts w:ascii="Times New Roman" w:hAnsi="Times New Roman" w:eastAsia="宋体"/>
          <w:b w:val="0"/>
          <w:i w:val="0"/>
          <w:sz w:val="18"/>
        </w:rPr>
      </w:pPr>
      <w:r>
        <w:rPr>
          <w:rFonts w:ascii="Times New Roman" w:hAnsi="Times New Roman" w:eastAsia="宋体"/>
          <w:b/>
          <w:i w:val="0"/>
          <w:sz w:val="18"/>
        </w:rPr>
        <w:t>图 2　</w:t>
      </w:r>
      <w:r>
        <w:rPr>
          <w:rFonts w:ascii="Times New Roman" w:hAnsi="Times New Roman" w:eastAsia="宋体"/>
          <w:b w:val="0"/>
          <w:i w:val="0"/>
          <w:sz w:val="18"/>
        </w:rPr>
        <w:t>四道防线与失败处置。结构类不合格回退规则结论，数值类只留痕，越权请求在事实装配前即被拒绝。</w:t>
      </w:r>
    </w:p>
    <w:p w14:paraId="2525570C">
      <w:pPr>
        <w:spacing w:after="160"/>
        <w:jc w:val="both"/>
        <w:rPr>
          <w:rFonts w:ascii="Times New Roman" w:hAnsi="Times New Roman" w:eastAsia="黑体"/>
          <w:b/>
          <w:i w:val="0"/>
          <w:sz w:val="24"/>
        </w:rPr>
      </w:pPr>
      <w:r>
        <w:rPr>
          <w:rFonts w:ascii="Times New Roman" w:hAnsi="Times New Roman" w:eastAsia="黑体"/>
          <w:b/>
          <w:i w:val="0"/>
          <w:sz w:val="24"/>
        </w:rPr>
        <w:t>4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关键实现</w:t>
      </w:r>
    </w:p>
    <w:p w14:paraId="05DBFDEC">
      <w:pPr>
        <w:spacing w:after="160"/>
        <w:jc w:val="both"/>
      </w:pPr>
      <w:r>
        <w:rPr>
          <w:rFonts w:ascii="Times New Roman" w:hAnsi="Times New Roman" w:eastAsia="黑体"/>
          <w:b/>
          <w:i w:val="0"/>
          <w:sz w:val="21"/>
        </w:rPr>
        <w:t>4.1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规则集与事实适配</w:t>
      </w:r>
    </w:p>
    <w:p w14:paraId="3E45F350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规则库共 22 条，覆盖五个业务场景，其中 20 条参与求值，2 条为历史版本保留以便回溯既有结论，分布见表 3。建模遵循两条原则。其一，阈值引用事实而非写入字面量：课程合格线取自课程表，岗位要求等级取自岗位表，同一条规则因此可适配 80 分与 85 分、L2 至 L4 等不同口径，业务口径变更时只改数据不改规则。其二，组合优于枚举：气体归因的结论与处置措施经星号_from 从气体配置取值，五条定档规则即服务全部气体类型，否则规则数将随气体种类线性增长。需要区分两类输入：人员等级、成绩、耗时比属观测事实，由台账查询得到；合格线、要求等级、气体阈值属业务配置，由岗位标准与规程给定并随规则版本一同发布，二者在事实清单中以来源标签区分。</w:t>
      </w:r>
    </w:p>
    <w:p w14:paraId="7666A861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3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规则集在五个业务场景上的分布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3121"/>
        <w:gridCol w:w="630"/>
        <w:gridCol w:w="621"/>
        <w:gridCol w:w="3262"/>
        <w:gridCol w:w="1986"/>
      </w:tblGrid>
      <w:tr w14:paraId="55C2F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  <w:jc w:val="center"/>
        </w:trPr>
        <w:tc>
          <w:tcPr>
            <w:tcW w:w="31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28366E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场景</w:t>
            </w:r>
          </w:p>
        </w:tc>
        <w:tc>
          <w:tcPr>
            <w:tcW w:w="63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656B73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规则数</w:t>
            </w:r>
          </w:p>
        </w:tc>
        <w:tc>
          <w:tcPr>
            <w:tcW w:w="62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741DBD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启用</w:t>
            </w:r>
          </w:p>
        </w:tc>
        <w:tc>
          <w:tcPr>
            <w:tcW w:w="326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1703351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判定对象</w:t>
            </w:r>
          </w:p>
        </w:tc>
        <w:tc>
          <w:tcPr>
            <w:tcW w:w="198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1C7AA0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阈值来源</w:t>
            </w:r>
          </w:p>
        </w:tc>
      </w:tr>
      <w:tr w14:paraId="66EFF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C155FC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个人能力差距 PERSONAL_GAP</w:t>
            </w:r>
          </w:p>
        </w:tc>
        <w:tc>
          <w:tcPr>
            <w:tcW w:w="63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B99627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w="62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A0DBE7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w="326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AB9776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证书等级与岗位授权门槛、安全记录</w:t>
            </w:r>
          </w:p>
        </w:tc>
        <w:tc>
          <w:tcPr>
            <w:tcW w:w="198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900E34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岗位要求等级、安全记录类型</w:t>
            </w:r>
          </w:p>
        </w:tc>
      </w:tr>
      <w:tr w14:paraId="4261B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36B7A6B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考试判定 EXAM_RESULT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6C6AEDE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2605C50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3775731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课程成绩与课程合格线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2CFF8F8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课程表 pass_score</w:t>
            </w:r>
          </w:p>
        </w:tc>
      </w:tr>
      <w:tr w14:paraId="2F9DF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27885B4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人才缺口 TALENT_GAP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0AEFB5D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384AC86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60BDBCD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班组备份力量、未来需求缺口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0548E14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班组编制、需求预测</w:t>
            </w:r>
          </w:p>
        </w:tc>
      </w:tr>
      <w:tr w14:paraId="6EC93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16A9ACF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实操报告归因 REPORT_ANALYSIS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282929B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16E363F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5CF7E9D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耗时比与原因归属（技能类／人为类）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56B0CE3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同类任务计划耗时</w:t>
            </w:r>
          </w:p>
        </w:tc>
      </w:tr>
      <w:tr w14:paraId="009EC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</w:tcPr>
          <w:p w14:paraId="59D43B5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气体检测归因 REPORT_GAS</w:t>
            </w:r>
          </w:p>
        </w:tc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</w:tcPr>
          <w:p w14:paraId="4B51690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</w:tcPr>
          <w:p w14:paraId="1F1BEF3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</w:tcPr>
          <w:p w14:paraId="1198E4E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余量比定档（5 条）与七类异常关键词（7 条）</w:t>
            </w: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</w:tcPr>
          <w:p w14:paraId="4BA8E45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气体阈值与标准值</w:t>
            </w:r>
          </w:p>
        </w:tc>
      </w:tr>
      <w:tr w14:paraId="71280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3121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5D6412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合计</w:t>
            </w:r>
          </w:p>
        </w:tc>
        <w:tc>
          <w:tcPr>
            <w:tcW w:w="63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60845A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22</w:t>
            </w:r>
          </w:p>
        </w:tc>
        <w:tc>
          <w:tcPr>
            <w:tcW w:w="621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6C7EEA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</w:t>
            </w:r>
          </w:p>
        </w:tc>
        <w:tc>
          <w:tcPr>
            <w:tcW w:w="3262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D8BFE5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</w:t>
            </w:r>
          </w:p>
        </w:tc>
        <w:tc>
          <w:tcPr>
            <w:tcW w:w="1986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3D021A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均为事实引用</w:t>
            </w:r>
          </w:p>
        </w:tc>
      </w:tr>
    </w:tbl>
    <w:p w14:paraId="3BCD1FCF">
      <w:pPr>
        <w:spacing w:after="40" w:line="80" w:lineRule="exact"/>
      </w:pPr>
    </w:p>
    <w:p w14:paraId="25F907B9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事实适配层只读人事、考试、实操与安全四类台账，把档案组装为带编号与来源标签的事实清单；每个场景只允许一个事实来源，且不读取历史诊断结论，以抑制结论回灌。这只能减少反馈污染，要让重复回放的输入一致，还须固定台账快照与规则版本，本文的回放实验即在这一前提下进行。技能差距清单由后端按技能雷达预先归并给定，模型只能引用不得增删，这一约束把「哪些技能构成缺口」从生成任务降为转述任务，是输出稳定的前提。</w:t>
      </w:r>
    </w:p>
    <w:p w14:paraId="4F0FF3FE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差距量化的口径如下：岗位差距取要求等级与现状等级之差，未来需求差距取未来需求与现状等级之差，均截断为非负；考试、实操、证书与安全四项偏差分别归一化到 [0, 1]。六项加权得到补强优先级，见式（1），权重由业务侧按管理侧重配置；再按式（2）映射为 P1 至 P3 三档，阈值 θ1 与 θ2 同样由业务侧给定。排期顺序因此与规则判定同源，不由模型自由决定。</w:t>
      </w:r>
    </w:p>
    <w:p w14:paraId="1E0B326B">
      <w:pPr>
        <w:spacing w:before="120" w:after="120"/>
        <w:jc w:val="center"/>
      </w:pPr>
      <m:oMathPara>
        <m:oMath>
          <m:r>
            <m:rPr>
              <m:sty m:val="p"/>
            </m:rPr>
            <w:rPr>
              <w:rFonts w:ascii="Times New Roman" w:hAnsi="Times New Roman" w:eastAsia="宋体"/>
              <w:position w:val="-14"/>
              <w:sz w:val="21"/>
            </w:rPr>
            <w:object>
              <v:shape id="_x0000_i1025" o:spt="75" type="#_x0000_t75" style="height:19pt;width:249pt;" o:ole="t" filled="f" o:preferrelative="t" stroked="f" coordsize="21600,21600">
                <v:path/>
                <v:fill on="f" focussize="0,0"/>
                <v:stroke on="f"/>
                <v:imagedata r:id="rId9" o:title=""/>
                <o:lock v:ext="edit" aspectratio="f"/>
                <w10:wrap type="none"/>
                <w10:anchorlock/>
              </v:shape>
              <o:OLEObject Type="Embed" ProgID="Equation.DSMT4" ShapeID="_x0000_i1025" DrawAspect="Content" ObjectID="_1468075725" r:id="rId8">
                <o:LockedField>false</o:LockedField>
              </o:OLEObject>
            </w:objec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</w:r>
      <w:r>
        <w:rPr>
          <w:rFonts w:ascii="Times New Roman" w:hAnsi="Times New Roman" w:eastAsia="宋体"/>
          <w:b w:val="0"/>
          <w:i w:val="0"/>
          <w:sz w:val="21"/>
        </w:rPr>
        <w:t>（1）</w:t>
      </w:r>
    </w:p>
    <w:p w14:paraId="461AC5BA">
      <w:pPr>
        <w:spacing w:before="120" w:after="120"/>
        <w:jc w:val="center"/>
        <w:rPr>
          <w:rFonts w:ascii="Times New Roman" w:hAnsi="Times New Roman" w:eastAsia="宋体"/>
          <w:b w:val="0"/>
          <w:i w:val="0"/>
          <w:sz w:val="21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position w:val="-14"/>
              <w:sz w:val="21"/>
            </w:rPr>
            <w:object>
              <v:shape id="_x0000_i1028" o:spt="75" type="#_x0000_t75" style="height:19pt;width:239pt;" o:ole="t" filled="f" o:preferrelative="t" stroked="f" coordsize="21600,21600">
                <v:path/>
                <v:fill on="f" focussize="0,0"/>
                <v:stroke on="f"/>
                <v:imagedata r:id="rId11" o:title=""/>
                <o:lock v:ext="edit" aspectratio="f"/>
                <w10:wrap type="none"/>
                <w10:anchorlock/>
              </v:shape>
              <o:OLEObject Type="Embed" ProgID="Equation.DSMT4" ShapeID="_x0000_i1028" DrawAspect="Content" ObjectID="_1468075726" r:id="rId10">
                <o:LockedField>false</o:LockedField>
              </o:OLEObject>
            </w:objec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</w:r>
      <w:r>
        <w:rPr>
          <w:rFonts w:ascii="Times New Roman" w:hAnsi="Times New Roman" w:eastAsia="宋体"/>
          <w:b w:val="0"/>
          <w:i w:val="0"/>
          <w:sz w:val="21"/>
        </w:rPr>
        <w:t>（2）</w:t>
      </w:r>
    </w:p>
    <w:p w14:paraId="6D187769">
      <w:pPr>
        <w:spacing w:before="120" w:after="120"/>
        <w:jc w:val="both"/>
      </w:pPr>
      <w:r>
        <w:rPr>
          <w:rFonts w:ascii="Times New Roman" w:hAnsi="Times New Roman" w:eastAsia="黑体"/>
          <w:b/>
          <w:i w:val="0"/>
          <w:sz w:val="21"/>
        </w:rPr>
        <w:t>4.2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输出契约、语料与微调</w:t>
      </w:r>
    </w:p>
    <w:p w14:paraId="5B63B121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模型按六键契约输出：summary 为总述，confidence 为置信度，verdict 含结论标题与理由，gaps 为差距项（技能、现状、要求、未来、影响、severity、priority），plan 为学习计划（类型、目标技能、目标等级、完成日期、理由），compound_path 为跨技能复合路径。诊断编号、运行时间、来源标记、证据条数与人工确认标志均由后端补写，模型不参与生成。该分工是四道防线得以实施的前提：结构字段由代码负责，模型只写叙述字段。</w:t>
      </w:r>
    </w:p>
    <w:p w14:paraId="6E972530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第一版语料按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固定指令、档案散文、十一键目标输出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组织，共 150 条，接入线上服务时暴露三处不匹配：提示词不同形，线上为日期、事实清单、缺口清单与输出模板四段式，该版按档案分段拼接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契约不同形，六键与十一键仅差距项同名，150 条目标答案全部无法通过校验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答案不完整，答案长度中位 1795 token 而首轮窗口为 1024，约 78% 的答案 token 被截断。第二版据此构建为 500 条：生成器照后端源码逐字复刻四段式提示词，档案只作事实来源；每条样本重新采样事实组合，差距项为 1、2、3 项的样本分别为 124、232、144 条，覆盖 49 个岗位，提示词互不重复。窗口取 4096，依据是单条长度中位 3432 token、95 分位 3806、最大 3924；第一版总长中位仅 2368 token 却在 1024 下被截断，说明制约因素是答案占比而非总长。</w:t>
      </w:r>
    </w:p>
    <w:p w14:paraId="29E03E8E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微调以 Qwen2.5-3B-Instruct[10] 为基座，采用低秩适配[2]与 4-bit 量化[3]，只训练注意力与全连接层的七个投影矩阵，秩取 16、缩放系数 32，批大小 1 并累积 8 步，学习率 1e-4 余弦退火，共 5 轮 300 步。可训练参数 2994 万，占全量的 0.96%，产物为 120 MB 的适配器。部署形态为 Spring Boot 与 MySQL 8 后端、Vue 3 前端，推理服务以 LLaMA-Factory[11] 的 api 模式对外提供 OpenAI 兼容接口，采样温度固定 0.2，输出强制为 JSON 对象。由于模型路径端到端为百秒级，实际部署宜按「规则结论先行、模型叙述补入后提示复核」的方式使用，两者以来源标记区分，最终仍由人工确认。</w:t>
      </w:r>
    </w:p>
    <w:p w14:paraId="7430F26D">
      <w:pPr>
        <w:jc w:val="both"/>
        <w:rPr>
          <w:rFonts w:ascii="Times New Roman" w:hAnsi="Times New Roman" w:eastAsia="黑体"/>
          <w:b/>
          <w:i w:val="0"/>
          <w:sz w:val="24"/>
        </w:rPr>
      </w:pPr>
      <w:r>
        <w:rPr>
          <w:rFonts w:ascii="Times New Roman" w:hAnsi="Times New Roman" w:eastAsia="黑体"/>
          <w:b/>
          <w:i w:val="0"/>
          <w:sz w:val="24"/>
        </w:rPr>
        <w:t>5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实验与结果分析</w:t>
      </w:r>
    </w:p>
    <w:p w14:paraId="38214C17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5.1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实验设置与数据关系</w:t>
      </w:r>
    </w:p>
    <w:p w14:paraId="2956ABA0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训练、推理与评测在同一台设备上完成：RTX 5060 Laptop 8 GB 显卡、32 GB 内存，OpenJDK 17、MySQL 8 与 LLaMA-Factory，后端与推理服务共用一张显卡。实验数据不是真实业务采集样本，而是按因子设计生成的结构化档案：六类安全记录各 25 条、25 个考试分数各 6 条、30 个岗位匹配度各 5 条，五组数据与两组回放的规模、构造与关系见表 4。需要指出，训练语料、留出样本与评测档案同源：三者由同一批 150 份档案经同一生成器展开，留出样本只换随机种子与事实组合。因此模型实测反映的是「未见提示词上的输出合规性」，不能据此推断跨单位泛化能力。</w:t>
      </w:r>
    </w:p>
    <w:p w14:paraId="22A85F65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4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五组数据与两组回放的规模、构造方式及其相互关系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1140"/>
        <w:gridCol w:w="1820"/>
        <w:gridCol w:w="3993"/>
        <w:gridCol w:w="2667"/>
      </w:tblGrid>
      <w:tr w14:paraId="6074A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114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AD0B663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数据与回放</w:t>
            </w:r>
          </w:p>
        </w:tc>
        <w:tc>
          <w:tcPr>
            <w:tcW w:w="182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45EEC1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规模</w:t>
            </w:r>
          </w:p>
        </w:tc>
        <w:tc>
          <w:tcPr>
            <w:tcW w:w="399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58E6706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构造方式</w:t>
            </w:r>
          </w:p>
        </w:tc>
        <w:tc>
          <w:tcPr>
            <w:tcW w:w="266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1601FB3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在实验中的作用</w:t>
            </w:r>
          </w:p>
        </w:tc>
      </w:tr>
      <w:tr w14:paraId="5905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83B0B4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结构化档案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E84353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 份</w:t>
            </w:r>
          </w:p>
        </w:tc>
        <w:tc>
          <w:tcPr>
            <w:tcW w:w="399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A4BAAD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六类安全记录各 25 条、25 个分数各 6 条、30 个岗位匹配各 5 条</w:t>
            </w:r>
          </w:p>
        </w:tc>
        <w:tc>
          <w:tcPr>
            <w:tcW w:w="266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801291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数据的源头，规则回放的主体</w:t>
            </w:r>
          </w:p>
        </w:tc>
      </w:tr>
      <w:tr w14:paraId="7B60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5C6F687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训练语料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3766B06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500 条（475／25）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609C860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同一生成器重采样事实组合，逐字复刻线上四段式提示词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7E3902F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微调；与档案同源，提示词不重复</w:t>
            </w:r>
          </w:p>
        </w:tc>
      </w:tr>
      <w:tr w14:paraId="067A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70E8F41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留出测试样本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4A04050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 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1AB2C5E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同一生成器换种子生成，输入与训练集不重合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5CA6AD9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模型实测；与训练同源同模板</w:t>
            </w:r>
          </w:p>
        </w:tc>
      </w:tr>
      <w:tr w14:paraId="41B6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97C292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记忆性对照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1627573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 条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6AE2ABA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从训练集等距抽取原样样本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61204EB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查提示词记忆，属训练子集，不作泛化证据</w:t>
            </w:r>
          </w:p>
        </w:tc>
      </w:tr>
      <w:tr w14:paraId="51DB0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</w:tcPr>
          <w:p w14:paraId="6DAE637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气体参数网格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</w:tcPr>
          <w:p w14:paraId="3C6D3DC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200 组</w:t>
            </w:r>
          </w:p>
        </w:tc>
        <w:tc>
          <w:tcPr>
            <w:tcW w:w="3993" w:type="dxa"/>
            <w:tcBorders>
              <w:top w:val="nil"/>
              <w:left w:val="nil"/>
              <w:bottom w:val="nil"/>
              <w:right w:val="nil"/>
            </w:tcBorders>
          </w:tcPr>
          <w:p w14:paraId="361DD6C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人工构造的余量比与关键词组合</w:t>
            </w:r>
          </w:p>
        </w:tc>
        <w:tc>
          <w:tcPr>
            <w:tcW w:w="2667" w:type="dxa"/>
            <w:tcBorders>
              <w:top w:val="nil"/>
              <w:left w:val="nil"/>
              <w:bottom w:val="nil"/>
              <w:right w:val="nil"/>
            </w:tcBorders>
          </w:tcPr>
          <w:p w14:paraId="502D918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规则语义验证，独立于前四组</w:t>
            </w:r>
          </w:p>
        </w:tc>
      </w:tr>
      <w:tr w14:paraId="1729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114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5C0DC46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规则回放</w:t>
            </w:r>
          </w:p>
        </w:tc>
        <w:tc>
          <w:tcPr>
            <w:tcW w:w="182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659F6EF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450 次</w:t>
            </w:r>
          </w:p>
        </w:tc>
        <w:tc>
          <w:tcPr>
            <w:tcW w:w="3993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D19FE4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 份档案在 3 个场景各执行一次</w:t>
            </w:r>
          </w:p>
        </w:tc>
        <w:tc>
          <w:tcPr>
            <w:tcW w:w="266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433D0D5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规则层有效性；非重复执行</w:t>
            </w:r>
          </w:p>
        </w:tc>
      </w:tr>
    </w:tbl>
    <w:p w14:paraId="33FCAC3C">
      <w:pPr>
        <w:jc w:val="both"/>
        <w:rPr>
          <w:rFonts w:ascii="Times New Roman" w:hAnsi="Times New Roman" w:eastAsia="宋体"/>
          <w:b w:val="0"/>
          <w:i w:val="0"/>
          <w:sz w:val="20"/>
        </w:rPr>
      </w:pPr>
    </w:p>
    <w:p w14:paraId="2CFC1C3E">
      <w:pPr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黑体"/>
          <w:b/>
          <w:i w:val="0"/>
          <w:sz w:val="21"/>
        </w:rPr>
        <w:t>5.2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规则层的有效性</w:t>
      </w:r>
    </w:p>
    <w:p w14:paraId="03BB9818">
      <w:pPr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档案覆盖率定义为至少命中一条规则的档案所占比例，如式（3）所示。该指标只说明规则对每份档案都有输出，不等于判定正确：一条总命中的兜底规则也能得到 100%。为此，本文另在有独立判据的两项上统计误报与漏报，判据取自档案字段与课程表的直接比较，与被测规则的条件体分开实现，从而排除实现层面的循环；但两者的设计假设同源，结果反映的是规则与业务口径的一致性，而非规则发现了新知识。</w:t>
      </w:r>
    </w:p>
    <w:p w14:paraId="47544867">
      <w:pPr>
        <w:spacing w:before="120" w:after="120"/>
        <w:jc w:val="center"/>
      </w:pPr>
      <m:oMathPara>
        <m:oMath>
          <m:r>
            <m:rPr>
              <m:sty m:val="p"/>
            </m:rPr>
            <w:rPr>
              <w:rFonts w:hint="default" w:ascii="Cambria Math" w:hAnsi="Cambria Math" w:eastAsia="宋体"/>
              <w:position w:val="-24"/>
              <w:sz w:val="21"/>
            </w:rPr>
            <w:object>
              <v:shape id="_x0000_i1029" o:spt="75" type="#_x0000_t75" style="height:31pt;width:123pt;" o:ole="t" filled="f" o:preferrelative="t" stroked="f" coordsize="21600,21600">
                <v:path/>
                <v:fill on="f" focussize="0,0"/>
                <v:stroke on="f"/>
                <v:imagedata r:id="rId13" o:title=""/>
                <o:lock v:ext="edit" aspectratio="f"/>
                <w10:wrap type="none"/>
                <w10:anchorlock/>
              </v:shape>
              <o:OLEObject Type="Embed" ProgID="Equation.DSMT4" ShapeID="_x0000_i1029" DrawAspect="Content" ObjectID="_1468075727" r:id="rId12">
                <o:LockedField>false</o:LockedField>
              </o:OLEObject>
            </w:object>
          </m:r>
        </m:oMath>
      </m:oMathPara>
      <w:r>
        <w:rPr>
          <w:rFonts w:ascii="Times New Roman" w:hAnsi="Times New Roman" w:eastAsia="宋体"/>
          <w:b w:val="0"/>
          <w:i w:val="0"/>
          <w:sz w:val="21"/>
        </w:rPr>
        <w:tab/>
      </w:r>
      <w:r>
        <w:rPr>
          <w:rFonts w:ascii="Times New Roman" w:hAnsi="Times New Roman" w:eastAsia="宋体"/>
          <w:b w:val="0"/>
          <w:i w:val="0"/>
          <w:sz w:val="21"/>
        </w:rPr>
        <w:t>（3）</w:t>
      </w:r>
    </w:p>
    <w:p w14:paraId="3287C7C2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450 次回放的结果见表 5。低于课程合格线的 132 份档案全部命中，误报与漏报均为 0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证书等级低于授权门槛的 120 份亦全部命中，另有 25 份因安全记录单独触发安全组规则，合计 145 次。150 份档案中 125 份带安全负例，其中授权类违规 75 份，全部由安全组处置，未被消费的安全记录为 0 份。实操归因缺少独立判据，只报命中率。上述比率的适用范围限于本测试集。</w:t>
      </w:r>
    </w:p>
    <w:p w14:paraId="6F46EEA8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5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450 次规则回放的分场景结果（误报与漏报只在有独立判据的两项上统计）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2889"/>
        <w:gridCol w:w="575"/>
        <w:gridCol w:w="575"/>
        <w:gridCol w:w="657"/>
        <w:gridCol w:w="575"/>
        <w:gridCol w:w="575"/>
        <w:gridCol w:w="3776"/>
      </w:tblGrid>
      <w:tr w14:paraId="65A4E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288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A26F35D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场景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98BE4E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执行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BD6AC84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命中</w:t>
            </w:r>
          </w:p>
        </w:tc>
        <w:tc>
          <w:tcPr>
            <w:tcW w:w="65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5230683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命中率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7DA445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误报</w:t>
            </w:r>
          </w:p>
        </w:tc>
        <w:tc>
          <w:tcPr>
            <w:tcW w:w="57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DDF023F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漏报</w:t>
            </w:r>
          </w:p>
        </w:tc>
        <w:tc>
          <w:tcPr>
            <w:tcW w:w="3776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3D5F118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主要命中规则（条次）</w:t>
            </w:r>
          </w:p>
        </w:tc>
      </w:tr>
      <w:tr w14:paraId="5F82C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FB1699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个人诊断 PERSONAL_GAP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7D7987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4F938AA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145</w:t>
            </w:r>
          </w:p>
        </w:tc>
        <w:tc>
          <w:tcPr>
            <w:tcW w:w="65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BAF6CC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96.7%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D857C8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57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0BB77E1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3776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AA4D1E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SKILL_BELOW_REQUIRED 120、SAFETY_VETO_VIOLATION 75、SAFETY_DEDUCTION 50</w:t>
            </w:r>
          </w:p>
        </w:tc>
      </w:tr>
      <w:tr w14:paraId="5BA3B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66B57F1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考试判定 EXAM_RESULT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84FBA0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129814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132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05F9CAE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88.0%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AD0E89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3EE856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</w:tcPr>
          <w:p w14:paraId="22ECB0A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EXAM_BELOW_PASS 132</w:t>
            </w:r>
          </w:p>
        </w:tc>
      </w:tr>
      <w:tr w14:paraId="74A69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131B7DD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实操报告归因 REPORT_ANALYSIS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7CF8CC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A1DE21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127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2D0A3F2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84.7%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0822721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21572A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</w:tcPr>
          <w:p w14:paraId="3958696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PRACTICE_HUMAN_CAUSE 75、SKILL_CAUSE 52</w:t>
            </w:r>
          </w:p>
        </w:tc>
      </w:tr>
      <w:tr w14:paraId="7EB9B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</w:tcPr>
          <w:p w14:paraId="71846A3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档案级覆盖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8105EC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4F06ED34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150</w: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14:paraId="40C662A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100%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5CB4D3C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</w:tcPr>
          <w:p w14:paraId="385A510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3776" w:type="dxa"/>
            <w:tcBorders>
              <w:top w:val="nil"/>
              <w:left w:val="nil"/>
              <w:bottom w:val="nil"/>
              <w:right w:val="nil"/>
            </w:tcBorders>
          </w:tcPr>
          <w:p w14:paraId="5E6E1FB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 条规则参与求值</w:t>
            </w:r>
          </w:p>
        </w:tc>
      </w:tr>
      <w:tr w14:paraId="52B00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2889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754AAD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合计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66E267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450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420A1B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404</w:t>
            </w:r>
          </w:p>
        </w:tc>
        <w:tc>
          <w:tcPr>
            <w:tcW w:w="65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457C68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89.8%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A72AEB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57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4AA028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0</w:t>
            </w:r>
          </w:p>
        </w:tc>
        <w:tc>
          <w:tcPr>
            <w:tcW w:w="3776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88B0D6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——</w:t>
            </w:r>
          </w:p>
        </w:tc>
      </w:tr>
    </w:tbl>
    <w:p w14:paraId="630B184E">
      <w:pPr>
        <w:spacing w:after="40" w:line="80" w:lineRule="exact"/>
      </w:pPr>
    </w:p>
    <w:p w14:paraId="4E208055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200 组气体参数网格用于验证规则语义：五档定档在两种比例口径下均为 200/200，组内命中上限、严重度合并与事实引用解析分别为 200/200、200/200、120/120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余量高于阈值 10% 却被误升为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hint="eastAsia"/>
          <w:b w:val="0"/>
          <w:i w:val="0"/>
          <w:sz w:val="20"/>
          <w:lang w:val="en-US" w:eastAsia="zh-CN"/>
        </w:rPr>
        <w:t>中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的用例为 0 组，终端规则在 40 组余量充足用例上均可达。22 条规则在网格或回放中均至少命中一次，即在本文构造的测试范围内未发现不可达规则；这属于有限抽样下的观察，不构成对规则集全局可达性的证明，规则间遮蔽的自动化检测留待后续工作。</w:t>
      </w:r>
    </w:p>
    <w:p w14:paraId="7C8E0F1F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5.3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确定性与时延</w:t>
      </w:r>
    </w:p>
    <w:p w14:paraId="56A00DD8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450 次执行重复运行结果逐字节一致；规则物理顺序完全颠倒后结论不变，因排序按优先级与编号归一化。进程内单次求值平均 0.0122 ms、中位 0.0105 ms、95 分位 0.0194 ms、最大 0.0609 ms，计时仅含条件求值与结论合并，不含数据库访问、事实装配、序列化与网络往返，不能视为端到端时延。模型路径在 20 条留出样本上为中位 105.4 s、均值 124.3 s、最大 324.7 s，统计对象是一次完整请求到完整 JSON，与前者不同质，两者不构成同一链路的对照，本文不据此比较快慢。该数值来自单卡、单请求、无并发测量；批处理与量化推理能否压缩时延，本文未做实测。</w:t>
      </w:r>
    </w:p>
    <w:p w14:paraId="2694AE7E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5.4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微调收敛与模型输出质量</w:t>
      </w:r>
    </w:p>
    <w:p w14:paraId="5A245AA2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模型输出的前提是训练收敛。图 3 给出训练与验证损失：首个记录点在第 5 步，为 11.57，与词表均匀熵 ln 151936 = 11.93 相差 3%，说明起点尚未学到偏好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第 25 步降至 1.01，此后缓慢下降，第 105 至 200 步与第 205 至 300 步的均值分别为 0.086 与 0.074，末步 0.063，全程平均 0.577。验证损失由 0.0198 降至 0.0106，第 200 步后仅再降 1.9%，最优点落在末步，说明在 5 轮、4096 窗口下已收敛，增加轮数的收益有</w:t>
      </w:r>
      <w:r>
        <w:rPr>
          <w:rFonts w:hint="eastAsia"/>
          <w:b w:val="0"/>
          <w:i w:val="0"/>
          <w:sz w:val="20"/>
          <w:lang w:val="en-US" w:eastAsia="zh-CN"/>
        </w:rPr>
        <w:t>限。</w:t>
      </w:r>
      <w:r>
        <w:rPr>
          <w:rFonts w:ascii="Times New Roman" w:hAnsi="Times New Roman" w:eastAsia="宋体"/>
          <w:b w:val="0"/>
          <w:i w:val="0"/>
          <w:sz w:val="20"/>
        </w:rPr>
        <w:t>单卡训练耗时 27 428 s。验证损失低于训练末步，源于口径不同——训练损失按 5 步窗口平均且随机失活生效，验证关闭随机失活、样本固定 25 条；加之两者同源同模板，该数值只说明拟合良好，不能作为泛化证据。</w:t>
      </w:r>
    </w:p>
    <w:p w14:paraId="110A7919">
      <w:pPr>
        <w:spacing w:before="120" w:after="40"/>
        <w:jc w:val="center"/>
      </w:pPr>
      <w:r>
        <w:drawing>
          <wp:inline distT="0" distB="0" distL="114300" distR="114300">
            <wp:extent cx="3023870" cy="15151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000" cy="15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EBA6">
      <w:pPr>
        <w:spacing w:after="160"/>
        <w:jc w:val="center"/>
      </w:pPr>
      <w:r>
        <w:rPr>
          <w:rFonts w:ascii="Times New Roman" w:hAnsi="Times New Roman" w:eastAsia="宋体"/>
          <w:b/>
          <w:i w:val="0"/>
          <w:sz w:val="18"/>
        </w:rPr>
        <w:t>图 3</w:t>
      </w:r>
      <w:r>
        <w:rPr>
          <w:rFonts w:hint="eastAsia"/>
          <w:b/>
          <w:i w:val="0"/>
          <w:sz w:val="18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8"/>
        </w:rPr>
        <w:t>微调过程的损失曲线。左为训练损失（对数轴），虚线为词表均匀熵；右为验证损失，第 200 步后仅再降 1.9%。</w:t>
      </w:r>
    </w:p>
    <w:p w14:paraId="27E81BF8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26 条测试样本由 20 条留出样本与 6 条训练原样样本组成，结果见表 6，按样本数计。留出样本的输出均为合法 JSON 且满足六键契约；差距项集合与后端清单一致；等级与事实清单逐项对应；影响等级与雷达优先级一致；排期晚于当期且严格递增；理由均带有效事实编号，平均引用 4.75 个；数值可溯源。就处置阶段而言，26 条均在首次输出即通过硬校验、未触发回退，故回退路径在本次实测中未被走到，其行为只能由代码路径与 5.5 节的注入测试间接检验。训练原样样本结果与留出样本一致，说明模型未依赖提示词记忆；但两组同源同模板，一致性本身也说明任务难度有限，不足以支撑泛化结论。</w:t>
      </w:r>
    </w:p>
    <w:p w14:paraId="6112CDEE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6</w:t>
      </w:r>
      <w:r>
        <w:rPr>
          <w:rFonts w:hint="eastAsia"/>
          <w:b/>
          <w:i w:val="0"/>
          <w:sz w:val="18"/>
          <w:lang w:val="en-US" w:eastAsia="zh-CN"/>
        </w:rPr>
        <w:t xml:space="preserve">  </w:t>
      </w:r>
      <w:r>
        <w:rPr>
          <w:rFonts w:ascii="Times New Roman" w:hAnsi="Times New Roman" w:eastAsia="宋体"/>
          <w:b w:val="0"/>
          <w:i w:val="0"/>
          <w:sz w:val="18"/>
        </w:rPr>
        <w:t>微调模型的输出实测结果（按样本数计，右列为记忆性对照）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5631"/>
        <w:gridCol w:w="2112"/>
        <w:gridCol w:w="1877"/>
      </w:tblGrid>
      <w:tr w14:paraId="0802A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5631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46D093B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评测项（判据为与事实清单的逐项比对）</w:t>
            </w:r>
          </w:p>
        </w:tc>
        <w:tc>
          <w:tcPr>
            <w:tcW w:w="2112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7D3E8FDE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留出样本 20 条</w:t>
            </w:r>
          </w:p>
        </w:tc>
        <w:tc>
          <w:tcPr>
            <w:tcW w:w="187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50A36C4C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训练原样 6 条</w:t>
            </w:r>
          </w:p>
        </w:tc>
      </w:tr>
      <w:tr w14:paraId="4A615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14532F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输出为合法 JSON 且满足六键契约</w:t>
            </w:r>
          </w:p>
        </w:tc>
        <w:tc>
          <w:tcPr>
            <w:tcW w:w="2112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19941DF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946CE1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35536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5E2C14F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差距项集合与后端给定清单一致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2E6861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37EEA22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35D6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6B857609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技能等级、影响等级分别与事实清单、雷达优先级一致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0A957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0E0B2FA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2F71D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1B032F7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学习排期晚于当期且严格递增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B85386E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08E4622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74B34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1994BA0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理由引用有效事实编号（均值 4.75 个）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ED29F8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300B9EE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0F83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nil"/>
              <w:right w:val="nil"/>
            </w:tcBorders>
          </w:tcPr>
          <w:p w14:paraId="6572037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数值可溯源，安全边界出现在输出中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D03398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nil"/>
              <w:right w:val="nil"/>
            </w:tcBorders>
          </w:tcPr>
          <w:p w14:paraId="55BBEB23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  <w:tr w14:paraId="6E2D6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5631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9A50F3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首次输出即通过硬校验、未触发回退</w:t>
            </w:r>
          </w:p>
        </w:tc>
        <w:tc>
          <w:tcPr>
            <w:tcW w:w="2112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24F20DC5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20/20</w:t>
            </w:r>
          </w:p>
        </w:tc>
        <w:tc>
          <w:tcPr>
            <w:tcW w:w="187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457950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6/6</w:t>
            </w:r>
          </w:p>
        </w:tc>
      </w:tr>
    </w:tbl>
    <w:p w14:paraId="50A9EE1F">
      <w:pPr>
        <w:jc w:val="both"/>
        <w:rPr>
          <w:rFonts w:ascii="Times New Roman" w:hAnsi="Times New Roman" w:eastAsia="黑体"/>
          <w:b/>
          <w:i w:val="0"/>
          <w:sz w:val="21"/>
        </w:rPr>
      </w:pPr>
    </w:p>
    <w:p w14:paraId="568598F9">
      <w:pPr>
        <w:jc w:val="both"/>
        <w:rPr>
          <w:rFonts w:ascii="Times New Roman" w:hAnsi="Times New Roman" w:eastAsia="黑体"/>
          <w:b/>
          <w:i w:val="0"/>
          <w:sz w:val="21"/>
        </w:rPr>
      </w:pPr>
      <w:r>
        <w:rPr>
          <w:rFonts w:ascii="Times New Roman" w:hAnsi="Times New Roman" w:eastAsia="黑体"/>
          <w:b/>
          <w:i w:val="0"/>
          <w:sz w:val="21"/>
        </w:rPr>
        <w:t>5.5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校验器的错误注入测试</w:t>
      </w:r>
    </w:p>
    <w:p w14:paraId="779644D7">
      <w:pPr>
        <w:jc w:val="both"/>
      </w:pP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输出全部合格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只说明模型表现，未检验校验器本身。为此以一份合格结论为基线，逐项注入 16 例错误，调用后端真实的校验代码，结果见表 7。结构类 11 例全部被硬校验拒绝并回退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数值类 2 例被留痕但未拦截，符合软判定的设计。语义类 3 例（把等级改成另一个合法值、事实编号指向不存在的条目、删去安全陈述）均未被检出：契约只检查字段与枚举，不检查字段取值是否与事实一致，也不检查事实编号是否存在。这构成当前实现的覆盖边界：等级一致性与事实编号有效性目前依靠离线评测发现，线上未纳入硬校验。可补充的改进是在结构契约中增加两项检查：等级须等于事实清单中同名技能的值，事实编号须存在于当次清单；改动集中在单条校验函数内。</w:t>
      </w:r>
    </w:p>
    <w:p w14:paraId="12B2C49A">
      <w:pPr>
        <w:spacing w:before="160" w:after="40"/>
        <w:jc w:val="center"/>
      </w:pPr>
      <w:r>
        <w:rPr>
          <w:rFonts w:ascii="Times New Roman" w:hAnsi="Times New Roman" w:eastAsia="宋体"/>
          <w:b/>
          <w:i w:val="0"/>
          <w:sz w:val="18"/>
        </w:rPr>
        <w:t>表 7</w:t>
      </w:r>
      <w:r>
        <w:rPr>
          <w:rFonts w:hint="eastAsia"/>
          <w:b/>
          <w:i w:val="0"/>
          <w:sz w:val="18"/>
          <w:lang w:val="en-US" w:eastAsia="zh-CN"/>
        </w:rPr>
        <w:t xml:space="preserve"> </w:t>
      </w:r>
      <w:r>
        <w:rPr>
          <w:rFonts w:ascii="Times New Roman" w:hAnsi="Times New Roman" w:eastAsia="宋体"/>
          <w:b w:val="0"/>
          <w:i w:val="0"/>
          <w:sz w:val="18"/>
        </w:rPr>
        <w:t>校验器的错误注入测试（以一份合格结论为基线，逐项注入后调用真实校验代码）</w:t>
      </w:r>
    </w:p>
    <w:tbl>
      <w:tblPr>
        <w:tblStyle w:val="33"/>
        <w:tblW w:w="96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4" w:type="dxa"/>
          <w:left w:w="57" w:type="dxa"/>
          <w:bottom w:w="14" w:type="dxa"/>
          <w:right w:w="57" w:type="dxa"/>
        </w:tblCellMar>
      </w:tblPr>
      <w:tblGrid>
        <w:gridCol w:w="739"/>
        <w:gridCol w:w="4817"/>
        <w:gridCol w:w="737"/>
        <w:gridCol w:w="843"/>
        <w:gridCol w:w="800"/>
        <w:gridCol w:w="1685"/>
      </w:tblGrid>
      <w:tr w14:paraId="12C43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tblHeader/>
          <w:jc w:val="center"/>
        </w:trPr>
        <w:tc>
          <w:tcPr>
            <w:tcW w:w="739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25CD2A9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类别</w:t>
            </w:r>
          </w:p>
        </w:tc>
        <w:tc>
          <w:tcPr>
            <w:tcW w:w="481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221171A7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注入的错误</w:t>
            </w:r>
          </w:p>
        </w:tc>
        <w:tc>
          <w:tcPr>
            <w:tcW w:w="737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487D615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例数</w:t>
            </w:r>
          </w:p>
        </w:tc>
        <w:tc>
          <w:tcPr>
            <w:tcW w:w="843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554A0798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硬校验</w:t>
            </w:r>
          </w:p>
        </w:tc>
        <w:tc>
          <w:tcPr>
            <w:tcW w:w="800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2DB9D04B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数值对账</w:t>
            </w:r>
          </w:p>
        </w:tc>
        <w:tc>
          <w:tcPr>
            <w:tcW w:w="1685" w:type="dxa"/>
            <w:tcBorders>
              <w:top w:val="thinThickLargeGap" w:color="auto" w:sz="24" w:space="0"/>
              <w:left w:val="nil"/>
              <w:bottom w:val="single" w:color="auto" w:sz="4" w:space="0"/>
              <w:right w:val="nil"/>
            </w:tcBorders>
          </w:tcPr>
          <w:p w14:paraId="003B9BC2">
            <w:pPr>
              <w:spacing w:after="20"/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6"/>
              </w:rPr>
              <w:t>结果</w:t>
            </w:r>
          </w:p>
        </w:tc>
      </w:tr>
      <w:tr w14:paraId="798D3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8CB5F9A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结构类</w:t>
            </w:r>
          </w:p>
        </w:tc>
        <w:tc>
          <w:tcPr>
            <w:tcW w:w="481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627C1A1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缺字段、空串、类型不符、枚举与等级越界、技能重名、日期格式、缺复合路径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45EF40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w="84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50FEC11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11 拒绝</w:t>
            </w:r>
          </w:p>
        </w:tc>
        <w:tc>
          <w:tcPr>
            <w:tcW w:w="800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23555FB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22A18EF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回退规则结论</w:t>
            </w:r>
          </w:p>
        </w:tc>
      </w:tr>
      <w:tr w14:paraId="1E98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nil"/>
              <w:right w:val="nil"/>
            </w:tcBorders>
          </w:tcPr>
          <w:p w14:paraId="135A3C8C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数值类</w:t>
            </w:r>
          </w:p>
        </w:tc>
        <w:tc>
          <w:tcPr>
            <w:tcW w:w="4817" w:type="dxa"/>
            <w:tcBorders>
              <w:top w:val="nil"/>
              <w:left w:val="nil"/>
              <w:bottom w:val="nil"/>
              <w:right w:val="nil"/>
            </w:tcBorders>
          </w:tcPr>
          <w:p w14:paraId="22921B0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总述与理由中写入事实外的数值</w:t>
            </w:r>
          </w:p>
        </w:tc>
        <w:tc>
          <w:tcPr>
            <w:tcW w:w="737" w:type="dxa"/>
            <w:tcBorders>
              <w:top w:val="nil"/>
              <w:left w:val="nil"/>
              <w:bottom w:val="nil"/>
              <w:right w:val="nil"/>
            </w:tcBorders>
          </w:tcPr>
          <w:p w14:paraId="24BD8AC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w="843" w:type="dxa"/>
            <w:tcBorders>
              <w:top w:val="nil"/>
              <w:left w:val="nil"/>
              <w:bottom w:val="nil"/>
              <w:right w:val="nil"/>
            </w:tcBorders>
          </w:tcPr>
          <w:p w14:paraId="136C4B7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</w:tcPr>
          <w:p w14:paraId="0C097E96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2 留痕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</w:tcPr>
          <w:p w14:paraId="0648EE9F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保留结论，置信度封顶</w:t>
            </w:r>
          </w:p>
        </w:tc>
      </w:tr>
      <w:tr w14:paraId="11D2D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4" w:type="dxa"/>
            <w:left w:w="57" w:type="dxa"/>
            <w:bottom w:w="14" w:type="dxa"/>
            <w:right w:w="57" w:type="dxa"/>
          </w:tblCellMar>
        </w:tblPrEx>
        <w:trPr>
          <w:cantSplit/>
          <w:jc w:val="center"/>
        </w:trPr>
        <w:tc>
          <w:tcPr>
            <w:tcW w:w="739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DB9731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语义类</w:t>
            </w:r>
          </w:p>
        </w:tc>
        <w:tc>
          <w:tcPr>
            <w:tcW w:w="481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1AE319D0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等级改为另一合法值、事实编号不存在、删去安全陈述</w:t>
            </w:r>
          </w:p>
        </w:tc>
        <w:tc>
          <w:tcPr>
            <w:tcW w:w="737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7CE2A6E7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w="843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063868B8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通过</w:t>
            </w:r>
          </w:p>
        </w:tc>
        <w:tc>
          <w:tcPr>
            <w:tcW w:w="800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65682542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未留痕</w:t>
            </w:r>
          </w:p>
        </w:tc>
        <w:tc>
          <w:tcPr>
            <w:tcW w:w="1685" w:type="dxa"/>
            <w:tcBorders>
              <w:top w:val="nil"/>
              <w:left w:val="nil"/>
              <w:bottom w:val="thickThinLargeGap" w:color="auto" w:sz="24" w:space="0"/>
              <w:right w:val="nil"/>
            </w:tcBorders>
          </w:tcPr>
          <w:p w14:paraId="31B8DCBD">
            <w:pPr>
              <w:spacing w:after="20"/>
            </w:pPr>
            <w:r>
              <w:rPr>
                <w:rFonts w:ascii="Times New Roman" w:hAnsi="Times New Roman" w:eastAsia="宋体"/>
                <w:b w:val="0"/>
                <w:i w:val="0"/>
                <w:sz w:val="16"/>
              </w:rPr>
              <w:t>未检出，属覆盖边界</w:t>
            </w:r>
          </w:p>
        </w:tc>
      </w:tr>
    </w:tbl>
    <w:p w14:paraId="6E1CEB09">
      <w:pPr>
        <w:jc w:val="both"/>
        <w:rPr>
          <w:rFonts w:ascii="Times New Roman" w:hAnsi="Times New Roman" w:eastAsia="黑体"/>
          <w:b/>
          <w:i w:val="0"/>
          <w:sz w:val="24"/>
        </w:rPr>
      </w:pPr>
    </w:p>
    <w:p w14:paraId="74903CF6">
      <w:pPr>
        <w:jc w:val="both"/>
        <w:rPr>
          <w:rFonts w:ascii="Times New Roman" w:hAnsi="Times New Roman" w:eastAsia="黑体"/>
          <w:b/>
          <w:i w:val="0"/>
          <w:sz w:val="24"/>
        </w:rPr>
      </w:pPr>
      <w:r>
        <w:rPr>
          <w:rFonts w:ascii="Times New Roman" w:hAnsi="Times New Roman" w:eastAsia="黑体"/>
          <w:b/>
          <w:i w:val="0"/>
          <w:sz w:val="24"/>
        </w:rPr>
        <w:t>6</w:t>
      </w:r>
      <w:r>
        <w:rPr>
          <w:rFonts w:hint="eastAsia" w:ascii="Times New Roman" w:hAnsi="Times New Roman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讨论</w:t>
      </w:r>
    </w:p>
    <w:p w14:paraId="23C6BE73">
      <w:pPr>
        <w:jc w:val="both"/>
        <w:rPr>
          <w:rFonts w:ascii="Times New Roman" w:hAnsi="Times New Roman" w:eastAsia="黑体"/>
          <w:b/>
          <w:i w:val="0"/>
          <w:sz w:val="21"/>
        </w:rPr>
      </w:pPr>
      <w:r>
        <w:rPr>
          <w:rFonts w:ascii="Times New Roman" w:hAnsi="Times New Roman" w:eastAsia="黑体"/>
          <w:b/>
          <w:i w:val="0"/>
          <w:sz w:val="21"/>
        </w:rPr>
        <w:t>6.1</w:t>
      </w:r>
      <w:r>
        <w:rPr>
          <w:rFonts w:hint="eastAsia" w:ascii="Times New Roman" w:hAnsi="Times New Roman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适用条件与不适用情形</w:t>
      </w:r>
    </w:p>
    <w:p w14:paraId="03CD839C">
      <w:pPr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该架构成立需同时满足四个条件：岗位能力可分级，能力项能映射到有序等级，使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当前低于要求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可判定；业务阈值可枚举，量化要求能写成条件并维护为独立事实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档案已结构化，四类记录可按人汇总为事实清单</w:t>
      </w:r>
      <w:r>
        <w:rPr>
          <w:rFonts w:hint="eastAsia"/>
          <w:b w:val="0"/>
          <w:i w:val="0"/>
          <w:sz w:val="20"/>
          <w:lang w:eastAsia="zh-CN"/>
        </w:rPr>
        <w:t>，</w:t>
      </w:r>
      <w:r>
        <w:rPr>
          <w:rFonts w:ascii="Times New Roman" w:hAnsi="Times New Roman" w:eastAsia="宋体"/>
          <w:b w:val="0"/>
          <w:i w:val="0"/>
          <w:sz w:val="20"/>
        </w:rPr>
        <w:t>建议须经人工确认。满足上述条件的规程驱动岗位，如调度、高压试验与继电保护，原则上可沿用同一架构，但规则集与适配层须重构并验证，本文未做跨岗位实验。四类情形不宜采用：开放域问答，判定条件无法枚举，宜以检索增强生成为主；缺乏结构化档案，规则路径将大面积进入跳过通道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实时闭环控制，模型路径为百秒级，无法满足在线控制与联锁要求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无人工确认的自动化执行，直接下发操作指令须重新评估安全责任边界。</w:t>
      </w:r>
    </w:p>
    <w:p w14:paraId="01A1EE49">
      <w:pPr>
        <w:jc w:val="both"/>
      </w:pPr>
      <w:r>
        <w:rPr>
          <w:rFonts w:ascii="Times New Roman" w:hAnsi="Times New Roman" w:eastAsia="黑体"/>
          <w:b/>
          <w:i w:val="0"/>
          <w:sz w:val="21"/>
        </w:rPr>
        <w:t>6.2</w:t>
      </w:r>
      <w:r>
        <w:rPr>
          <w:rFonts w:hint="eastAsia" w:eastAsia="黑体"/>
          <w:b/>
          <w:i w:val="0"/>
          <w:sz w:val="21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1"/>
        </w:rPr>
        <w:t>局限</w:t>
      </w:r>
    </w:p>
    <w:p w14:paraId="564E44BD">
      <w:pPr>
        <w:ind w:firstLine="400"/>
        <w:jc w:val="both"/>
        <w:rPr>
          <w:rFonts w:ascii="Times New Roman" w:hAnsi="Times New Roman" w:eastAsia="宋体"/>
          <w:b w:val="0"/>
          <w:i w:val="0"/>
          <w:sz w:val="20"/>
        </w:rPr>
      </w:pPr>
      <w:r>
        <w:rPr>
          <w:rFonts w:ascii="Times New Roman" w:hAnsi="Times New Roman" w:eastAsia="宋体"/>
          <w:b w:val="0"/>
          <w:i w:val="0"/>
          <w:sz w:val="20"/>
        </w:rPr>
        <w:t>其一，语料同源：训练、留出与评测数据由同一批 150 份档案展开，规则库仅 22 条，跨单位与跨岗位泛化未验证。其二，缺少基线对照：未与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ascii="Times New Roman" w:hAnsi="Times New Roman" w:eastAsia="宋体"/>
          <w:b w:val="0"/>
          <w:i w:val="0"/>
          <w:sz w:val="20"/>
        </w:rPr>
        <w:t>规则加固定模板</w:t>
      </w:r>
      <w:r>
        <w:rPr>
          <w:rFonts w:hint="eastAsia"/>
          <w:b w:val="0"/>
          <w:i w:val="0"/>
          <w:sz w:val="20"/>
          <w:lang w:eastAsia="zh-CN"/>
        </w:rPr>
        <w:t>”“</w:t>
      </w:r>
      <w:r>
        <w:rPr>
          <w:rFonts w:ascii="Times New Roman" w:hAnsi="Times New Roman" w:eastAsia="宋体"/>
          <w:b w:val="0"/>
          <w:i w:val="0"/>
          <w:sz w:val="20"/>
        </w:rPr>
        <w:t>未微调基座加同样校验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对比，微调的增量与模型表达相对模板的价值尚未定量，这是后续首要补充的实验。其三，样本量偏小：26 条单次采样，比例分辨率约 4%，20 次全部通过对应的双侧 95% 置信下界约 83.2%，不足以支撑强可靠性结论。其四，校验器只覆盖结构与数值两维。其五，未开展专家盲评与现场采纳统计，不对学习效果作因果结论。其六，时延为单卡单请求测量，未测并发与吞吐。后续将补做基线对照与消融、扩充留出样本多次采样、纳入语义一致性校验，并在真实班组数据上开展专家评估。</w:t>
      </w:r>
    </w:p>
    <w:p w14:paraId="2B999EC0">
      <w:pPr>
        <w:jc w:val="both"/>
        <w:rPr>
          <w:rFonts w:ascii="Times New Roman" w:hAnsi="Times New Roman" w:eastAsia="黑体"/>
          <w:b/>
          <w:i w:val="0"/>
          <w:sz w:val="24"/>
        </w:rPr>
      </w:pPr>
    </w:p>
    <w:p w14:paraId="23E51DC0">
      <w:pPr>
        <w:jc w:val="both"/>
      </w:pPr>
      <w:r>
        <w:rPr>
          <w:rFonts w:ascii="Times New Roman" w:hAnsi="Times New Roman" w:eastAsia="黑体"/>
          <w:b/>
          <w:i w:val="0"/>
          <w:sz w:val="24"/>
        </w:rPr>
        <w:t>7</w:t>
      </w:r>
      <w:r>
        <w:rPr>
          <w:rFonts w:hint="eastAsia" w:eastAsia="黑体"/>
          <w:b/>
          <w:i w:val="0"/>
          <w:sz w:val="24"/>
          <w:lang w:val="en-US" w:eastAsia="zh-CN"/>
        </w:rPr>
        <w:t xml:space="preserve"> </w:t>
      </w:r>
      <w:r>
        <w:rPr>
          <w:rFonts w:ascii="Times New Roman" w:hAnsi="Times New Roman" w:eastAsia="黑体"/>
          <w:b/>
          <w:i w:val="0"/>
          <w:sz w:val="24"/>
        </w:rPr>
        <w:t>结论</w:t>
      </w:r>
    </w:p>
    <w:p w14:paraId="46EB7B2B">
      <w:pPr>
        <w:ind w:firstLine="400"/>
        <w:jc w:val="both"/>
      </w:pPr>
      <w:r>
        <w:rPr>
          <w:rFonts w:ascii="Times New Roman" w:hAnsi="Times New Roman" w:eastAsia="宋体"/>
          <w:b w:val="0"/>
          <w:i w:val="0"/>
          <w:sz w:val="20"/>
        </w:rPr>
        <w:t>本文把安全与业务判定交给声明式规则引擎，把叙述表达交给微调模型，以结构、数值、授权与安全四道防线衔接两者。在 150 份仿真档案上回放 450 次，档案级覆盖为 150/150，考试不合格与证书等级不足两类负例的漏报为 0，200 组网格上规则语义正确，重复执行结果一致</w:t>
      </w:r>
      <w:r>
        <w:rPr>
          <w:rFonts w:hint="eastAsia"/>
          <w:b w:val="0"/>
          <w:i w:val="0"/>
          <w:sz w:val="20"/>
          <w:lang w:eastAsia="zh-CN"/>
        </w:rPr>
        <w:t>。</w:t>
      </w:r>
      <w:r>
        <w:rPr>
          <w:rFonts w:ascii="Times New Roman" w:hAnsi="Times New Roman" w:eastAsia="宋体"/>
          <w:b w:val="0"/>
          <w:i w:val="0"/>
          <w:sz w:val="20"/>
        </w:rPr>
        <w:t>26 条样本的模型输出首次即通过硬校验。错误注入实验同时表明，校验器能拦住结构与数值问题，却拦不住语义层面的篡改，这一边界比</w:t>
      </w:r>
      <w:r>
        <w:rPr>
          <w:rFonts w:hint="eastAsia"/>
          <w:b w:val="0"/>
          <w:i w:val="0"/>
          <w:sz w:val="20"/>
          <w:lang w:eastAsia="zh-CN"/>
        </w:rPr>
        <w:t>“</w:t>
      </w:r>
      <w:r>
        <w:rPr>
          <w:rFonts w:hint="eastAsia"/>
          <w:b w:val="0"/>
          <w:i w:val="0"/>
          <w:sz w:val="20"/>
          <w:lang w:val="en-US" w:eastAsia="zh-CN"/>
        </w:rPr>
        <w:t>全</w:t>
      </w:r>
      <w:r>
        <w:rPr>
          <w:rFonts w:ascii="Times New Roman" w:hAnsi="Times New Roman" w:eastAsia="宋体"/>
          <w:b w:val="0"/>
          <w:i w:val="0"/>
          <w:sz w:val="20"/>
        </w:rPr>
        <w:t>部合规</w:t>
      </w:r>
      <w:r>
        <w:rPr>
          <w:rFonts w:hint="eastAsia"/>
          <w:b w:val="0"/>
          <w:i w:val="0"/>
          <w:sz w:val="20"/>
          <w:lang w:eastAsia="zh-CN"/>
        </w:rPr>
        <w:t>”</w:t>
      </w:r>
      <w:r>
        <w:rPr>
          <w:rFonts w:ascii="Times New Roman" w:hAnsi="Times New Roman" w:eastAsia="宋体"/>
          <w:b w:val="0"/>
          <w:i w:val="0"/>
          <w:sz w:val="20"/>
        </w:rPr>
        <w:t>更接近实际情况。该分工使判定可审计、表达可迭代，为电力安全攸关岗位的智能培训提供了一种可实施方案；其培训效果尚需专家评价与现场试点检验。</w:t>
      </w:r>
    </w:p>
    <w:p w14:paraId="444459A4">
      <w:pPr>
        <w:spacing w:before="240"/>
      </w:pPr>
      <w:r>
        <w:rPr>
          <w:rFonts w:ascii="Times New Roman" w:hAnsi="Times New Roman" w:eastAsia="黑体"/>
          <w:b/>
          <w:i w:val="0"/>
          <w:sz w:val="24"/>
        </w:rPr>
        <w:t>参考文献</w:t>
      </w:r>
    </w:p>
    <w:p w14:paraId="58DC0D94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[1]</w:t>
      </w:r>
      <w:bookmarkStart w:id="0" w:name="_GoBack"/>
      <w:r>
        <w:rPr>
          <w:rFonts w:ascii="Times New Roman" w:hAnsi="Times New Roman" w:eastAsia="宋体"/>
          <w:b w:val="0"/>
          <w:i w:val="0"/>
          <w:sz w:val="14"/>
        </w:rPr>
        <w:t xml:space="preserve"> Lewis P, Perez E, Piktus A, et al. Retrieval-augmented generation for knowledge-intensive NLP tasks. NeurIPS, 2020, 33: 9459-9474</w:t>
      </w:r>
      <w:bookmarkEnd w:id="0"/>
      <w:r>
        <w:rPr>
          <w:rFonts w:ascii="Times New Roman" w:hAnsi="Times New Roman" w:eastAsia="宋体"/>
          <w:b w:val="0"/>
          <w:i w:val="0"/>
          <w:sz w:val="14"/>
        </w:rPr>
        <w:t>.</w:t>
      </w:r>
    </w:p>
    <w:p w14:paraId="2B26F51C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[2] Hu E J, Shen Y, Wallis P, et al. LoRA: low-rank adaptation of large language models. ICLR, 2022.</w:t>
      </w:r>
    </w:p>
    <w:p w14:paraId="1BEC4E82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[3] Dettmers T, Pagnoni A, Holtzman A, et al. QLoRA: efficient finetuning of quantized LLMs. arXiv:2305.14314, 2023.</w:t>
      </w:r>
    </w:p>
    <w:p w14:paraId="56404137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[4] Yao S, Zhao J, Yu D, et al. ReAct: synergizing reasoning and acting in language models. ICLR, 2023.</w:t>
      </w:r>
    </w:p>
    <w:p w14:paraId="0A6765AD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[5] Ouyang L, Wu J, Jiang X, et al. Training language models to follow instructions with human feedback. NeurIPS, 2022, 35: 27730-27744.</w:t>
      </w:r>
    </w:p>
    <w:p w14:paraId="52A95CCA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[6] Rebedea T, Dinu R, Sreedhar M, et al. NeMo Guardrails: a toolkit for controllable and safe LLM applications with programmable rails. Proc. EMNLP 2023 (Demo), 2023: 431-445.</w:t>
      </w:r>
    </w:p>
    <w:p w14:paraId="0670295A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[7] Ji Z, Lee N, Frieske R, et al. Survey of hallucination in natural language generation. ACM Computing Surveys, 2023, 55(12): 1-38. https://doi.org/10.1145/3571730</w:t>
      </w:r>
    </w:p>
    <w:p w14:paraId="4690F4B4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[8] Zhao W X, Zhou K, Li J, et al. A survey of large language models. arXiv:2303.18223, 2023.</w:t>
      </w:r>
    </w:p>
    <w:p w14:paraId="06FDDBC3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[9] Gao Y, Xiong Y, Gao X, et al. Retrieval-augmented generation for large language models: a survey. arXiv:2312.10997, 2023.</w:t>
      </w:r>
    </w:p>
    <w:p w14:paraId="34B1A762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[10] Qwen Team. Qwen2.5 technical report. arXiv:2412.15115, 2024.</w:t>
      </w:r>
    </w:p>
    <w:p w14:paraId="3C8A027C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[11] Zheng Y, Zhang R, Zhang J, et al. LlamaFactory: unified efficient fine-tuning of 100+ language models. Proc. ACL 2024 (System Demonstrations), 2024: 400-410.</w:t>
      </w:r>
    </w:p>
    <w:p w14:paraId="1655E22F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[12] 杨清波, 朱署光, 刘东, 等. 电网调控大语言模型能力提升关键技术研究[J]. 发电技术, 2026, 47(4): 697-708. DOI:10.12096/j.2096-4528.pgt.260402.</w:t>
      </w:r>
    </w:p>
    <w:p w14:paraId="3A1885FC">
      <w:pPr>
        <w:spacing w:after="0" w:line="240" w:lineRule="auto"/>
        <w:ind w:left="360" w:hanging="360"/>
        <w:jc w:val="both"/>
      </w:pPr>
      <w:r>
        <w:rPr>
          <w:rFonts w:ascii="Times New Roman" w:hAnsi="Times New Roman" w:eastAsia="宋体"/>
          <w:b w:val="0"/>
          <w:i w:val="0"/>
          <w:sz w:val="14"/>
        </w:rPr>
        <w:t>[13] Majumder S, Dong L, Doudi F, et al. Exploring the capabilities and limitations of large language models in the electric energy sector. Joule, 2024, 8(6): 1599-1608.</w:t>
      </w:r>
    </w:p>
    <w:sectPr>
      <w:pgSz w:w="11906" w:h="16838"/>
      <w:pgMar w:top="1134" w:right="1134" w:bottom="1134" w:left="1134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verything wanted">
    <w:panose1 w:val="02000500000000000000"/>
    <w:charset w:val="00"/>
    <w:family w:val="auto"/>
    <w:pitch w:val="default"/>
    <w:sig w:usb0="A00000FF" w:usb1="10000042" w:usb2="00000000" w:usb3="00000000" w:csb0="0000001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Mincho">
    <w:altName w:val="Everything wanted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385C00"/>
    <w:rsid w:val="42E17B8B"/>
    <w:rsid w:val="6627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4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3263</Words>
  <Characters>3531</Characters>
  <Lines>0</Lines>
  <Paragraphs>0</Paragraphs>
  <TotalTime>28</TotalTime>
  <ScaleCrop>false</ScaleCrop>
  <LinksUpToDate>false</LinksUpToDate>
  <CharactersWithSpaces>3611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順</cp:lastModifiedBy>
  <dcterms:modified xsi:type="dcterms:W3CDTF">2026-10-20T11:41:11Z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eyJoZGlkIjoiZTc2NTRjNDZmNjJkYzcyNTYyYjdkYTg0MGFkYzU1ODciLCJ1c2VySWQiOiI1NTA4MDA3MDMifQ==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6D70343195F648348FC41E2D9A81BECD_12</vt:lpwstr>
  </property>
</Properties>
</file>