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20"/>
        <w:jc w:val="center"/>
        <w:rPr>
          <w:sz w:val="32"/>
          <w:szCs w:val="32"/>
        </w:rPr>
      </w:pPr>
      <w:r>
        <w:rPr>
          <w:rFonts w:ascii="Times New Roman" w:hAnsi="Times New Roman" w:eastAsia="宋体" w:cs="Times New Roman"/>
          <w:b/>
          <w:i w:val="0"/>
          <w:sz w:val="32"/>
          <w:szCs w:val="32"/>
        </w:rPr>
        <w:t>规则增强的变电运维个性化培训智能体设计与实现</w:t>
      </w:r>
    </w:p>
    <w:p w14:paraId="1297A05D">
      <w:pPr>
        <w:pStyle w:val="164"/>
        <w:spacing w:after="80" w:line="384" w:lineRule="auto"/>
        <w:ind w:firstLine="0" w:firstLineChars="0"/>
        <w:jc w:val="center"/>
      </w:pPr>
      <w:r>
        <w:rPr>
          <w:rFonts w:hint="eastAsia"/>
          <w:b/>
          <w:bCs/>
          <w:sz w:val="20"/>
          <w:lang w:val="en-US" w:eastAsia="zh-CN"/>
        </w:rPr>
        <w:t>渠梓盈</w:t>
      </w:r>
      <w:r>
        <w:rPr>
          <w:rFonts w:hint="eastAsia"/>
          <w:b/>
          <w:bCs/>
          <w:sz w:val="20"/>
        </w:rPr>
        <w:t>1，</w:t>
      </w:r>
      <w:r>
        <w:rPr>
          <w:rFonts w:hint="eastAsia"/>
          <w:b/>
          <w:bCs/>
          <w:sz w:val="20"/>
          <w:lang w:val="en-US" w:eastAsia="zh-CN"/>
        </w:rPr>
        <w:t>冯保桐</w:t>
      </w:r>
      <w:r>
        <w:rPr>
          <w:rFonts w:hint="eastAsia"/>
          <w:b/>
          <w:bCs/>
          <w:sz w:val="20"/>
        </w:rPr>
        <w:t>2，冯敬轩3，王洪元1*</w:t>
      </w:r>
    </w:p>
    <w:p w14:paraId="2D768480">
      <w:pPr>
        <w:pStyle w:val="19"/>
        <w:spacing w:after="80" w:line="384" w:lineRule="auto"/>
        <w:ind w:firstLine="0" w:firstLineChars="0"/>
        <w:jc w:val="center"/>
        <w:rPr>
          <w:rFonts w:hint="eastAsia"/>
          <w:b w:val="0"/>
          <w:bCs w:val="0"/>
          <w:sz w:val="20"/>
        </w:rPr>
      </w:pPr>
      <w:r>
        <w:rPr>
          <w:rFonts w:hint="eastAsia"/>
          <w:sz w:val="20"/>
        </w:rPr>
        <w:t>1广东科技学院计算机与人工智能学院，</w:t>
      </w:r>
      <w:r>
        <w:rPr>
          <w:sz w:val="20"/>
        </w:rPr>
        <w:t>东莞 523083</w:t>
      </w:r>
      <w:r>
        <w:rPr>
          <w:rFonts w:hint="eastAsia"/>
          <w:sz w:val="20"/>
        </w:rPr>
        <w:t>；2广东科技学院计算机与人工智能学院，</w:t>
      </w:r>
      <w:r>
        <w:rPr>
          <w:sz w:val="20"/>
        </w:rPr>
        <w:t>东莞 523083</w:t>
      </w:r>
      <w:r>
        <w:rPr>
          <w:rFonts w:hint="eastAsia"/>
          <w:sz w:val="20"/>
        </w:rPr>
        <w:t>；</w:t>
      </w:r>
      <w:r>
        <w:rPr>
          <w:rFonts w:hint="eastAsia"/>
          <w:b w:val="0"/>
          <w:bCs w:val="0"/>
          <w:sz w:val="20"/>
        </w:rPr>
        <w:t>3广东科技学院计算机与人工智能学院，东莞</w:t>
      </w:r>
      <w:r>
        <w:rPr>
          <w:b w:val="0"/>
          <w:bCs w:val="0"/>
          <w:sz w:val="20"/>
        </w:rPr>
        <w:t xml:space="preserve"> 523083</w:t>
      </w:r>
    </w:p>
    <w:p w14:paraId="2935841A">
      <w:pPr>
        <w:spacing w:before="120" w:after="200"/>
        <w:jc w:val="both"/>
        <w:rPr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黑体"/>
          <w:b/>
          <w:i w:val="0"/>
          <w:sz w:val="21"/>
          <w:szCs w:val="21"/>
          <w:lang w:val="en-US" w:eastAsia="zh-CN"/>
        </w:rPr>
        <w:t>摘要：</w:t>
      </w:r>
      <w:r>
        <w:rPr>
          <w:rFonts w:ascii="Times New Roman" w:hAnsi="Times New Roman" w:eastAsia="宋体" w:cs="Times New Roman"/>
          <w:b w:val="0"/>
          <w:bCs w:val="0"/>
          <w:i w:val="0"/>
          <w:sz w:val="21"/>
          <w:szCs w:val="21"/>
        </w:rPr>
        <w:t>变电运维岗位的培训同时受到安全规程与人员能力差异的双重制约。直接用通用大模型生成培训建议，会出现规程幻觉、结论无法追溯等问题，仅把检索到的规程文本放进上下文，也保证不了输出落在业务阈值之内。针对这一问题，本文设计了一种规则增强的个性化培训智能体：安全与业务阈值的判定交给声明式规则引擎，模型只负责把结论讲清楚，两者之间靠四道防线衔接——结构契约、数值对账、输入端授权与安全处置。结构类不合格的输出整份回退到规则结论；数值类无出处的数字则留痕并压低置信度。一次执行由同一执行编号串联命中规则、建议与人工决定。模型以 Qwen2.5-3B-Instruct 为基座完成 4-bit QLoRA 微调。在 150 份按因子设计生成的结构化档案上回放 450 次规则执行，档案级覆盖 150/150，考试不合格与证书等级不足两类负例的漏报均为 0；在 200 组参数网格上，定档、关键词补充与严重度合并的正确率均为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例全部拦截，数值类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before="0" w:after="12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变电运维</w:t>
      </w:r>
      <w:r>
        <w:rPr>
          <w:rFonts w:hint="eastAsia" w:ascii="Times New Roman" w:hAnsi="Times New Roman" w:eastAsia="宋体" w:cs="Times New Roman"/>
          <w:b w:val="0"/>
          <w:i w:val="0"/>
          <w:sz w:val="21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个性化培训</w:t>
      </w:r>
      <w:r>
        <w:rPr>
          <w:rFonts w:hint="eastAsia" w:ascii="Times New Roman" w:hAnsi="Times New Roman" w:eastAsia="宋体" w:cs="Times New Roman"/>
          <w:b w:val="0"/>
          <w:i w:val="0"/>
          <w:sz w:val="21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大语言模型</w:t>
      </w:r>
      <w:r>
        <w:rPr>
          <w:rFonts w:hint="eastAsia" w:ascii="Times New Roman" w:hAnsi="Times New Roman" w:eastAsia="宋体" w:cs="Times New Roman"/>
          <w:b w:val="0"/>
          <w:i w:val="0"/>
          <w:sz w:val="21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声明式规则引擎</w:t>
      </w:r>
      <w:r>
        <w:rPr>
          <w:rFonts w:hint="eastAsia" w:ascii="Times New Roman" w:hAnsi="Times New Roman" w:eastAsia="宋体" w:cs="Times New Roman"/>
          <w:b w:val="0"/>
          <w:i w:val="0"/>
          <w:sz w:val="21"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参数高效微调</w:t>
      </w:r>
    </w:p>
    <w:p w14:paraId="2E7063E9">
      <w:pPr>
        <w:spacing w:after="120"/>
        <w:rPr>
          <w:rFonts w:ascii="Times New Roman" w:hAnsi="Times New Roman" w:eastAsia="黑体"/>
          <w:b/>
          <w:i w:val="0"/>
          <w:sz w:val="21"/>
          <w:szCs w:val="21"/>
        </w:rPr>
      </w:pPr>
    </w:p>
    <w:p w14:paraId="5761CA28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1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引</w:t>
      </w:r>
      <w:bookmarkStart w:id="18" w:name="_GoBack"/>
      <w:bookmarkEnd w:id="18"/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言</w:t>
      </w:r>
    </w:p>
    <w:p w14:paraId="19523EFE">
      <w:pPr>
        <w:keepNext/>
        <w:spacing w:before="120" w:after="60"/>
        <w:ind w:firstLineChars="0"/>
        <w:jc w:val="left"/>
        <w:rPr>
          <w:rFonts w:hint="default" w:ascii="Times New Roman" w:hAnsi="Times New Roman" w:eastAsia="黑体"/>
          <w:b/>
          <w:i w:val="0"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iCs/>
          <w:sz w:val="21"/>
          <w:szCs w:val="21"/>
          <w:lang w:val="en-US" w:eastAsia="zh-CN"/>
        </w:rPr>
        <w:t>1.1 研究背景</w:t>
      </w:r>
    </w:p>
    <w:p w14:paraId="1120072A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变电运维涵盖设备巡视、倒闸操作、异常处置等高风险作业，每一步都受安全规程约束。运维人员在资格等级、实操表现、考试成绩和安全记录上差别很大，相关数据又分散在人事、培训、安全三套台账里，靠统一推送课程的老办法很难给出个体化的建议。近年来大模型开始进入电力设备智能运维环节，其技术挑战与发展路径已有系统梳理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_Ref31471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，但落到培训这个具体场景，情况并无本质不同：大模型可以为案例生成、规程问答和学习建议提供新的途径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_Ref17159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，电网调度领域也已有知识嵌入与辅助决策的尝试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_Ref17182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，而安全攸关场景不能照搬。</w:t>
      </w:r>
    </w:p>
    <w:p w14:paraId="65A01B85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1.2 问题定位与研究思路</w:t>
      </w:r>
    </w:p>
    <w:p w14:paraId="0B8D113E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把大模型直接放进安全攸关的培训流程，风险集中在三处。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规程幻觉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首当其冲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_Ref17430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：模型可能用十分确定的语气，说出根本不存在的条款或阈值。其次是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结论不可追溯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——建议里出现的合格线、人数、金额，往往找不到对应的数据来源。再就是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输出不稳定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，同样的输入多调几次，结论可能不一致。针对电力能源行业的系统评估同样把结论指向“需要外部判定”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_Ref29831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i w:val="0"/>
          <w:sz w:val="21"/>
          <w:szCs w:val="21"/>
        </w:rPr>
        <w:t>指令微调与基于人类反馈的对齐能压低幻觉出现的比例，却无法将其彻底消除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检索增强生成进一步缓解了幻觉问题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_Ref29808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hint="default" w:ascii="Times New Roman" w:hAnsi="Times New Roman" w:eastAsia="宋体" w:cs="Times New Roman"/>
          <w:i w:val="0"/>
          <w:sz w:val="21"/>
          <w:szCs w:val="21"/>
          <w:vertAlign w:val="superscript"/>
          <w:lang w:val="en-US"/>
        </w:rPr>
        <w:fldChar w:fldCharType="begin"/>
      </w:r>
      <w:r>
        <w:rPr>
          <w:rFonts w:hint="default" w:ascii="Times New Roman" w:hAnsi="Times New Roman" w:eastAsia="宋体" w:cs="Times New Roman"/>
          <w:i w:val="0"/>
          <w:sz w:val="21"/>
          <w:szCs w:val="21"/>
          <w:vertAlign w:val="superscript"/>
          <w:lang w:val="en-US"/>
        </w:rPr>
        <w:instrText xml:space="preserve"> REF _Ref18998 \r \h </w:instrText>
      </w:r>
      <w:r>
        <w:rPr>
          <w:rFonts w:hint="default" w:ascii="Times New Roman" w:hAnsi="Times New Roman" w:eastAsia="宋体" w:cs="Times New Roman"/>
          <w:i w:val="0"/>
          <w:sz w:val="21"/>
          <w:szCs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sz w:val="21"/>
          <w:szCs w:val="21"/>
          <w:vertAlign w:val="superscript"/>
          <w:lang w:val="en-US"/>
        </w:rPr>
        <w:t>[8]</w:t>
      </w:r>
      <w:r>
        <w:rPr>
          <w:rFonts w:hint="default" w:ascii="Times New Roman" w:hAnsi="Times New Roman" w:eastAsia="宋体" w:cs="Times New Roman"/>
          <w:i w:val="0"/>
          <w:sz w:val="21"/>
          <w:szCs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可是检索到的规程文本并不等于生成内容符合规程——输出是否落在业务阈值之内，依然没有保证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。</w:t>
      </w:r>
    </w:p>
    <w:p w14:paraId="1E66190A">
      <w:pPr>
        <w:keepNext/>
        <w:spacing w:before="120" w:after="60"/>
        <w:ind w:firstLineChars="0"/>
        <w:jc w:val="left"/>
        <w:rPr>
          <w:rFonts w:hint="default" w:eastAsia="黑体"/>
          <w:b/>
          <w:i w:val="0"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iCs/>
          <w:sz w:val="21"/>
          <w:szCs w:val="21"/>
          <w:lang w:val="en-US" w:eastAsia="zh-CN"/>
        </w:rPr>
        <w:t>1.3 本文贡献</w:t>
      </w:r>
    </w:p>
    <w:p w14:paraId="0B857C5B">
      <w:pPr>
        <w:spacing w:before="0" w:after="120" w:line="228" w:lineRule="exact"/>
        <w:ind w:firstLineChars="200"/>
        <w:jc w:val="both"/>
        <w:rPr>
          <w:rFonts w:hint="eastAsia"/>
          <w:b w:val="0"/>
          <w:i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本文的思路是把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判定权与表达权分开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：安全与业务阈值的判定交给可审计的声明式规则引擎，模型只承担叙述性表达，两者之间用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四道防线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衔接，结构类不合格即整份回退规则结论。规则引擎、参数高效微调和输出校验都不是本文的原创，本文主张的是面向该场景的一项架构与治理贡献：给出规则配置、规则计算与决策治理三层架构，规则路径与模型路径以来源标记隔离，更换模型不动接口与前端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设计 JSON 声明式规则，支持分组收敛、事实引用与热更新，阈值一律引用事实而不写入字面量；把校验拆成结构、数值、授权、安全四条通道，分别对应回退、留痕、拒绝与规则处置，并给出覆盖边界。在此之上，按与线上提示词同形的原则重建语料完成微调，用规则回放、语义网格、模型实测与错误注入四组实验加以检验。</w:t>
      </w:r>
    </w:p>
    <w:p w14:paraId="32A30243">
      <w:pPr>
        <w:keepNext/>
        <w:spacing w:before="160" w:after="80"/>
        <w:ind w:firstLineChars="0"/>
        <w:jc w:val="left"/>
        <w:rPr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>2 相关工作</w:t>
      </w:r>
    </w:p>
    <w:p w14:paraId="60D972E5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i w:val="0"/>
          <w:iCs/>
          <w:sz w:val="21"/>
          <w:szCs w:val="21"/>
          <w:lang w:val="en-US" w:eastAsia="zh-CN"/>
        </w:rPr>
        <w:t>2.1 五类技术路线的约束位置</w:t>
      </w:r>
    </w:p>
    <w:p w14:paraId="2AE60446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按“约束在何处执行”来划分，现有路线大致有五类，见表 1。固定课件把约束放在编制环节，课程一旦成形就与个体无关。通用大模型与工具调用型智能体把约束留在提示词里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_Ref19785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而提示词只影响生成倾向，算不上可验证的判定。检索增强生成把约束降级为上下文，检索到的规程不等于生成内容符合规程。知识图谱擅长描述概念之间的联系，却缺少由阈值触发的判定逻辑。相比之下，规则引擎把约束落在运行期的条件匹配上，确定性与可审计性最好，代价是表达固定，规则库维护中容易出现口径脱节与规则相互遮蔽——这类退化不报错，只表现为命中率悄悄下降。</w:t>
      </w:r>
    </w:p>
    <w:p w14:paraId="1E001B49">
      <w:pPr>
        <w:spacing w:before="80" w:after="120"/>
        <w:jc w:val="center"/>
        <w:rPr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表1 五类技术路线的约束与主要不足</w:t>
      </w:r>
    </w:p>
    <w:tbl>
      <w:tblPr>
        <w:tblStyle w:val="33"/>
        <w:tblW w:w="9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594"/>
        <w:gridCol w:w="2192"/>
        <w:gridCol w:w="3786"/>
        <w:gridCol w:w="1606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76" w:hRule="atLeast"/>
          <w:tblHeader/>
          <w:jc w:val="center"/>
        </w:trPr>
        <w:tc>
          <w:tcPr>
            <w:tcW w:w="159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47A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技术路线</w:t>
            </w:r>
          </w:p>
        </w:tc>
        <w:tc>
          <w:tcPr>
            <w:tcW w:w="219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644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约束在何处执行</w:t>
            </w:r>
          </w:p>
        </w:tc>
        <w:tc>
          <w:tcPr>
            <w:tcW w:w="37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235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本场景下的主要不足</w:t>
            </w:r>
          </w:p>
        </w:tc>
        <w:tc>
          <w:tcPr>
            <w:tcW w:w="160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97F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sz w:val="18"/>
                <w:szCs w:val="18"/>
              </w:rPr>
              <w:t>关键技术与指标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8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DD3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固定课件培训系统</w:t>
            </w:r>
          </w:p>
        </w:tc>
        <w:tc>
          <w:tcPr>
            <w:tcW w:w="21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C13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课程编制环节人工把关</w:t>
            </w:r>
          </w:p>
        </w:tc>
        <w:tc>
          <w:tcPr>
            <w:tcW w:w="37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B1C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无法适配个体差异，规程修订后维护成本高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3C97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统一课程包、集中排期、年度复训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B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通用大模型智能体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5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提示词与解码策略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8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规程幻觉、结论不可追溯、多次调用不一致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4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指令微调、提示词约束、温度采样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5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检索增强生成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检索结果作为生成上下文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87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只提供依据，不对建议本身作出判定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18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向量检索、Top-k 召回、上下文拼接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50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F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知识图谱增强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D8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本体与关系约束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依赖本体构建，缺少阈值触发的判定逻辑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5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本体建模、实体关系、路径推理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6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870A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业务规则引擎</w:t>
            </w:r>
          </w:p>
        </w:tc>
        <w:tc>
          <w:tcPr>
            <w:tcW w:w="219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B348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运行期条件匹配</w:t>
            </w:r>
          </w:p>
        </w:tc>
        <w:tc>
          <w:tcPr>
            <w:tcW w:w="37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67D3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确定性强，但表达固定、规则库维护负担重</w:t>
            </w:r>
          </w:p>
        </w:tc>
        <w:tc>
          <w:tcPr>
            <w:tcW w:w="160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06CC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条件树、阈值命中、优先级排序</w:t>
            </w:r>
          </w:p>
        </w:tc>
      </w:tr>
    </w:tbl>
    <w:p w14:paraId="36FAD56B">
      <w:pPr>
        <w:spacing w:after="40" w:line="80" w:lineRule="exact"/>
        <w:rPr>
          <w:sz w:val="21"/>
          <w:szCs w:val="21"/>
        </w:rPr>
      </w:pPr>
    </w:p>
    <w:p w14:paraId="2D1AB8DC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2.2 与可编程护栏的区别及问题定位</w:t>
      </w:r>
    </w:p>
    <w:p w14:paraId="358ACF92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与本文最接近的是可编程护栏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_Ref20203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差别有以下两点：第一，护栏以专用语言在对话层设定输入输出边界，判定对象是对话行为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本文则把判定条件放进业务规则库，判的是岗位标准、课程合格线与安全记录，规则由业务方维护。第二，护栏通常拦截或改写文本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  <w:shd w:val="clear" w:fill="FFFFFF"/>
        </w:rPr>
        <w:t>本文在拦截之外保留一条完整的规则结论作为回退产物，失败时仍有可交付的结果。上述路线并非互斥，真正缺的是分工与失败处置——判定须由可审计的载体承担，表达可以交给模型，两者之间需要一层能够拒绝、能够回退并留下证据的机制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。</w:t>
      </w:r>
    </w:p>
    <w:p w14:paraId="5445C8A4">
      <w:pPr>
        <w:keepNext/>
        <w:spacing w:before="160" w:after="80"/>
        <w:ind w:firstLineChars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3</w:t>
      </w: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系统架构</w:t>
      </w:r>
    </w:p>
    <w:p w14:paraId="4A643D79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系统受三条工程约束：角色之间有数据边界，安全类判定优先于一般业务判定，只允许单库部署且不引入外部规则框架。据此，规则以JSON列存入MySQL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8，服务端直接读写，不设对象关系映射层。整体分三层（图 1）：规则配置层负责规则的增删改与启停，修改即时生效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规则计算层按场景装配事实并求值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决策治理层负责校验、回退与人工确认。两条不变量贯穿全链——规则引擎只写中间结果、不改写业务原始数据；对外输出的need_human_confirm恒为真。一次执行由同一执行编号串起命中规则、建议与最终决定，结论可以回溯到规则编号和数据点。</w:t>
      </w:r>
    </w:p>
    <w:p w14:paraId="4C101A79">
      <w:pPr>
        <w:tabs>
          <w:tab w:val="left" w:pos="7800"/>
        </w:tabs>
        <w:spacing w:before="120" w:after="40"/>
        <w:jc w:val="center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2818765" cy="3495675"/>
            <wp:effectExtent l="0" t="0" r="635" b="0"/>
            <wp:docPr id="4" name="图片 4" descr="图1_系统总体架构_技术路线风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1_系统总体架构_技术路线风格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B36">
      <w:pPr>
        <w:spacing w:before="80" w:after="120"/>
        <w:jc w:val="center"/>
        <w:rPr>
          <w:rFonts w:ascii="Times New Roman" w:hAnsi="Times New Roman" w:eastAsia="黑体"/>
          <w:b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图1 系统总体架构</w:t>
      </w:r>
    </w:p>
    <w:p w14:paraId="1F30962D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3.1 声明式规则引擎</w:t>
      </w:r>
    </w:p>
    <w:p w14:paraId="3D976D9F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规则以 JSON 条件树描述，算子取白名单，禁用表达式求值与字符串拼接，从机制上排除注入风险。条件求值取三值语义：满足、不满足、不可判定。不可判定（事实缺失、类型不符、算子越界）只跳过该条规则并记录原因；当一个场景的全部规则都不可判定时，未命中原因标注为“可判定”而非“无风险”，避免把证据不足误读成结论正常。为支持“定档”与“关键词补充”并存，设计了三个机制：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rule_group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 xml:space="preserve"> 分组收敛，命中即关闭本组而不影响他组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max_hits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 xml:space="preserve"> 限制组内命中上限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hint="eastAsia" w:cs="Times New Roman"/>
          <w:b/>
          <w:bCs/>
          <w:i w:val="0"/>
          <w:sz w:val="21"/>
          <w:szCs w:val="21"/>
          <w:lang w:val="en-US" w:eastAsia="zh-CN"/>
        </w:rPr>
        <w:t>*</w:t>
      </w:r>
      <w:r>
        <w:rPr>
          <w:rFonts w:ascii="Times New Roman" w:hAnsi="Times New Roman" w:eastAsia="宋体" w:cs="Times New Roman"/>
          <w:b/>
          <w:bCs/>
          <w:i w:val="0"/>
          <w:sz w:val="21"/>
          <w:szCs w:val="21"/>
        </w:rPr>
        <w:t>_fro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m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 xml:space="preserve"> 让动作字段引用其他事实的取值，一条规则因而可服务多类对象。求值前按优先级降序、再按编号升序排序，结果与物理行序无关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多组命中后按严重度去重合并，取最严重者。以考试判定为例，条件体只声明“成绩低于合格线”，比较两侧的取值都来自事实，换课程只需换数据。</w:t>
      </w:r>
    </w:p>
    <w:p w14:paraId="45BB2C6D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3.2 校验与失败处置</w:t>
      </w:r>
    </w:p>
    <w:p w14:paraId="1A15CF92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模型输出进入治理层后依次经过四道防线，判定对象、处置方式与实现位置见表 2。这四道防线并不是同一种“校验”。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结构契约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是硬判定，不合格整份作废并回退规则结论，系统不设自动重写——重写会把一次失败变成两次模型调用，还不能保证第二次更好，而规则结论本来就可用了。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数值对账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是软判定，只留痕并把置信度封顶。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输入端授权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发生在装配事实之前，越权请求连数据都取不到，也就不存在“越权数据已进入上下文、再裁剪输出”的问题。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安全处置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不在校验器里，而在规则层由 SAFETY 分组硬处置，事实清单第8组固定给出安全记录，提示词同时要求“一票否决须作为最高优先级点名”。失败路径与来源标记见图 2，对外来源标记只取 rule 与 model 两值，更换模型服务不改业务接口与前端。</w:t>
      </w:r>
    </w:p>
    <w:p w14:paraId="30A16834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表2 四道防线的判定对象与处置方式</w:t>
      </w:r>
    </w:p>
    <w:tbl>
      <w:tblPr>
        <w:tblStyle w:val="33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832"/>
        <w:gridCol w:w="2428"/>
        <w:gridCol w:w="2447"/>
        <w:gridCol w:w="2555"/>
        <w:gridCol w:w="1656"/>
      </w:tblGrid>
      <w:tr w14:paraId="777D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tblHeader/>
          <w:jc w:val="center"/>
        </w:trPr>
        <w:tc>
          <w:tcPr>
            <w:tcW w:w="83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167E8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防线</w:t>
            </w:r>
          </w:p>
        </w:tc>
        <w:tc>
          <w:tcPr>
            <w:tcW w:w="242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0A3FA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判定对象与依据</w:t>
            </w:r>
          </w:p>
        </w:tc>
        <w:tc>
          <w:tcPr>
            <w:tcW w:w="244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E7507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不通过时的处置</w:t>
            </w:r>
          </w:p>
        </w:tc>
        <w:tc>
          <w:tcPr>
            <w:tcW w:w="255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8E86F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实现位置</w:t>
            </w:r>
          </w:p>
        </w:tc>
        <w:tc>
          <w:tcPr>
            <w:tcW w:w="165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FA4CBC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关键机制</w:t>
            </w:r>
          </w:p>
        </w:tc>
      </w:tr>
      <w:tr w14:paraId="0BD5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34" w:hRule="atLeast"/>
          <w:jc w:val="center"/>
        </w:trPr>
        <w:tc>
          <w:tcPr>
            <w:tcW w:w="8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5F65BE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结构契约</w:t>
            </w:r>
          </w:p>
        </w:tc>
        <w:tc>
          <w:tcPr>
            <w:tcW w:w="24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FD67C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六键字段完整性、枚举取值、等级区间、技能不重复、日期格式</w:t>
            </w:r>
          </w:p>
        </w:tc>
        <w:tc>
          <w:tcPr>
            <w:tcW w:w="24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DCDCE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整份结论作废，回退规则结论并写入fallback_note；不重试</w:t>
            </w:r>
          </w:p>
        </w:tc>
        <w:tc>
          <w:tcPr>
            <w:tcW w:w="25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05F8F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DiagnosisContract.validatePersonal</w:t>
            </w:r>
          </w:p>
        </w:tc>
        <w:tc>
          <w:tcPr>
            <w:tcW w:w="165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686F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JSON契约校验、枚举白名单</w:t>
            </w:r>
          </w:p>
        </w:tc>
      </w:tr>
      <w:tr w14:paraId="3717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461C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数值对账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C3D7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总述、结论理由与计划理由中出现的数字，须落在事实清单的数字集合内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FC10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不拦截结论，记入unverified_numbers，置信度封顶0.6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B920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DiagnosisPipeline.finish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F11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事实数字集合比对、置信度封顶</w:t>
            </w:r>
          </w:p>
        </w:tc>
      </w:tr>
      <w:tr w14:paraId="0934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0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4267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输入端授权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0E40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令牌投影出的角色与接口路径前缀白名单（员工／组长／老总／管理员）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FCF1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直接返回403，请求不进入事实装配，也不进入模型上下文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ABDD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rbac/RoleInterceptor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1A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角色令牌投影、路径前缀白名单（RBAC）</w:t>
            </w:r>
          </w:p>
        </w:tc>
      </w:tr>
      <w:tr w14:paraId="0A5A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7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8BD9DB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安全处置</w:t>
            </w:r>
          </w:p>
        </w:tc>
        <w:tc>
          <w:tcPr>
            <w:tcW w:w="242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1FBDBE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safety_record的一票否决标志与风险等级</w:t>
            </w:r>
          </w:p>
        </w:tc>
        <w:tc>
          <w:tcPr>
            <w:tcW w:w="244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CB200E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由SAFETY规则组硬处置，结论须点名；第8组事实固定给出</w:t>
            </w:r>
          </w:p>
        </w:tc>
        <w:tc>
          <w:tcPr>
            <w:tcW w:w="255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FF709C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规则层SAFETY分组</w:t>
            </w:r>
          </w:p>
        </w:tc>
        <w:tc>
          <w:tcPr>
            <w:tcW w:w="165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AD5BA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SAFETY规则组、一票否决</w:t>
            </w:r>
          </w:p>
        </w:tc>
      </w:tr>
    </w:tbl>
    <w:p w14:paraId="3E4EA3D7">
      <w:pPr>
        <w:spacing w:before="120" w:after="4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072130" cy="2095500"/>
            <wp:effectExtent l="0" t="0" r="4445" b="0"/>
            <wp:docPr id="2" name="Picture 2" descr="C:/Users/admin/Desktop/论文图片_重绘/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/Desktop/论文图片_重绘/1.png1"/>
                    <pic:cNvPicPr>
                      <a:picLocks noChangeAspect="1"/>
                    </pic:cNvPicPr>
                  </pic:nvPicPr>
                  <pic:blipFill>
                    <a:blip r:embed="rId7"/>
                    <a:srcRect t="310" b="310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06B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图2 四道防线与失败处置</w:t>
      </w:r>
    </w:p>
    <w:p w14:paraId="2525570C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4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关键实现</w:t>
      </w:r>
    </w:p>
    <w:p w14:paraId="05DBFDEC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4.1 规则集与事实适配</w:t>
      </w:r>
    </w:p>
    <w:p w14:paraId="3E45F350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规则库共22条，覆盖五个业务场景，其中20条参与求值，2条作为历史版本保留、用于回溯既有结论，分布见表3。建模时遵循两条原则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一是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阈值引用事实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而非写入字面量：课程合格线取自课程表，岗位要求等级取自岗位表，同一条规则因此可适配80分与85分、L2至L4等不同口径，业务口径变更时只改数据、不动规则。二是</w:t>
      </w: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组合优于枚举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：气体归因的结论与处置措施经星号_from从气体配置取值，五条定档规则就能服务全部气体类型，否则规则数会随气体种类线性增长。另需区分两类输入：人员等级、成绩、耗时比属观测事实，由台账查询得到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合格线、要求等级、气体阈值属业务配置，由岗位标准与规程给定并随规则版本一同发布，二者在事实清单中以来源标签区分。</w:t>
      </w:r>
    </w:p>
    <w:p w14:paraId="01FDEEBA">
      <w:pPr>
        <w:rPr>
          <w:rFonts w:ascii="Times New Roman" w:hAnsi="Times New Roman" w:eastAsia="宋体" w:cs="Times New Roman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br w:type="page"/>
      </w:r>
    </w:p>
    <w:p w14:paraId="47CAFAB0">
      <w:pPr>
        <w:spacing w:before="80" w:after="120"/>
        <w:jc w:val="both"/>
        <w:rPr>
          <w:rFonts w:ascii="Times New Roman" w:hAnsi="Times New Roman" w:eastAsia="宋体" w:cs="Times New Roman"/>
          <w:i w:val="0"/>
          <w:sz w:val="18"/>
          <w:szCs w:val="18"/>
        </w:rPr>
      </w:pPr>
    </w:p>
    <w:p w14:paraId="7666A861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表3 规则集在五个业务场景上的分布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8366E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56B73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41DBD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03351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C7AA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155FC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个人能力差距PERSONAL_GAP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99627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0DBE7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B9776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00E34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7A6B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考试判定EXAM_RESULT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EDE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C50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731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8F8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课程表pass_score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85B4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人才缺口TALENT_GAP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B5D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AC86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DBCD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8E14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9ACF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实操报告归因REPORT_ANALYSIS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929B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363F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7E9D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0CE3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43B5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气体检测归因REPORT_GAS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1690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EF3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8E4E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余量比定档（5条）与七类异常关键词（7条）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E45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5D6412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0845A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C7EEA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D8BFE5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3D021A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均为事实引用</w:t>
            </w:r>
          </w:p>
        </w:tc>
      </w:tr>
    </w:tbl>
    <w:p w14:paraId="3BCD1FCF">
      <w:pPr>
        <w:spacing w:after="40" w:line="80" w:lineRule="exact"/>
        <w:rPr>
          <w:sz w:val="21"/>
          <w:szCs w:val="21"/>
        </w:rPr>
      </w:pPr>
    </w:p>
    <w:p w14:paraId="25F907B9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事实适配层只读人事、考试、实操与安全四类台账，把档案组装为带编号与来源标签的事实清单。每个场景只允许一个事实来源，且不读取历史诊断结论，以抑制结论回灌。这只能减少反馈污染；要让重复回放的输入一致，还须固定台账快照与规则版本，本文的回放实验正是在这一前提下进行的。技能差距清单由后端按技能雷达预先归并给定，模型只能引用、不得增删——这一约束把“哪些技能构成缺口”从生成任务降为转述任务，是输出稳定的前提。</w:t>
      </w:r>
    </w:p>
    <w:p w14:paraId="4F0FF3FE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差距量化的口径如下：岗位差距取要求等级与现状等级之差，未来需求差距取未来需求与现状等级之差，均截断为非负；考试、实操、证书与安全四项偏差分别归一化到 [0,1]。六项加权得到补强优先级，见式（1），权重由业务侧按管理侧重配置；再按式（2）映射为 P1 至 P3 三档，阈值同样由业务侧给定。排期顺序因此与规则判定同源，不由模型自由决定。</w:t>
      </w:r>
    </w:p>
    <w:p w14:paraId="1E0B326B">
      <w:pPr>
        <w:spacing w:before="120" w:after="120" w:line="240" w:lineRule="atLeast"/>
        <w:ind w:firstLineChars="0"/>
        <w:jc w:val="center"/>
        <w:rPr>
          <w:sz w:val="21"/>
          <w:szCs w:val="21"/>
        </w:rPr>
      </w:pPr>
      <m:oMath>
        <m:r>
          <m:rPr>
            <m:sty m:val="p"/>
          </m:rPr>
          <w:rPr>
            <w:rFonts w:ascii="Times New Roman" w:hAnsi="Times New Roman" w:eastAsia="宋体"/>
            <w:sz w:val="21"/>
            <w:szCs w:val="21"/>
          </w:rPr>
          <w:object>
            <v:shape id="_x0000_i1025" o:spt="75" alt="" type="#_x0000_t75" style="height:19pt;width:249pt;" o:ole="t" filled="f" o:preferrelative="t" stroked="f" coordsize="21600,21600">
              <v:path/>
              <v:fill on="f" focussize="0,0"/>
              <v:stroke on="f"/>
              <v:imagedata r:id="rId9" o:title=""/>
              <o:lock v:ext="edit" aspectratio="f"/>
              <w10:wrap type="none"/>
              <w10:anchorlock/>
            </v:shape>
            <o:OLEObject Type="Embed" ProgID="Equation.DSMT4" ShapeID="_x0000_i1025" DrawAspect="Content" ObjectID="_1468075725" r:id="rId8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ab/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（1）</w:t>
      </w:r>
    </w:p>
    <w:p w14:paraId="461AC5BA">
      <w:pPr>
        <w:spacing w:before="120" w:after="120" w:line="240" w:lineRule="atLeast"/>
        <w:ind w:firstLineChars="0"/>
        <w:jc w:val="center"/>
        <w:rPr>
          <w:rFonts w:ascii="Times New Roman" w:hAnsi="Times New Roman" w:eastAsia="宋体"/>
          <w:b w:val="0"/>
          <w:i/>
          <w:iCs/>
          <w:sz w:val="21"/>
          <w:szCs w:val="21"/>
        </w:rPr>
      </w:pPr>
      <m:oMath>
        <m:r>
          <w:rPr>
            <w:rFonts w:hint="default" w:ascii="Cambria Math" w:hAnsi="Cambria Math" w:eastAsia="宋体"/>
            <w:sz w:val="21"/>
            <w:szCs w:val="21"/>
          </w:rPr>
          <w:fldChar w:fldCharType="begin"/>
        </m:r>
        <m:r>
          <m:rPr/>
          <w:rPr>
            <w:sz w:val="21"/>
            <w:szCs w:val="21"/>
          </w:rPr>
          <m:t xml:space="preserve"> 𝐸𝑀𝐵𝐸𝐷 𝐸𝑞𝑢𝑎𝑡𝑖𝑜𝑛.𝐷𝑆𝑀𝑇4  \∗ 𝑀𝐸𝑅𝐺𝐸𝐹𝑂𝑅𝑀𝐴𝑇</m:t>
        </m:r>
        <m:r>
          <w:rPr>
            <w:rFonts w:hint="default" w:ascii="Cambria Math" w:hAnsi="Cambria Math" w:eastAsia="宋体"/>
            <w:sz w:val="21"/>
            <w:szCs w:val="21"/>
          </w:rPr>
          <w:fldChar w:fldCharType="separate"/>
        </m:r>
        <m:r>
          <w:rPr>
            <w:rFonts w:hint="default" w:ascii="Cambria Math" w:hAnsi="Cambria Math" w:eastAsia="宋体"/>
            <w:sz w:val="21"/>
            <w:szCs w:val="21"/>
          </w:rPr>
          <w:object>
            <v:shape id="_x0000_i1026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1" o:title=""/>
              <o:lock v:ext="edit" aspectratio="f"/>
              <w10:wrap type="none"/>
              <w10:anchorlock/>
            </v:shape>
            <o:OLEObject Type="Embed" ProgID="Equation.DSMT4" ShapeID="_x0000_i1026" DrawAspect="Content" ObjectID="_1468075726" r:id="rId10">
              <o:LockedField>false</o:LockedField>
            </o:OLEObject>
          </w:object>
        </m:r>
        <m:r>
          <w:rPr>
            <w:rFonts w:hint="default" w:ascii="Cambria Math" w:hAnsi="Cambria Math" w:eastAsia="宋体"/>
            <w:sz w:val="21"/>
            <w:szCs w:val="21"/>
          </w:rPr>
          <w:fldChar w:fldCharType="end"/>
        </m:r>
      </m:oMath>
      <w:r>
        <w:rPr>
          <w:rFonts w:ascii="Times New Roman" w:hAnsi="Times New Roman" w:eastAsia="宋体" w:cs="Times New Roman"/>
          <w:b w:val="0"/>
          <w:i/>
          <w:iCs/>
          <w:sz w:val="21"/>
          <w:szCs w:val="21"/>
        </w:rPr>
        <w:tab/>
      </w:r>
      <w:r>
        <w:rPr>
          <w:rFonts w:ascii="Times New Roman" w:hAnsi="Times New Roman" w:eastAsia="宋体" w:cs="Times New Roman"/>
          <w:b w:val="0"/>
          <w:i/>
          <w:iCs/>
          <w:sz w:val="21"/>
          <w:szCs w:val="21"/>
        </w:rPr>
        <w:t>（2）</w:t>
      </w:r>
    </w:p>
    <w:p w14:paraId="6D187769">
      <w:pPr>
        <w:keepNext/>
        <w:spacing w:before="120" w:after="60"/>
        <w:ind w:firstLineChars="0"/>
        <w:jc w:val="left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 w:val="0"/>
          <w:sz w:val="21"/>
          <w:szCs w:val="21"/>
        </w:rPr>
        <w:t>4.2 输出契约、语料与微调</w:t>
      </w:r>
    </w:p>
    <w:p w14:paraId="5B63B121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模型按六键契约输出：summary为总述，confidence为置信度，verdict含结论标题与理由，gaps为差距项（技能、现状、要求、未来、影响、severity、priority），plan为学习计划（类型、目标技能、目标等级、完成日期、理由），compound_path为跨技能复合路径。诊断编号、运行时间、来源标记、证据条数与人工确认标志均由后端补写，模型不参与生成。这一分工是四道防线得以实施的前提：结构字段归代码负责，模型只写叙述字段。</w:t>
      </w:r>
    </w:p>
    <w:p w14:paraId="6E972530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第一版语料按“固定指令、档案散文、十一键目标输出”组织，共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50条，接入线上服务时暴露出三处不匹配：提示词不同形——线上是日期、事实清单、缺口清单与输出模板四段式，该版按档案分段拼接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契约不同形——六键与十一键仅差距项同名，150条目标答案全部无法通过校验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答案不完整——答案长度中位1795token，而首轮窗口只有1024，约78%的答案 token 被截断。第二版据此重建成500条：生成器照后端源码逐字复刻四段式提示词，档案只作事实来源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每条样本重新采样事实组合，差距项为 1、2、3项的样本分别有124、232、144条，覆盖49个岗位，提示词互不重复。窗口取4096，依据是单条长度中位3432token、95分位3806、最大3924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第一版总长中位仅2368token却在1024下被截断，说明制约因素是答案占比而非总长。</w:t>
      </w:r>
    </w:p>
    <w:p w14:paraId="29E03E8E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微调以Qwen2.5-3B-Instruct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_Ref28086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为基座，采用低秩适配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_Ref29537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[12]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与4-bit量化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_Ref28131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[13]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，只训练注意力与全连接层的七个投影矩阵，秩取16、缩放系数32，批大小1并累积8步，学习率1e-4余弦退火，共5轮300步。可训练参数2994万，占全量的0.96%，产物120MB的适配器。部署形态为Spring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Boot与MySQL 8后端、Vue3 前端，推理服务以LLaMA-Factory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begin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instrText xml:space="preserve"> REF _Ref28402 \r \h </w:instrTex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separate"/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t>[14]</w:t>
      </w:r>
      <w:r>
        <w:rPr>
          <w:rFonts w:ascii="Times New Roman" w:hAnsi="Times New Roman" w:eastAsia="宋体" w:cs="Times New Roman"/>
          <w:i w:val="0"/>
          <w:sz w:val="21"/>
          <w:szCs w:val="21"/>
          <w:vertAlign w:val="superscript"/>
        </w:rPr>
        <w:fldChar w:fldCharType="end"/>
      </w:r>
      <w:r>
        <w:rPr>
          <w:rFonts w:ascii="Times New Roman" w:hAnsi="Times New Roman" w:eastAsia="宋体" w:cs="Times New Roman"/>
          <w:i w:val="0"/>
          <w:sz w:val="21"/>
          <w:szCs w:val="21"/>
        </w:rPr>
        <w:t xml:space="preserve"> 的api模式对外提供OpenAI兼容接口，采样温度固定0.2，输出强制为JSON对象。模型路径端到端为百秒级，实际部署宜按“规则结论先行、模型叙述补入后提示复核”的方式使用，两者以来源标记区分，最终仍由人工确认。</w:t>
      </w:r>
    </w:p>
    <w:p w14:paraId="7A43A9C4">
      <w:pPr>
        <w:jc w:val="both"/>
        <w:rPr>
          <w:rFonts w:ascii="Times New Roman" w:hAnsi="Times New Roman" w:eastAsia="黑体"/>
          <w:b/>
          <w:i w:val="0"/>
          <w:sz w:val="21"/>
          <w:szCs w:val="21"/>
        </w:rPr>
      </w:pPr>
    </w:p>
    <w:p w14:paraId="7430F26D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5</w:t>
      </w: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实验与结果分析</w:t>
      </w:r>
    </w:p>
    <w:p w14:paraId="38214C17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5.1 实验设置与数据关系</w:t>
      </w:r>
    </w:p>
    <w:p w14:paraId="2956ABA0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训练、推理与评测在同一台设备上完成：RTX 5060 Laptop 8GB 显卡、32GB内存，OpenJDK17、MySQL 8与LLaMA-Factory，后端与推理服务共用一张显卡。实验数据不是真实业务采集样本，而是按因子设计生成的结构化档案：六类安全记录各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25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条、25个考试分数各6条、30个岗位匹配度各5条，五组数据与两组回放的规模、构造与关系见表4。需要说明，训练语料、留出样本与评测档案同源：三者由同一批150份档案经同一生成器展开，留出样本只换随机种子与事实组合。因此模型实测反映的是“未见提示词上的输出合规性”，不能据此推断跨单位泛化能力。</w:t>
      </w:r>
    </w:p>
    <w:p w14:paraId="22A85F65">
      <w:pPr>
        <w:spacing w:before="80" w:after="120"/>
        <w:jc w:val="center"/>
        <w:rPr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表4 实验数据与回放的构成及用途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514"/>
        <w:gridCol w:w="1446"/>
        <w:gridCol w:w="3993"/>
        <w:gridCol w:w="2667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151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D0B66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数据与回放</w:t>
            </w:r>
          </w:p>
        </w:tc>
        <w:tc>
          <w:tcPr>
            <w:tcW w:w="144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5EEC1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规模</w:t>
            </w:r>
          </w:p>
        </w:tc>
        <w:tc>
          <w:tcPr>
            <w:tcW w:w="399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E67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构造方式</w:t>
            </w:r>
          </w:p>
        </w:tc>
        <w:tc>
          <w:tcPr>
            <w:tcW w:w="266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01FB3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在实验中的作用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3B0B4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结构化档案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8435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150份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4BAAD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六类安全记录各25条、25个分数各6条、30个岗位匹配各5条</w:t>
            </w:r>
          </w:p>
        </w:tc>
        <w:tc>
          <w:tcPr>
            <w:tcW w:w="26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01291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数据的源头，规则回放的主体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90" w:hRule="atLeast"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687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训练语料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6B06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500条（475／25）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86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同一生成器重采样事实组合，逐字复刻线上四段式提示词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02F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微调训练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F41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留出测试样本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05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C5E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同一生成器换种子生成，输入与训练集不重合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AD9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模型实测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292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记忆性对照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757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6条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2ABA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从训练集等距抽取原样样本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04EB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查提示词记忆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637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气体参数网格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D3DC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200组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D6C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人工构造的余量比与关键词组合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918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规则语义验证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51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C0DC46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规则回放</w:t>
            </w:r>
          </w:p>
        </w:tc>
        <w:tc>
          <w:tcPr>
            <w:tcW w:w="144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9F6EF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450次</w:t>
            </w:r>
          </w:p>
        </w:tc>
        <w:tc>
          <w:tcPr>
            <w:tcW w:w="399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D19FE4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150份档案在3个场景各执行一次</w:t>
            </w:r>
          </w:p>
        </w:tc>
        <w:tc>
          <w:tcPr>
            <w:tcW w:w="266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33D0D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规则层有效性；非重复执行</w:t>
            </w:r>
          </w:p>
        </w:tc>
      </w:tr>
    </w:tbl>
    <w:p w14:paraId="22B8FD6E">
      <w:pPr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</w:p>
    <w:p w14:paraId="2CFC1C3E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5.2 规则层的有效性</w:t>
      </w:r>
    </w:p>
    <w:p w14:paraId="03BB9818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档案覆盖率定义为至少命中一条规则的档案所占比例，如式（3）所示。该指标只说明规则对每份档案都有输出，不等于判定正确：一条总命中的兜底规则同样能得到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 w:line="240" w:lineRule="atLeast"/>
        <w:ind w:firstLineChars="0"/>
        <w:jc w:val="center"/>
        <w:rPr>
          <w:sz w:val="21"/>
          <w:szCs w:val="21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1"/>
            <w:szCs w:val="21"/>
          </w:rPr>
          <w:object>
            <v:shape id="_x0000_i1027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3" o:title=""/>
              <o:lock v:ext="edit" aspectratio="f"/>
              <w10:wrap type="none"/>
              <w10:anchorlock/>
            </v:shape>
            <o:OLEObject Type="Embed" ProgID="Equation.DSMT4" ShapeID="_x0000_i1027" DrawAspect="Content" ObjectID="_1468075727" r:id="rId12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ab/>
      </w:r>
      <w:r>
        <w:rPr>
          <w:rFonts w:ascii="Times New Roman" w:hAnsi="Times New Roman" w:eastAsia="宋体" w:cs="Times New Roman"/>
          <w:b w:val="0"/>
          <w:i w:val="0"/>
          <w:sz w:val="21"/>
          <w:szCs w:val="21"/>
        </w:rPr>
        <w:t>（3）</w:t>
      </w:r>
    </w:p>
    <w:p w14:paraId="3287C7C2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450次回放的结果见表5。低于课程合格线的132份档案全部命中，误报与漏报均为0。证书等级低于授权门槛的120份同样全部命中，另有25份因安全记录单独触发安全组规则，合计145次。150份档案中125份带安全负例，其中授权类违规75份，全部由安全组处置，未被消费的安全记录为0份。实操归因缺少独立判据，只报命中率。上述比率的适用范围限于本测试集。</w:t>
      </w:r>
    </w:p>
    <w:p w14:paraId="6F46EEA8">
      <w:pPr>
        <w:spacing w:before="80" w:after="120"/>
        <w:jc w:val="center"/>
        <w:rPr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表5 450次规则回放的分场景结果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26F35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8BE4E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D6AC8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30683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DA44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DF023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5F118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B1699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个人诊断PERSONAL_GAP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D7987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938AA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AF6CC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857C8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B77E1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A4D1E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SKILL_BELOW_REQUIRED120、SAFETY_VETO_VIOLATION75、SAFETY_DEDUCTION50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57F1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考试判定EXAM_RESULT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BA0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814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9CAE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E89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E856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B0A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EXAM_BELOW_PASS132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B7DD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实操报告归因REPORT_ANALYSIS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F8CC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E21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3F2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2721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572A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8696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PRACTICE_HUMAN_CAUSE75、SKILL_CAUSE52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6A3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05EC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ED3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62A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4D3C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A510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E1FB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754AAD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6E267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20A1B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57C68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A72AEB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AA028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88B0D6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——</w:t>
            </w:r>
          </w:p>
        </w:tc>
      </w:tr>
    </w:tbl>
    <w:p w14:paraId="630B184E">
      <w:pPr>
        <w:spacing w:after="40" w:line="80" w:lineRule="exact"/>
        <w:rPr>
          <w:sz w:val="21"/>
          <w:szCs w:val="21"/>
        </w:rPr>
      </w:pPr>
    </w:p>
    <w:p w14:paraId="6009636A">
      <w:pPr>
        <w:spacing w:before="0" w:after="120" w:line="228" w:lineRule="exact"/>
        <w:ind w:firstLineChars="200"/>
        <w:jc w:val="both"/>
        <w:rPr>
          <w:rFonts w:ascii="Times New Roman" w:hAnsi="Times New Roman" w:eastAsia="宋体" w:cs="Times New Roman"/>
          <w:i w:val="0"/>
          <w:sz w:val="21"/>
          <w:szCs w:val="21"/>
        </w:rPr>
      </w:pPr>
    </w:p>
    <w:p w14:paraId="7BF9DB6C">
      <w:pPr>
        <w:spacing w:before="0" w:after="120" w:line="228" w:lineRule="exact"/>
        <w:ind w:firstLineChars="200"/>
        <w:jc w:val="both"/>
        <w:rPr>
          <w:rFonts w:ascii="Times New Roman" w:hAnsi="Times New Roman" w:eastAsia="宋体" w:cs="Times New Roman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200 组气体参数网格用于验证规则语义，各项检验均与人工构造的预期结论比对。五档定档在两种比例口径下与预期全部一致（200/200），组内命中上限与严重度合并的结果同样全部一致，事实引用解析为120/120。偏差度为零：余量高于阈值10%却被误升为“中”的用例为0组，终端规则在40组余量充足用例上均可达。22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7C8E0F1F">
      <w:pPr>
        <w:keepNext/>
        <w:spacing w:before="120" w:after="60"/>
        <w:ind w:firstLineChars="0"/>
        <w:jc w:val="left"/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5.3确定性与时延</w:t>
      </w:r>
    </w:p>
    <w:p w14:paraId="56A00DD8">
      <w:pPr>
        <w:spacing w:before="0" w:after="120" w:line="228" w:lineRule="exact"/>
        <w:ind w:firstLineChars="200"/>
        <w:jc w:val="both"/>
        <w:rPr>
          <w:rFonts w:ascii="Times New Roman" w:hAnsi="Times New Roman" w:eastAsia="宋体" w:cs="Times New Roman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450次执行重复运行结果逐字节一致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把规则物理顺序完全颠倒，结论也不变，因为排序按优先级与编号归一化。进程内单次求值平均0.0122ms、中位0.0105ms、95分位0.0194 ms、最大0.0609ms，计时仅含条件求值与结论合并，不含数据库访问、事实装配、序列化与网络往返，不能视为端到端时延。模型路径在20条留出样本上为中位105.4s、均值124.3s、最大324.7s，统计对象是一次完整请求到完整 JSON，与前者不同质，两者不构成同一链路的对照，本文也不据此比较快慢。该数值来自单卡、单请求、无并发测量；批处理与量化推理能否压缩时延，未做实测。</w:t>
      </w:r>
    </w:p>
    <w:p w14:paraId="62727A1A">
      <w:pPr>
        <w:spacing w:before="0" w:after="120" w:line="240" w:lineRule="auto"/>
        <w:ind w:firstLineChars="200"/>
        <w:jc w:val="left"/>
        <w:rPr>
          <w:rFonts w:hint="eastAsia" w:ascii="Times New Roman" w:hAnsi="Times New Roman" w:eastAsia="宋体" w:cs="Times New Roman"/>
          <w:i w:val="0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i w:val="0"/>
          <w:sz w:val="21"/>
          <w:szCs w:val="21"/>
          <w:lang w:eastAsia="zh-CN"/>
        </w:rPr>
        <w:drawing>
          <wp:inline distT="0" distB="0" distL="114300" distR="114300">
            <wp:extent cx="5907405" cy="2283460"/>
            <wp:effectExtent l="0" t="0" r="0" b="0"/>
            <wp:docPr id="7" name="图片 7" descr="fig4_latency_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4_latency_zh"/>
                    <pic:cNvPicPr>
                      <a:picLocks noChangeAspect="1"/>
                    </pic:cNvPicPr>
                  </pic:nvPicPr>
                  <pic:blipFill>
                    <a:blip r:embed="rId14"/>
                    <a:srcRect l="2505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6D71">
      <w:pPr>
        <w:spacing w:before="80" w:after="120"/>
        <w:jc w:val="center"/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  <w:t>图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  <w:t xml:space="preserve"> 两条路径单次时延统计</w:t>
      </w:r>
    </w:p>
    <w:p w14:paraId="2694AE7E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5.4 微调收敛与模型输出质量</w:t>
      </w:r>
    </w:p>
    <w:p w14:paraId="5A245AA2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模型输出的前提是训练收敛。图3给出训练与验证损失：首个记录点在第5步，为11.57，与词表均匀熵ln151936=11.93相差3%，说明起点尚未学到偏好；第 25 步降至 1.01，此后放缓，第105至200步与第205至300步的均值分别为0.086与0.074，末步0.063，全程平均0.577。验证损失由0.0198降至 0.0106，第200步之后只再降1.9%，最优点落在末步，说明在5轮、4096窗口下已经收敛，增加轮数的收益有限。单卡训练耗时27428s。验证损失低于训练末步，原因是口径不同——训练损失按5步窗口平均且随机失活生效，验证关闭随机失活、样本固定25条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加之两者同源同模板，该数值只说明拟合良好，不能作为泛化证据。</w:t>
      </w:r>
    </w:p>
    <w:p w14:paraId="110A7919">
      <w:pPr>
        <w:spacing w:before="120" w:after="4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023870" cy="15151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  <w:t>图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  <w:t xml:space="preserve"> 微调过程的损失曲线</w:t>
      </w:r>
    </w:p>
    <w:p w14:paraId="27E81BF8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26条测试样本由20条留出样本与6条训练原样样本组成，结果见表6，判据为与事实清单的逐项比对。留出样本的输出均为合法JSON且满足六键契约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差距项集合与后端清单一致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等级与事实清单逐项对应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影响等级与雷达优先级一致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排期晚于当期且严格递增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理由均带有效事实编号，平均引用 4.75 个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数值可溯源。就处置阶段而言，26条均在首次输出即通过硬校验、未触发回退，回退路径在本次实测中未被走到，其行为只能由代码路径与5.5节的注入测试间接检验。训练原样样本的结果与留出样本一致，说明模型未依赖提示词记忆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但两组同源同模板，一致性本身也说明任务难度有限，不足以支撑泛化结论。</w:t>
      </w:r>
    </w:p>
    <w:p w14:paraId="6112CDEE">
      <w:pPr>
        <w:spacing w:before="80" w:after="120"/>
        <w:jc w:val="center"/>
        <w:rPr>
          <w:sz w:val="18"/>
          <w:szCs w:val="18"/>
        </w:rPr>
      </w:pPr>
      <w:r>
        <w:rPr>
          <w:rFonts w:hint="eastAsia" w:ascii="Times New Roman" w:hAnsi="Times New Roman" w:eastAsia="宋体" w:cs="Times New Roman"/>
          <w:i w:val="0"/>
          <w:sz w:val="18"/>
          <w:szCs w:val="18"/>
          <w:lang w:val="en-US" w:eastAsia="zh-CN"/>
        </w:rPr>
        <w:t>表6 微调模型输出的实测结果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D093B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3E8FD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留出样本20条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A36C4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训练原样6条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4532F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输出为合法JSON且满足六键契约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941DF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通过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46CE1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通过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C14F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6861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一致，无增删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EA22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一致，无增删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760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A957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逐项一致，无偏差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2FA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逐项一致，无偏差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2F7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5386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晚于当期，严格递增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4622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晚于当期，严格递增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BA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理由引用有效事实编号（均值4.75个）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29F8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均有效，均值4.75个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B9EE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均有效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037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398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全部可溯源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BEB2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全部可溯源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9A50F3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4F20DC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首次通过，未触发回退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57950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 w:val="0"/>
                <w:sz w:val="18"/>
                <w:szCs w:val="18"/>
              </w:rPr>
              <w:t>首次通过，未触发回退</w:t>
            </w:r>
          </w:p>
        </w:tc>
      </w:tr>
    </w:tbl>
    <w:p w14:paraId="50A9EE1F">
      <w:pPr>
        <w:jc w:val="both"/>
        <w:rPr>
          <w:rFonts w:ascii="Times New Roman" w:hAnsi="Times New Roman" w:eastAsia="黑体"/>
          <w:b/>
          <w:i w:val="0"/>
          <w:sz w:val="21"/>
          <w:szCs w:val="21"/>
        </w:rPr>
      </w:pPr>
    </w:p>
    <w:p w14:paraId="568598F9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5.5 校验器的错误注入测试</w:t>
      </w:r>
    </w:p>
    <w:p w14:paraId="779644D7">
      <w:pPr>
        <w:spacing w:before="0" w:after="120" w:line="228" w:lineRule="exact"/>
        <w:ind w:firstLineChars="200"/>
        <w:jc w:val="both"/>
        <w:rPr>
          <w:sz w:val="21"/>
          <w:szCs w:val="21"/>
        </w:rPr>
      </w:pPr>
      <w:r>
        <w:rPr>
          <w:rFonts w:hint="eastAsia" w:ascii="Times New Roman" w:hAnsi="Times New Roman" w:eastAsia="宋体" w:cs="Times New Roman"/>
          <w:i w:val="0"/>
          <w:sz w:val="21"/>
          <w:szCs w:val="21"/>
          <w:lang w:eastAsia="zh-CN"/>
        </w:rPr>
        <w:t>“输出全部合格”只说明模型表现，并未检验校验器本身。为此，以一份合格结论为基线逐项注入 16 例错误，调用后端真实的校验代码，结果见表 7。结构类11例全部被硬校验拒绝并回退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i w:val="0"/>
          <w:sz w:val="21"/>
          <w:szCs w:val="21"/>
          <w:lang w:eastAsia="zh-CN"/>
        </w:rPr>
        <w:t>数值类2例被留痕但未拦截，符合软判定的设计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i w:val="0"/>
          <w:sz w:val="21"/>
          <w:szCs w:val="21"/>
          <w:lang w:eastAsia="zh-CN"/>
        </w:rPr>
        <w:t>语义类3例（把等级改成另一个合法值、事实编号指向不存在的条目、删去安全陈述）均未被检出——契约只检查字段与枚举，不检查字段取值是否与事实一致，也不检查事实编号是否存在。这构成当前实现的覆盖边界：等级一致性与事实编号有效性目前依靠离线评测发现，线上未纳入硬校验。可行的改进是在结构契约中增加两项检查：等级须等于事实清单中同名技能的值，事实编号须存在于当次清单；改动集中在单条校验函数内。</w:t>
      </w:r>
    </w:p>
    <w:p w14:paraId="12B2C49A">
      <w:pPr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sz w:val="21"/>
          <w:szCs w:val="21"/>
          <w:lang w:val="en-US" w:eastAsia="zh-CN"/>
        </w:rPr>
        <w:t>表7 校验器的错误注入测试结果</w:t>
      </w:r>
    </w:p>
    <w:tbl>
      <w:tblPr>
        <w:tblStyle w:val="33"/>
        <w:tblW w:w="96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739"/>
        <w:gridCol w:w="4817"/>
        <w:gridCol w:w="737"/>
        <w:gridCol w:w="843"/>
        <w:gridCol w:w="800"/>
        <w:gridCol w:w="1685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CD2A9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类别</w:t>
            </w:r>
          </w:p>
        </w:tc>
        <w:tc>
          <w:tcPr>
            <w:tcW w:w="481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171A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注入的错误</w:t>
            </w:r>
          </w:p>
        </w:tc>
        <w:tc>
          <w:tcPr>
            <w:tcW w:w="73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87D61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例数</w:t>
            </w:r>
          </w:p>
        </w:tc>
        <w:tc>
          <w:tcPr>
            <w:tcW w:w="8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4A079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硬校验</w:t>
            </w:r>
          </w:p>
        </w:tc>
        <w:tc>
          <w:tcPr>
            <w:tcW w:w="80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B9D04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数值对账</w:t>
            </w:r>
          </w:p>
        </w:tc>
        <w:tc>
          <w:tcPr>
            <w:tcW w:w="16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3B9BC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结果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CB5F9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结构类</w:t>
            </w:r>
          </w:p>
        </w:tc>
        <w:tc>
          <w:tcPr>
            <w:tcW w:w="48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27C1A1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缺字段、空串、类型不符、枚举与等级越界、技能重名、日期格式、缺复合路径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45EF40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8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0FEC1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11拒绝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3555F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A18EF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回退规则结论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A3C8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数值类</w:t>
            </w:r>
          </w:p>
        </w:tc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1B0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总述与理由中写入事实外的数值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D8AC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C4B7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97E9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2留痕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8EE9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保留结论，置信度封顶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B9731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语义类</w:t>
            </w:r>
          </w:p>
        </w:tc>
        <w:tc>
          <w:tcPr>
            <w:tcW w:w="481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AE319D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等级改为另一合法值、事实编号不存在、删去安全陈述</w:t>
            </w:r>
          </w:p>
        </w:tc>
        <w:tc>
          <w:tcPr>
            <w:tcW w:w="73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E2A6E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84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3868B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68254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未留痕</w:t>
            </w:r>
          </w:p>
        </w:tc>
        <w:tc>
          <w:tcPr>
            <w:tcW w:w="168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1B8DCB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未检出，属覆盖边界</w:t>
            </w:r>
          </w:p>
        </w:tc>
      </w:tr>
    </w:tbl>
    <w:p w14:paraId="6E1CEB09">
      <w:pPr>
        <w:jc w:val="both"/>
        <w:rPr>
          <w:rFonts w:ascii="Times New Roman" w:hAnsi="Times New Roman" w:eastAsia="黑体"/>
          <w:b/>
          <w:i w:val="0"/>
          <w:sz w:val="21"/>
          <w:szCs w:val="21"/>
        </w:rPr>
      </w:pPr>
    </w:p>
    <w:p w14:paraId="74903CF6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6</w:t>
      </w: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讨论</w:t>
      </w:r>
    </w:p>
    <w:p w14:paraId="23C6BE73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6.1 适用条件与不适用情形</w:t>
      </w:r>
    </w:p>
    <w:p w14:paraId="03CD839C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这套架构成立需同时满足四个条件：岗位能力可分级，能力项能映射到有序等级，“当前低于要求”才可判定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业务阈值可枚举，量化要求能写成条件并维护为独立事实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档案已结构化，四类记录能按人汇总为事实清单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建议须经人工确认。满足上述条件的规程驱动岗位，如调度、高压试验与继电保护，原则上可沿用同一架构，但规则集与适配层须重构并验证，本文未做跨岗位实验。四类情形不宜采用：开放域问答的判定条件无法枚举，宜以检索增强生成为主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缺乏结构化档案，规则路径将大面积进入跳过通道</w:t>
      </w:r>
      <w:r>
        <w:rPr>
          <w:rFonts w:hint="eastAsia" w:cs="Times New Roman"/>
          <w:i w:val="0"/>
          <w:sz w:val="21"/>
          <w:szCs w:val="21"/>
          <w:lang w:eastAsia="zh-CN"/>
        </w:rPr>
        <w:t>，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实时闭环控制场景下模型路径为百秒级，满足不了在线控制与联锁要求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无人工确认的自动化执行，直接下发操作指令须重新评估安全责任边界。</w:t>
      </w:r>
    </w:p>
    <w:p w14:paraId="01A1EE49">
      <w:pPr>
        <w:keepNext/>
        <w:spacing w:before="120" w:after="60"/>
        <w:ind w:firstLineChars="0"/>
        <w:jc w:val="left"/>
        <w:rPr>
          <w:i w:val="0"/>
          <w:iCs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iCs/>
          <w:sz w:val="21"/>
          <w:szCs w:val="21"/>
        </w:rPr>
        <w:t>6.2 局限</w:t>
      </w:r>
    </w:p>
    <w:p w14:paraId="564E44BD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本文的局限有六点。语料同源，训练、留出与评测数据由同一批150份档案展开，规则库仅22条，跨单位与跨岗位泛化未验证。缺少基线对照，未与“规则加固定模板”</w:t>
      </w:r>
      <w:r>
        <w:rPr>
          <w:rFonts w:hint="eastAsia" w:cs="Times New Roman"/>
          <w:i w:val="0"/>
          <w:sz w:val="21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“未微调基座加同样校验”比较，微调的增量与模型表达相对模板的价值尚未定量，这是后续首要补充的实验。样本量偏小，26条单次采样，比例分辨率约4%，20次全部通过对应的双侧95%置信下界约83.2%，不足以支撑强可靠性结论。校验器只覆盖结构与数值两维。专家盲评与现场采纳统计尚未开展，不对学习效果作因果结论。时延为单卡单请求测量，未测并发与吞吐。后续将补做基线对照与消融，扩充留出样本并多次采样，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1"/>
          <w:szCs w:val="21"/>
        </w:rPr>
      </w:pPr>
    </w:p>
    <w:p w14:paraId="23E51DC0">
      <w:pPr>
        <w:keepNext/>
        <w:spacing w:before="160" w:after="80"/>
        <w:ind w:firstLineChars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7</w:t>
      </w:r>
      <w:r>
        <w:rPr>
          <w:rFonts w:hint="eastAsia" w:ascii="Times New Roman" w:hAnsi="Times New Roman" w:eastAsia="宋体" w:cs="Times New Roman"/>
          <w:b/>
          <w:i w:val="0"/>
          <w:smallCaps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1"/>
          <w:szCs w:val="21"/>
        </w:rPr>
        <w:t>结论</w:t>
      </w:r>
    </w:p>
    <w:p w14:paraId="026B6712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21"/>
          <w:szCs w:val="21"/>
        </w:rPr>
        <w:t>本文把安全与业务判定交给声明式规则引擎，把叙述表达交给微调后的模型，再以结构、数值、授权、安全四道防线衔接两者。150份仿真档案上回放450次，档案级覆盖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100%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，考试不合格与证书等级不足两类负例的漏报为0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200组网格上规则语义正确，重复执行结果一致</w:t>
      </w:r>
      <w:r>
        <w:rPr>
          <w:rFonts w:hint="eastAsia" w:cs="Times New Roman"/>
          <w:i w:val="0"/>
          <w:sz w:val="21"/>
          <w:szCs w:val="21"/>
          <w:lang w:eastAsia="zh-CN"/>
        </w:rPr>
        <w:t>。</w:t>
      </w:r>
      <w:r>
        <w:rPr>
          <w:rFonts w:ascii="Times New Roman" w:hAnsi="Times New Roman" w:eastAsia="宋体" w:cs="Times New Roman"/>
          <w:i w:val="0"/>
          <w:sz w:val="21"/>
          <w:szCs w:val="21"/>
        </w:rPr>
        <w:t>26条样本的模型输出首次即通过硬校验。错误注入实验同时说明，校验器拦得住结构与数值问题，拦不住语义层面的篡改——这一边界比“全部合规”更接近实际情况。这一分工使判定可审计、表达可迭代，为电力安全攸关岗位的智能培训提供了一种可实施方案；其培训效果尚需专家评价与现场试点检验。</w:t>
      </w:r>
    </w:p>
    <w:p w14:paraId="14E03C49">
      <w:pPr>
        <w:jc w:val="both"/>
        <w:rPr>
          <w:rFonts w:ascii="Times New Roman" w:hAnsi="Times New Roman" w:eastAsia="宋体"/>
          <w:b w:val="0"/>
          <w:i w:val="0"/>
          <w:sz w:val="21"/>
          <w:szCs w:val="21"/>
        </w:rPr>
      </w:pPr>
    </w:p>
    <w:p w14:paraId="444459A4">
      <w:pPr>
        <w:keepNext/>
        <w:spacing w:before="160" w:after="8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z w:val="21"/>
          <w:szCs w:val="21"/>
        </w:rPr>
        <w:t>参考文献</w:t>
      </w:r>
    </w:p>
    <w:p w14:paraId="5C123CC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0" w:name="_Ref31471"/>
      <w:r>
        <w:rPr>
          <w:rFonts w:hint="eastAsia" w:ascii="Times New Roman" w:hAnsi="Times New Roman" w:eastAsia="宋体" w:cs="Times New Roman"/>
          <w:i w:val="0"/>
          <w:sz w:val="20"/>
          <w:szCs w:val="20"/>
        </w:rPr>
        <w:t>李元,林金山,边畅,等.电力设备智能运维大模型的技术挑战与发展路径[J/OL].西安交通大学学报,1-16[2026-10-22].https://link.cnki.net/urlid/61.1069.T.20260624.1643.009.</w:t>
      </w:r>
      <w:r>
        <w:rPr>
          <w:rFonts w:ascii="Times New Roman" w:hAnsi="Times New Roman" w:eastAsia="宋体" w:cs="Times New Roman"/>
          <w:i w:val="0"/>
          <w:sz w:val="20"/>
          <w:szCs w:val="20"/>
        </w:rPr>
        <w:t>.</w:t>
      </w:r>
      <w:bookmarkEnd w:id="0"/>
      <w:bookmarkStart w:id="1" w:name="_Ref30275"/>
    </w:p>
    <w:bookmarkEnd w:id="1"/>
    <w:p w14:paraId="4078E6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rFonts w:hint="eastAsia" w:ascii="Times New Roman" w:hAnsi="Times New Roman" w:eastAsia="宋体" w:cs="Times New Roman"/>
          <w:i w:val="0"/>
          <w:sz w:val="20"/>
          <w:szCs w:val="20"/>
          <w:lang w:eastAsia="en-US"/>
        </w:rPr>
      </w:pPr>
      <w:bookmarkStart w:id="2" w:name="_Ref17182"/>
      <w:bookmarkStart w:id="3" w:name="_Ref29897"/>
      <w:r>
        <w:rPr>
          <w:rFonts w:hint="eastAsia" w:ascii="Times New Roman" w:hAnsi="Times New Roman" w:eastAsia="宋体" w:cs="Times New Roman"/>
          <w:i w:val="0"/>
          <w:sz w:val="20"/>
          <w:szCs w:val="20"/>
        </w:rPr>
        <w:t>舒文韬,李睿潇,孙天祥,等.大型语言模型：原理、实现与发展[J].计算机研究与发展,2024,61(2):351-361.</w:t>
      </w:r>
      <w:r>
        <w:rPr>
          <w:rFonts w:hint="eastAsia" w:ascii="Times New Roman" w:hAnsi="Times New Roman" w:eastAsia="宋体" w:cs="Times New Roman"/>
          <w:i w:val="0"/>
          <w:sz w:val="20"/>
          <w:szCs w:val="20"/>
          <w:lang w:eastAsia="en-US"/>
        </w:rPr>
        <w:t>杨清波, 朱署光, 刘东, 等. 电网调控大语言模型能力提升关键技术研究[J]. 发电技术, 2026, 47(4): 697-708. DOI: 10.12096/j.2096-4528.pgt.260402.</w:t>
      </w:r>
      <w:bookmarkEnd w:id="2"/>
    </w:p>
    <w:p w14:paraId="5640413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4" w:name="_Ref17430"/>
      <w:r>
        <w:rPr>
          <w:rFonts w:ascii="Times New Roman" w:hAnsi="Times New Roman" w:eastAsia="宋体" w:cs="Times New Roman"/>
          <w:i w:val="0"/>
          <w:sz w:val="20"/>
          <w:szCs w:val="20"/>
        </w:rPr>
        <w:t>Ji Z, Lee N, Frieske R, et al. Survey of hallucination in natural language generation[J]. ACM Computing Surveys, 2023, 55(12): 1-38. https://doi.org/10.1145/3571730.</w:t>
      </w:r>
      <w:bookmarkEnd w:id="3"/>
      <w:bookmarkEnd w:id="4"/>
    </w:p>
    <w:p w14:paraId="0A6765A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5" w:name="_Ref29831"/>
      <w:r>
        <w:rPr>
          <w:rFonts w:ascii="Times New Roman" w:hAnsi="Times New Roman" w:eastAsia="宋体" w:cs="Times New Roman"/>
          <w:i w:val="0"/>
          <w:sz w:val="20"/>
          <w:szCs w:val="20"/>
        </w:rPr>
        <w:t>Majumder S, Dong L, Doudi F, et al. Exploring the capabilities and limitations of large language models in the electric energy sector[J]. Joule, 2024, 8(6): 1544-1549. https://doi.org/10.1016/j.joule.2024.05.009.</w:t>
      </w:r>
      <w:bookmarkEnd w:id="5"/>
    </w:p>
    <w:p w14:paraId="52A95CC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6" w:name="_Ref29936"/>
      <w:r>
        <w:rPr>
          <w:rFonts w:ascii="Times New Roman" w:hAnsi="Times New Roman" w:eastAsia="宋体" w:cs="Times New Roman"/>
          <w:i w:val="0"/>
          <w:sz w:val="20"/>
          <w:szCs w:val="20"/>
        </w:rPr>
        <w:t>Ouyang L, Wu J, Jiang X, et al. Training language models to follow instructions with human feedback[C]//Advances in Neural Information Processing Systems 35. 2022: 27730-27744. https://arxiv.org/abs/2203.02155.</w:t>
      </w:r>
      <w:bookmarkEnd w:id="6"/>
    </w:p>
    <w:p w14:paraId="067029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7" w:name="_Ref29808"/>
      <w:r>
        <w:rPr>
          <w:rFonts w:ascii="Times New Roman" w:hAnsi="Times New Roman" w:eastAsia="宋体" w:cs="Times New Roman"/>
          <w:i w:val="0"/>
          <w:sz w:val="20"/>
          <w:szCs w:val="20"/>
        </w:rPr>
        <w:t>Lewis P, Perez E, Piktus A, et al. Retrieval-augmented generation for knowledge-intensive NLP tasks[C]//Advances in Neural Information Processing Systems 33. 2020: 9459-9474. https://arxiv.org/abs/2005.11401.</w:t>
      </w:r>
      <w:bookmarkEnd w:id="7"/>
    </w:p>
    <w:p w14:paraId="4690F4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8" w:name="_Ref18998"/>
      <w:r>
        <w:rPr>
          <w:rFonts w:ascii="Times New Roman" w:hAnsi="Times New Roman" w:eastAsia="宋体" w:cs="Times New Roman"/>
          <w:i w:val="0"/>
          <w:kern w:val="0"/>
          <w:sz w:val="20"/>
          <w:szCs w:val="20"/>
          <w:lang w:eastAsia="en-US"/>
        </w:rPr>
        <w:t>Karakurt E, Akbulut A. Retrieval-augmented generation (RAG) and large language models (LLMs) for enterprise knowledge management and document automation: a systematic literature review[J]. Applied Sciences, 2026, 16(1): 368. https://doi.org/10.3390/app16010368.</w:t>
      </w:r>
      <w:bookmarkEnd w:id="8"/>
    </w:p>
    <w:p w14:paraId="308304E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0"/>
          <w:szCs w:val="20"/>
          <w:lang w:eastAsia="en-US"/>
        </w:rPr>
      </w:pPr>
      <w:bookmarkStart w:id="9" w:name="_Ref19785"/>
      <w:bookmarkStart w:id="10" w:name="_Ref30256"/>
      <w:r>
        <w:rPr>
          <w:rFonts w:ascii="Times New Roman" w:hAnsi="Times New Roman" w:eastAsia="宋体" w:cs="Times New Roman"/>
          <w:i w:val="0"/>
          <w:kern w:val="0"/>
          <w:sz w:val="20"/>
          <w:szCs w:val="20"/>
          <w:lang w:eastAsia="en-US"/>
        </w:rPr>
        <w:t>Yao S, Zhao J, Yu D, et al. ReAct: synergizing reasoning and acting in language models[C]//International Conference on Learning Representations. 2023. https://arxiv.org/abs/2210.03629.</w:t>
      </w:r>
      <w:bookmarkEnd w:id="9"/>
    </w:p>
    <w:bookmarkEnd w:id="10"/>
    <w:p w14:paraId="57F048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0"/>
          <w:szCs w:val="20"/>
          <w:lang w:eastAsia="en-US"/>
        </w:rPr>
      </w:pPr>
      <w:bookmarkStart w:id="11" w:name="_Ref20203"/>
      <w:bookmarkStart w:id="12" w:name="_Ref30318"/>
      <w:r>
        <w:rPr>
          <w:rFonts w:ascii="Times New Roman" w:hAnsi="Times New Roman" w:eastAsia="宋体" w:cs="Times New Roman"/>
          <w:i w:val="0"/>
          <w:kern w:val="0"/>
          <w:sz w:val="20"/>
          <w:szCs w:val="20"/>
          <w:lang w:eastAsia="en-US"/>
        </w:rPr>
        <w:t>Rebedea T, Dinu R, Sreedhar M, et al. NeMo Guardrails: a toolkit for controllable and safe LLM applications with programmable rails[C]//Proceedings of the 2023 Conference on Empirical Methods in Natural Language Processing: System Demonstrations. 2023: 431-445. https://doi.org/10.18653/v1/2023.emnlp-demo.40.</w:t>
      </w:r>
      <w:bookmarkEnd w:id="11"/>
    </w:p>
    <w:p w14:paraId="3C8A027C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13" w:name="_Ref28086"/>
      <w:r>
        <w:rPr>
          <w:rFonts w:ascii="Times New Roman" w:hAnsi="Times New Roman" w:eastAsia="宋体" w:cs="Times New Roman"/>
          <w:i w:val="0"/>
          <w:sz w:val="20"/>
          <w:szCs w:val="20"/>
        </w:rPr>
        <w:t>Qwen Team. Qwen2.5 technical report[EB/OL]. 2024. https://arxiv.org/abs/2412.15115.</w:t>
      </w:r>
      <w:bookmarkEnd w:id="12"/>
      <w:bookmarkEnd w:id="13"/>
    </w:p>
    <w:p w14:paraId="1655E22F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14" w:name="_Ref29537"/>
      <w:r>
        <w:rPr>
          <w:rFonts w:ascii="Times New Roman" w:hAnsi="Times New Roman" w:eastAsia="宋体" w:cs="Times New Roman"/>
          <w:i w:val="0"/>
          <w:sz w:val="20"/>
          <w:szCs w:val="20"/>
        </w:rPr>
        <w:t>Hu E J, Shen Y, Wallis P, et al. LoRA: low-rank adaptation of large language models[C]//International Conference on Learning Representations. 2022. https://arxiv.org/abs/2106.09685.</w:t>
      </w:r>
      <w:bookmarkEnd w:id="14"/>
    </w:p>
    <w:p w14:paraId="2AC97BFB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15" w:name="_Ref28131"/>
      <w:bookmarkStart w:id="16" w:name="_Ref29554"/>
      <w:r>
        <w:rPr>
          <w:rFonts w:ascii="Times New Roman" w:hAnsi="Times New Roman" w:eastAsia="宋体" w:cs="Times New Roman"/>
          <w:i w:val="0"/>
          <w:sz w:val="20"/>
          <w:szCs w:val="20"/>
        </w:rPr>
        <w:t>Li Y, Yu Y, Liang C, et al. LoftQ: LoRA-fine-tuning-aware quantization for large language models[C]//The Twelfth International Conference on Learning Representations. 2024. https://arxiv.org/abs/2310.08659.</w:t>
      </w:r>
      <w:bookmarkEnd w:id="15"/>
    </w:p>
    <w:p w14:paraId="280081E4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 w:val="0"/>
        <w:autoSpaceDN w:val="0"/>
        <w:bidi w:val="0"/>
        <w:adjustRightInd/>
        <w:snapToGrid/>
        <w:spacing w:before="0" w:after="50" w:line="240" w:lineRule="auto"/>
        <w:ind w:left="454" w:leftChars="0" w:hanging="454" w:firstLineChars="0"/>
        <w:jc w:val="both"/>
        <w:textAlignment w:val="auto"/>
        <w:rPr>
          <w:sz w:val="20"/>
          <w:szCs w:val="20"/>
        </w:rPr>
      </w:pPr>
      <w:bookmarkStart w:id="17" w:name="_Ref28402"/>
      <w:r>
        <w:rPr>
          <w:rFonts w:ascii="Times New Roman" w:hAnsi="Times New Roman" w:eastAsia="宋体" w:cs="Times New Roman"/>
          <w:i w:val="0"/>
          <w:sz w:val="20"/>
          <w:szCs w:val="20"/>
        </w:rPr>
        <w:t>Zheng Y, Zhang R, Zhang J, et al. LlamaFactory: unified efficient fine-tuning of 100+ language models[C]//Proceedings of the 62nd Annual Meeting of the Association for Computational Linguistics: System Demonstrations. 2024: 400-410. https://doi.org/10.18653/v1/2024.acl-demos.38.</w:t>
      </w:r>
      <w:bookmarkEnd w:id="17"/>
    </w:p>
    <w:bookmarkEnd w:id="16"/>
    <w:p w14:paraId="3A1885FC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ind w:leftChars="0"/>
        <w:jc w:val="both"/>
        <w:textAlignment w:val="auto"/>
        <w:rPr>
          <w:sz w:val="21"/>
          <w:szCs w:val="21"/>
        </w:rPr>
      </w:pP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E327E64-9679-42A9-8999-BB0A29C00D7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E54A774-730B-4B45-AA24-A9A7BB42A67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211551F-35FF-4B04-A8E1-29150A7854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4D1E77F-579B-4D1B-BAE8-62D00095566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610B85D5-08FF-4730-8CB3-ED048E5F2FB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204AA8EF-AA71-462D-80C3-4CF4699A4FD6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8DE2D05B-1163-48DB-9EED-C5A48C6158D4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552B5304-8A36-4CCA-8F4B-4A63C934461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9" w:fontKey="{F298364C-7DC3-42E2-9F1C-ED8B9D23AC2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0" w:fontKey="{55184555-6D92-4B1F-94FC-F11172CDECD7}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  <w:embedRegular r:id="rId11" w:fontKey="{A419C874-CDD4-4928-83B2-0D9DF3E505C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0C3DD5"/>
    <w:multiLevelType w:val="singleLevel"/>
    <w:tmpl w:val="280C3DD5"/>
    <w:lvl w:ilvl="0" w:tentative="0">
      <w:start w:val="1"/>
      <w:numFmt w:val="decimal"/>
      <w:lvlText w:val="[%1]"/>
      <w:lvlJc w:val="left"/>
      <w:pPr>
        <w:tabs>
          <w:tab w:val="left" w:pos="454"/>
        </w:tabs>
        <w:ind w:left="454" w:leftChars="0" w:hanging="454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C7E65"/>
    <w:rsid w:val="122359F3"/>
    <w:rsid w:val="1231210D"/>
    <w:rsid w:val="3D385C00"/>
    <w:rsid w:val="42E17B8B"/>
    <w:rsid w:val="45F75879"/>
    <w:rsid w:val="4A640BB4"/>
    <w:rsid w:val="51937451"/>
    <w:rsid w:val="6627459B"/>
    <w:rsid w:val="68E04751"/>
    <w:rsid w:val="73602E23"/>
    <w:rsid w:val="76D35657"/>
    <w:rsid w:val="7C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19"/>
    <w:next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4356</Words>
  <Characters>4757</Characters>
  <Lines>0</Lines>
  <Paragraphs>0</Paragraphs>
  <TotalTime>43</TotalTime>
  <ScaleCrop>false</ScaleCrop>
  <LinksUpToDate>false</LinksUpToDate>
  <CharactersWithSpaces>4836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2026-10-21T17:24:29Z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B42509B5202646E4B388EA3D4848C8A7_13</vt:lpwstr>
  </property>
</Properties>
</file>