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0511A7">
      <w:pPr>
        <w:spacing w:after="120"/>
        <w:jc w:val="center"/>
        <w:rPr>
          <w:sz w:val="30"/>
          <w:szCs w:val="30"/>
        </w:rPr>
      </w:pPr>
      <w:r>
        <w:rPr>
          <w:rFonts w:ascii="Times New Roman" w:hAnsi="Times New Roman" w:eastAsia="宋体" w:cs="Times New Roman"/>
          <w:b/>
          <w:i w:val="0"/>
          <w:sz w:val="48"/>
          <w:szCs w:val="30"/>
        </w:rPr>
        <w:t>规则增强的变电运维个性化培训智能体设计与实现</w:t>
      </w:r>
    </w:p>
    <w:p w14:paraId="444A796D">
      <w:pPr>
        <w:spacing w:before="0" w:after="40"/>
        <w:jc w:val="center"/>
        <w:rPr>
          <w:sz w:val="21"/>
          <w:szCs w:val="21"/>
        </w:rPr>
      </w:pPr>
      <w:r>
        <w:rPr>
          <w:rFonts w:ascii="Times New Roman" w:hAnsi="Times New Roman" w:eastAsia="宋体" w:cs="Times New Roman"/>
          <w:b w:val="0"/>
          <w:i w:val="0"/>
          <w:sz w:val="22"/>
          <w:szCs w:val="21"/>
        </w:rPr>
        <w:t>〔作者一〕〔作者二〕〔作者三〕</w:t>
      </w:r>
    </w:p>
    <w:p w14:paraId="31662DE2">
      <w:pPr>
        <w:spacing w:before="0" w:after="40"/>
        <w:jc w:val="center"/>
        <w:rPr>
          <w:sz w:val="21"/>
          <w:szCs w:val="21"/>
        </w:rPr>
      </w:pPr>
      <w:r>
        <w:rPr>
          <w:rFonts w:ascii="Times New Roman" w:hAnsi="Times New Roman" w:eastAsia="宋体" w:cs="Times New Roman"/>
          <w:b w:val="0"/>
          <w:i w:val="0"/>
          <w:sz w:val="22"/>
          <w:szCs w:val="21"/>
        </w:rPr>
        <w:t>（〔单位〕〔城市〕〔邮编〕）</w:t>
      </w:r>
    </w:p>
    <w:p w14:paraId="6454C095">
      <w:pPr>
        <w:spacing w:before="0" w:after="40"/>
        <w:jc w:val="center"/>
        <w:rPr>
          <w:sz w:val="21"/>
          <w:szCs w:val="21"/>
        </w:rPr>
      </w:pPr>
      <w:r>
        <w:rPr>
          <w:rFonts w:ascii="Times New Roman" w:hAnsi="Times New Roman" w:eastAsia="宋体" w:cs="Times New Roman"/>
          <w:b w:val="0"/>
          <w:i w:val="0"/>
          <w:sz w:val="22"/>
          <w:szCs w:val="21"/>
        </w:rPr>
        <w:t>通信作者：〔邮箱〕</w:t>
      </w:r>
    </w:p>
    <w:p w14:paraId="2935841A">
      <w:pPr>
        <w:spacing w:before="120" w:after="200"/>
        <w:jc w:val="both"/>
        <w:rPr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i w:val="0"/>
          <w:sz w:val="18"/>
          <w:szCs w:val="28"/>
          <w:lang w:val="en-US" w:eastAsia="zh-CN"/>
        </w:rPr>
        <w:t>摘要：</w:t>
      </w:r>
      <w:r>
        <w:rPr>
          <w:rFonts w:ascii="Times New Roman" w:hAnsi="Times New Roman" w:eastAsia="宋体" w:cs="Times New Roman"/>
          <w:b/>
          <w:i w:val="0"/>
          <w:sz w:val="18"/>
          <w:szCs w:val="28"/>
        </w:rPr>
        <w:t>变电运维岗位的培训同时受到安全规程与人员能力差异的双重制约。直接用通用大模型生成培训建议，会出现规程幻觉、结论无法追溯等问题，仅把检索到的规程文本放进上下文，也保证不了输出落在业务阈值之内。针对这一问题，本文设计了一种规则增强的个性化培训智能体：安全与业务阈值的判定交给声明式规则引擎，模型只负责把结论讲清楚，两者之间靠四道防线衔接——结构契约、数值对账、输入端授权与安全处置。结构类不合格的输出整份回退到规则结论；数值类无出处的数字则留痕并压低置信度。一次执行由同一执行编号串联命中规则、建议与人工决定。模型以 Qwen2.5-3B-Instruct 为基座完成 4-bit QLoRA 微调。在 150 份按因子设计生成的结构化档案上回放 450 次规则执行，档案级覆盖 150/150，考试不合格与证书等级不足两类负例的漏报均为 0；在 200 组参数网格上，定档、关键词补充与严重度合并的正确率均为 100%，重复执行结果逐字节一致，进程内单次求值平均 0.012 ms。26 条测试样本的模型输出首次即通过硬校验，未触发回退；另以 16 例错误注入检验校验器，结构类 11 例全部拦截，数值类 2 例全部留痕，语义类 3 例未被检出，构成当前实现的覆盖边界。该架构适用于岗位能力可分级、业务阈值可枚举且建议须经人工确认的工业培训场景。</w:t>
      </w:r>
    </w:p>
    <w:p w14:paraId="06AACD83">
      <w:pPr>
        <w:spacing w:before="0" w:after="120"/>
        <w:jc w:val="both"/>
        <w:rPr>
          <w:rFonts w:ascii="Times New Roman" w:hAnsi="Times New Roman" w:eastAsia="宋体"/>
          <w:b w:val="0"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sz w:val="20"/>
          <w:szCs w:val="24"/>
        </w:rPr>
        <w:t>关键词：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变电运维</w:t>
      </w:r>
      <w:r>
        <w:rPr>
          <w:rFonts w:hint="eastAsia" w:ascii="Times New Roman" w:hAnsi="Times New Roman" w:eastAsia="宋体" w:cs="Times New Roman"/>
          <w:b w:val="0"/>
          <w:i w:val="0"/>
          <w:sz w:val="20"/>
          <w:szCs w:val="24"/>
          <w:lang w:val="en-US" w:eastAsia="zh-CN"/>
        </w:rPr>
        <w:t xml:space="preserve">  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个性化培训</w:t>
      </w:r>
      <w:r>
        <w:rPr>
          <w:rFonts w:hint="eastAsia" w:ascii="Times New Roman" w:hAnsi="Times New Roman" w:eastAsia="宋体" w:cs="Times New Roman"/>
          <w:b w:val="0"/>
          <w:i w:val="0"/>
          <w:sz w:val="20"/>
          <w:szCs w:val="24"/>
          <w:lang w:val="en-US" w:eastAsia="zh-CN"/>
        </w:rPr>
        <w:t xml:space="preserve">  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大语言模型</w:t>
      </w:r>
      <w:r>
        <w:rPr>
          <w:rFonts w:hint="eastAsia" w:ascii="Times New Roman" w:hAnsi="Times New Roman" w:eastAsia="宋体" w:cs="Times New Roman"/>
          <w:b w:val="0"/>
          <w:i w:val="0"/>
          <w:sz w:val="20"/>
          <w:szCs w:val="24"/>
          <w:lang w:val="en-US" w:eastAsia="zh-CN"/>
        </w:rPr>
        <w:t xml:space="preserve">  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声明式规则引擎</w:t>
      </w:r>
      <w:r>
        <w:rPr>
          <w:rFonts w:hint="eastAsia" w:ascii="Times New Roman" w:hAnsi="Times New Roman" w:eastAsia="宋体" w:cs="Times New Roman"/>
          <w:b w:val="0"/>
          <w:i w:val="0"/>
          <w:sz w:val="20"/>
          <w:szCs w:val="24"/>
          <w:lang w:val="en-US" w:eastAsia="zh-CN"/>
        </w:rPr>
        <w:t xml:space="preserve">  </w:t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参数高效微调</w:t>
      </w:r>
    </w:p>
    <w:p w14:paraId="2E7063E9">
      <w:pPr>
        <w:spacing w:after="120"/>
        <w:rPr>
          <w:rFonts w:ascii="Times New Roman" w:hAnsi="Times New Roman" w:eastAsia="黑体"/>
          <w:b/>
          <w:i w:val="0"/>
          <w:sz w:val="28"/>
          <w:szCs w:val="28"/>
        </w:rPr>
      </w:pPr>
    </w:p>
    <w:p w14:paraId="5761CA28">
      <w:pPr>
        <w:keepNext/>
        <w:spacing w:before="160" w:after="80"/>
        <w:ind w:firstLineChars="0"/>
        <w:jc w:val="left"/>
        <w:rPr>
          <w:rFonts w:ascii="Times New Roman" w:hAnsi="Times New Roman" w:eastAsia="黑体"/>
          <w:b/>
          <w:i w:val="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i w:val="0"/>
          <w:smallCaps/>
          <w:sz w:val="20"/>
          <w:szCs w:val="28"/>
          <w:lang w:val="en-US" w:eastAsia="zh-CN"/>
        </w:rPr>
        <w:t xml:space="preserve">1 </w:t>
      </w:r>
      <w:r>
        <w:rPr>
          <w:rFonts w:ascii="Times New Roman" w:hAnsi="Times New Roman" w:eastAsia="宋体" w:cs="Times New Roman"/>
          <w:b/>
          <w:i w:val="0"/>
          <w:smallCaps/>
          <w:sz w:val="20"/>
          <w:szCs w:val="28"/>
        </w:rPr>
        <w:t>引言</w:t>
      </w:r>
    </w:p>
    <w:p w14:paraId="19523EFE">
      <w:pPr>
        <w:keepNext/>
        <w:spacing w:before="120" w:after="60"/>
        <w:ind w:firstLineChars="0"/>
        <w:jc w:val="left"/>
        <w:rPr>
          <w:rFonts w:hint="default" w:ascii="Times New Roman" w:hAnsi="Times New Roman" w:eastAsia="黑体"/>
          <w:b/>
          <w:i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/>
          <w:sz w:val="20"/>
          <w:szCs w:val="24"/>
          <w:lang w:val="en-US" w:eastAsia="zh-CN"/>
        </w:rPr>
        <w:t>1.1 研究背景</w:t>
      </w:r>
    </w:p>
    <w:p w14:paraId="1120072A">
      <w:pPr>
        <w:spacing w:before="0" w:after="120" w:line="228" w:lineRule="exact"/>
        <w:ind w:firstLineChars="200"/>
        <w:jc w:val="both"/>
        <w:rPr>
          <w:sz w:val="24"/>
          <w:szCs w:val="24"/>
        </w:rPr>
      </w:pPr>
      <w:r>
        <w:rPr>
          <w:rFonts w:ascii="Times New Roman" w:hAnsi="Times New Roman" w:eastAsia="宋体" w:cs="Times New Roman"/>
          <w:i w:val="0"/>
          <w:sz w:val="20"/>
          <w:szCs w:val="24"/>
        </w:rPr>
        <w:t>变电运维涵盖设备巡视、倒闸操作、异常处置等高风险作业，每一步都受安全规程约束。运维人员在资格等级、实操表现、考试成绩和安全记录上差别很大，相关数据又分散在人事、培训、安全三套台账里，靠统一推送课程的老办法很难给出个体化的建议。近年来大模型开始进入电力设备智能运维环节，其技术挑战与发展路径已有系统梳理</w:t>
      </w:r>
      <w:r>
        <w:rPr>
          <w:rFonts w:ascii="Times New Roman" w:hAnsi="Times New Roman" w:eastAsia="宋体" w:cs="Times New Roman"/>
          <w:i w:val="0"/>
          <w:sz w:val="20"/>
          <w:szCs w:val="24"/>
          <w:vertAlign w:val="superscript"/>
        </w:rPr>
        <w:t>[1]</w:t>
      </w:r>
      <w:r>
        <w:rPr>
          <w:rFonts w:ascii="Times New Roman" w:hAnsi="Times New Roman" w:eastAsia="宋体" w:cs="Times New Roman"/>
          <w:i w:val="0"/>
          <w:sz w:val="20"/>
          <w:szCs w:val="24"/>
        </w:rPr>
        <w:t>，但落到培训这个具体场景，情况并无本质不同：大模型可以为案例生成、规程问答和学习建议提供新的途径</w:t>
      </w:r>
      <w:r>
        <w:rPr>
          <w:rFonts w:ascii="Times New Roman" w:hAnsi="Times New Roman" w:eastAsia="宋体" w:cs="Times New Roman"/>
          <w:i w:val="0"/>
          <w:sz w:val="20"/>
          <w:szCs w:val="24"/>
          <w:vertAlign w:val="superscript"/>
        </w:rPr>
        <w:t>[2]</w:t>
      </w:r>
      <w:r>
        <w:rPr>
          <w:rFonts w:ascii="Times New Roman" w:hAnsi="Times New Roman" w:eastAsia="宋体" w:cs="Times New Roman"/>
          <w:i w:val="0"/>
          <w:sz w:val="20"/>
          <w:szCs w:val="24"/>
        </w:rPr>
        <w:t>，电网调度领域也已有知识嵌入与辅助决策的尝试</w:t>
      </w:r>
      <w:r>
        <w:rPr>
          <w:rFonts w:ascii="Times New Roman" w:hAnsi="Times New Roman" w:eastAsia="宋体" w:cs="Times New Roman"/>
          <w:i w:val="0"/>
          <w:sz w:val="20"/>
          <w:szCs w:val="24"/>
          <w:vertAlign w:val="superscript"/>
        </w:rPr>
        <w:t>[3]</w:t>
      </w:r>
      <w:r>
        <w:rPr>
          <w:rFonts w:ascii="Times New Roman" w:hAnsi="Times New Roman" w:eastAsia="宋体" w:cs="Times New Roman"/>
          <w:i w:val="0"/>
          <w:sz w:val="20"/>
          <w:szCs w:val="24"/>
        </w:rPr>
        <w:t>，而安全攸关场景不能照搬。</w:t>
      </w:r>
    </w:p>
    <w:p w14:paraId="65A01B85">
      <w:pPr>
        <w:keepNext/>
        <w:spacing w:before="120" w:after="60"/>
        <w:ind w:firstLineChars="0"/>
        <w:jc w:val="left"/>
        <w:rPr>
          <w:rFonts w:ascii="Times New Roman" w:hAnsi="Times New Roman" w:eastAsia="宋体"/>
          <w:b w:val="0"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/>
          <w:sz w:val="20"/>
          <w:szCs w:val="24"/>
        </w:rPr>
        <w:t>1.2 问题定位与研究思路</w:t>
      </w:r>
    </w:p>
    <w:p w14:paraId="0B8D113E">
      <w:pPr>
        <w:spacing w:before="0" w:after="120" w:line="228" w:lineRule="exact"/>
        <w:ind w:firstLineChars="200"/>
        <w:jc w:val="both"/>
        <w:rPr>
          <w:rFonts w:ascii="Times New Roman" w:hAnsi="Times New Roman" w:eastAsia="宋体"/>
          <w:b w:val="0"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sz w:val="20"/>
          <w:szCs w:val="24"/>
        </w:rPr>
        <w:t>把大模型直接放进安全攸关的培训流程，风险集中在三处。</w:t>
      </w:r>
      <w:r>
        <w:rPr>
          <w:rFonts w:ascii="Times New Roman" w:hAnsi="Times New Roman" w:eastAsia="宋体" w:cs="Times New Roman"/>
          <w:b/>
          <w:i w:val="0"/>
          <w:sz w:val="20"/>
          <w:szCs w:val="24"/>
        </w:rPr>
        <w:t>规程幻觉</w:t>
      </w:r>
      <w:r>
        <w:rPr>
          <w:rFonts w:ascii="Times New Roman" w:hAnsi="Times New Roman" w:eastAsia="宋体" w:cs="Times New Roman"/>
          <w:i w:val="0"/>
          <w:sz w:val="20"/>
          <w:szCs w:val="24"/>
        </w:rPr>
        <w:t>首当其冲</w:t>
      </w:r>
      <w:r>
        <w:rPr>
          <w:rFonts w:ascii="Times New Roman" w:hAnsi="Times New Roman" w:eastAsia="宋体" w:cs="Times New Roman"/>
          <w:i w:val="0"/>
          <w:sz w:val="20"/>
          <w:szCs w:val="24"/>
          <w:vertAlign w:val="superscript"/>
        </w:rPr>
        <w:t>[4]</w:t>
      </w:r>
      <w:r>
        <w:rPr>
          <w:rFonts w:ascii="Times New Roman" w:hAnsi="Times New Roman" w:eastAsia="宋体" w:cs="Times New Roman"/>
          <w:i w:val="0"/>
          <w:sz w:val="20"/>
          <w:szCs w:val="24"/>
        </w:rPr>
        <w:t>：模型可能用十分确定的语气，说出根本不存在的条款或阈值。其次是</w:t>
      </w:r>
      <w:r>
        <w:rPr>
          <w:rFonts w:ascii="Times New Roman" w:hAnsi="Times New Roman" w:eastAsia="宋体" w:cs="Times New Roman"/>
          <w:b/>
          <w:i w:val="0"/>
          <w:sz w:val="20"/>
          <w:szCs w:val="24"/>
        </w:rPr>
        <w:t>结论不可追溯</w:t>
      </w:r>
      <w:r>
        <w:rPr>
          <w:rFonts w:ascii="Times New Roman" w:hAnsi="Times New Roman" w:eastAsia="宋体" w:cs="Times New Roman"/>
          <w:i w:val="0"/>
          <w:sz w:val="20"/>
          <w:szCs w:val="24"/>
        </w:rPr>
        <w:t>——建议里出现的合格线、人数、金额，往往找不到对应的数据来源。再就是</w:t>
      </w:r>
      <w:r>
        <w:rPr>
          <w:rFonts w:ascii="Times New Roman" w:hAnsi="Times New Roman" w:eastAsia="宋体" w:cs="Times New Roman"/>
          <w:b/>
          <w:i w:val="0"/>
          <w:sz w:val="20"/>
          <w:szCs w:val="24"/>
        </w:rPr>
        <w:t>输出不稳定</w:t>
      </w:r>
      <w:r>
        <w:rPr>
          <w:rFonts w:ascii="Times New Roman" w:hAnsi="Times New Roman" w:eastAsia="宋体" w:cs="Times New Roman"/>
          <w:i w:val="0"/>
          <w:sz w:val="20"/>
          <w:szCs w:val="24"/>
        </w:rPr>
        <w:t>，同样的输入多调几次，结论可能不一致。针对电力能源行业的系统评估同样把结论指向“需要外部判定”</w:t>
      </w:r>
      <w:r>
        <w:rPr>
          <w:rFonts w:ascii="Times New Roman" w:hAnsi="Times New Roman" w:eastAsia="宋体" w:cs="Times New Roman"/>
          <w:i w:val="0"/>
          <w:sz w:val="20"/>
          <w:szCs w:val="24"/>
          <w:vertAlign w:val="superscript"/>
        </w:rPr>
        <w:t>[5]</w:t>
      </w:r>
      <w:r>
        <w:rPr>
          <w:rFonts w:ascii="Times New Roman" w:hAnsi="Times New Roman" w:eastAsia="宋体" w:cs="Times New Roman"/>
          <w:i w:val="0"/>
          <w:sz w:val="20"/>
          <w:szCs w:val="24"/>
        </w:rPr>
        <w:t>。指令微调与基于人类反馈的对齐能压低幻觉比例</w:t>
      </w:r>
      <w:r>
        <w:rPr>
          <w:rFonts w:ascii="Times New Roman" w:hAnsi="Times New Roman" w:eastAsia="宋体" w:cs="Times New Roman"/>
          <w:i w:val="0"/>
          <w:sz w:val="20"/>
          <w:szCs w:val="24"/>
          <w:vertAlign w:val="superscript"/>
        </w:rPr>
        <w:t>[6]</w:t>
      </w:r>
      <w:r>
        <w:rPr>
          <w:rFonts w:ascii="Times New Roman" w:hAnsi="Times New Roman" w:eastAsia="宋体" w:cs="Times New Roman"/>
          <w:i w:val="0"/>
          <w:sz w:val="20"/>
          <w:szCs w:val="24"/>
        </w:rPr>
        <w:t>，但消除不了；检索增强生成缓解了幻觉问题</w:t>
      </w:r>
      <w:r>
        <w:rPr>
          <w:rFonts w:ascii="Times New Roman" w:hAnsi="Times New Roman" w:eastAsia="宋体" w:cs="Times New Roman"/>
          <w:i w:val="0"/>
          <w:sz w:val="20"/>
          <w:szCs w:val="24"/>
          <w:vertAlign w:val="superscript"/>
        </w:rPr>
        <w:t>[7][8]</w:t>
      </w:r>
      <w:r>
        <w:rPr>
          <w:rFonts w:ascii="Times New Roman" w:hAnsi="Times New Roman" w:eastAsia="宋体" w:cs="Times New Roman"/>
          <w:i w:val="0"/>
          <w:sz w:val="20"/>
          <w:szCs w:val="24"/>
        </w:rPr>
        <w:t>，可是检索到的规程并不等于生成内容符合规程，输出是否落在业务阈值之内，依然没有保证。</w:t>
      </w:r>
    </w:p>
    <w:p w14:paraId="1E66190A">
      <w:pPr>
        <w:keepNext/>
        <w:spacing w:before="120" w:after="60"/>
        <w:ind w:firstLineChars="0"/>
        <w:jc w:val="left"/>
        <w:rPr>
          <w:rFonts w:hint="default" w:eastAsia="黑体"/>
          <w:b/>
          <w:i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i/>
          <w:sz w:val="20"/>
          <w:szCs w:val="24"/>
          <w:lang w:val="en-US" w:eastAsia="zh-CN"/>
        </w:rPr>
        <w:t>1.3 本文贡献</w:t>
      </w:r>
    </w:p>
    <w:p w14:paraId="0B857C5B">
      <w:pPr>
        <w:spacing w:before="0" w:after="120" w:line="228" w:lineRule="exact"/>
        <w:ind w:firstLineChars="200"/>
        <w:jc w:val="both"/>
        <w:rPr>
          <w:rFonts w:hint="eastAsia"/>
          <w:b w:val="0"/>
          <w:i w:val="0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i w:val="0"/>
          <w:sz w:val="20"/>
          <w:szCs w:val="24"/>
        </w:rPr>
        <w:t>本文的思路是把</w:t>
      </w:r>
      <w:r>
        <w:rPr>
          <w:rFonts w:ascii="Times New Roman" w:hAnsi="Times New Roman" w:eastAsia="宋体" w:cs="Times New Roman"/>
          <w:b/>
          <w:i w:val="0"/>
          <w:sz w:val="20"/>
          <w:szCs w:val="24"/>
        </w:rPr>
        <w:t>判定权与表达权分开</w:t>
      </w:r>
      <w:r>
        <w:rPr>
          <w:rFonts w:ascii="Times New Roman" w:hAnsi="Times New Roman" w:eastAsia="宋体" w:cs="Times New Roman"/>
          <w:i w:val="0"/>
          <w:sz w:val="20"/>
          <w:szCs w:val="24"/>
        </w:rPr>
        <w:t>：安全与业务阈值的判定交给可审计的声明式规则引擎，模型只承担叙述性表达，两者之间用</w:t>
      </w:r>
      <w:r>
        <w:rPr>
          <w:rFonts w:ascii="Times New Roman" w:hAnsi="Times New Roman" w:eastAsia="宋体" w:cs="Times New Roman"/>
          <w:b/>
          <w:i w:val="0"/>
          <w:sz w:val="20"/>
          <w:szCs w:val="24"/>
        </w:rPr>
        <w:t>四道防线</w:t>
      </w:r>
      <w:r>
        <w:rPr>
          <w:rFonts w:ascii="Times New Roman" w:hAnsi="Times New Roman" w:eastAsia="宋体" w:cs="Times New Roman"/>
          <w:i w:val="0"/>
          <w:sz w:val="20"/>
          <w:szCs w:val="24"/>
        </w:rPr>
        <w:t>衔接，结构类不合格即整份回退规则结论。规则引擎、参数高效微调和输出校验都不是本文的原创，本文主张的是面向该场景的一项架构与治理贡献：给出规则配置、规则计算与决策治理三层架构，规则路径与模型路径以来源标记隔离，更换模型不动接口与前端；设计 JSON 声明式规则，支持分组收敛、事实引用与热更新，阈值一律引用事实而不写入字面量；把校验拆成结构、数值、授权、安全四条通道，分别对应回退、留痕、拒绝与规则处置，并给出覆盖边界。在此之上，按与线上提示词同形的原则重建语料完成微调，用规则回放、语义网格、模型实测与错误注入四组实验加以检验。</w:t>
      </w:r>
    </w:p>
    <w:p w14:paraId="32A30243">
      <w:pPr>
        <w:keepNext/>
        <w:spacing w:before="160" w:after="80"/>
        <w:ind w:firstLineChars="0"/>
        <w:jc w:val="left"/>
        <w:rPr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i w:val="0"/>
          <w:smallCaps/>
          <w:sz w:val="20"/>
          <w:szCs w:val="28"/>
          <w:lang w:val="en-US" w:eastAsia="zh-CN"/>
        </w:rPr>
        <w:t>2 相关工作</w:t>
      </w:r>
    </w:p>
    <w:p w14:paraId="60D972E5">
      <w:pPr>
        <w:keepNext/>
        <w:spacing w:before="120" w:after="60"/>
        <w:ind w:firstLineChars="0"/>
        <w:jc w:val="left"/>
        <w:rPr>
          <w:sz w:val="28"/>
          <w:szCs w:val="28"/>
        </w:rPr>
      </w:pPr>
      <w:r>
        <w:rPr>
          <w:rFonts w:hint="eastAsia" w:ascii="Times New Roman" w:hAnsi="Times New Roman" w:eastAsia="宋体" w:cs="Times New Roman"/>
          <w:b w:val="0"/>
          <w:i/>
          <w:sz w:val="20"/>
          <w:szCs w:val="28"/>
          <w:lang w:val="en-US" w:eastAsia="zh-CN"/>
        </w:rPr>
        <w:t>2.1 五类技术路线的约束位置</w:t>
      </w:r>
    </w:p>
    <w:p w14:paraId="2AE60446">
      <w:pPr>
        <w:spacing w:before="0" w:after="120" w:line="228" w:lineRule="exact"/>
        <w:ind w:firstLineChars="200"/>
        <w:jc w:val="both"/>
        <w:rPr>
          <w:sz w:val="24"/>
          <w:szCs w:val="24"/>
        </w:rPr>
      </w:pPr>
      <w:r>
        <w:rPr>
          <w:rFonts w:ascii="Times New Roman" w:hAnsi="Times New Roman" w:eastAsia="宋体" w:cs="Times New Roman"/>
          <w:i w:val="0"/>
          <w:sz w:val="20"/>
          <w:szCs w:val="24"/>
        </w:rPr>
        <w:t>按“约束在何处执行”来划分，现有路线大致有五类，见表 1。固定课件把约束放在编制环节，课程一旦成形就与个体无关。通用大模型与工具调用型智能体把约束留在提示词里</w:t>
      </w:r>
      <w:r>
        <w:rPr>
          <w:rFonts w:ascii="Times New Roman" w:hAnsi="Times New Roman" w:eastAsia="宋体" w:cs="Times New Roman"/>
          <w:i w:val="0"/>
          <w:sz w:val="20"/>
          <w:szCs w:val="24"/>
          <w:vertAlign w:val="superscript"/>
        </w:rPr>
        <w:t>[9]</w:t>
      </w:r>
      <w:r>
        <w:rPr>
          <w:rFonts w:ascii="Times New Roman" w:hAnsi="Times New Roman" w:eastAsia="宋体" w:cs="Times New Roman"/>
          <w:i w:val="0"/>
          <w:sz w:val="20"/>
          <w:szCs w:val="24"/>
        </w:rPr>
        <w:t>，而提示词只影响生成倾向，算不上可验证的判定。检索增强生成把约束降级为上下文，检索到的规程不等于生成内容符合规程。知识图谱擅长描述概念之间的联系，却缺少由阈值触发的判定逻辑。相比之下，规则引擎把约束落在运行期的条件匹配上，确定性与可审计性最好，代价是表达固定，规则库维护中容易出现口径脱节与规则相互遮蔽——这类退化不报错，只表现为命中率悄悄下降。</w:t>
      </w:r>
    </w:p>
    <w:p w14:paraId="1E001B49">
      <w:pPr>
        <w:spacing w:before="80" w:after="120"/>
        <w:jc w:val="center"/>
        <w:rPr>
          <w:sz w:val="18"/>
          <w:szCs w:val="18"/>
        </w:rPr>
      </w:pPr>
      <w:r>
        <w:rPr>
          <w:rFonts w:ascii="Times New Roman" w:hAnsi="Times New Roman" w:eastAsia="宋体" w:cs="Times New Roman"/>
          <w:i w:val="0"/>
          <w:sz w:val="16"/>
          <w:szCs w:val="21"/>
        </w:rPr>
        <w:t>表1 五类技术路线的约束执行位置与主要不足</w:t>
      </w:r>
    </w:p>
    <w:tbl>
      <w:tblPr>
        <w:tblStyle w:val="33"/>
        <w:tblW w:w="91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" w:type="dxa"/>
          <w:left w:w="57" w:type="dxa"/>
          <w:bottom w:w="14" w:type="dxa"/>
          <w:right w:w="57" w:type="dxa"/>
        </w:tblCellMar>
      </w:tblPr>
      <w:tblGrid>
        <w:gridCol w:w="1594"/>
        <w:gridCol w:w="2192"/>
        <w:gridCol w:w="3786"/>
        <w:gridCol w:w="1606"/>
      </w:tblGrid>
      <w:tr w14:paraId="537B0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376" w:hRule="atLeast"/>
          <w:tblHeader/>
          <w:jc w:val="center"/>
        </w:trPr>
        <w:tc>
          <w:tcPr>
            <w:tcW w:w="1594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547AB92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1"/>
              </w:rPr>
              <w:t>技术路线</w:t>
            </w:r>
          </w:p>
        </w:tc>
        <w:tc>
          <w:tcPr>
            <w:tcW w:w="2192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B644FCF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1"/>
              </w:rPr>
              <w:t>约束在何处执行</w:t>
            </w:r>
          </w:p>
        </w:tc>
        <w:tc>
          <w:tcPr>
            <w:tcW w:w="3786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D235CFE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1"/>
              </w:rPr>
              <w:t>本场景下的主要不足</w:t>
            </w:r>
          </w:p>
        </w:tc>
        <w:tc>
          <w:tcPr>
            <w:tcW w:w="1606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897F5D3">
            <w:pPr>
              <w:spacing w:before="20" w:after="20" w:line="180" w:lineRule="exac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关键技术与指标</w:t>
            </w:r>
          </w:p>
        </w:tc>
      </w:tr>
      <w:tr w14:paraId="118E3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658" w:hRule="atLeast"/>
          <w:jc w:val="center"/>
        </w:trPr>
        <w:tc>
          <w:tcPr>
            <w:tcW w:w="159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9DD3E2F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固定课件培训系统</w:t>
            </w:r>
          </w:p>
        </w:tc>
        <w:tc>
          <w:tcPr>
            <w:tcW w:w="219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5C1318D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课程编制环节人工把关</w:t>
            </w:r>
          </w:p>
        </w:tc>
        <w:tc>
          <w:tcPr>
            <w:tcW w:w="378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3B1CE35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无法适配个体差异，规程修订后维护成本高</w:t>
            </w:r>
          </w:p>
        </w:tc>
        <w:tc>
          <w:tcPr>
            <w:tcW w:w="160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03C9766">
            <w:pPr>
              <w:spacing w:before="20" w:after="20" w:line="180" w:lineRule="exact"/>
            </w:pPr>
            <w:r>
              <w:rPr>
                <w:rFonts w:ascii="Times New Roman" w:hAnsi="Times New Roman" w:eastAsia="宋体" w:cs="Times New Roman"/>
                <w:sz w:val="16"/>
              </w:rPr>
              <w:t>统一课程包、集中排期、年度复训</w:t>
            </w:r>
          </w:p>
        </w:tc>
      </w:tr>
      <w:tr w14:paraId="0B2AD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651" w:hRule="atLeast"/>
          <w:jc w:val="center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4BCEE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通用大模型智能体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7655F7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提示词与解码策略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B8CB1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规程幻觉、结论不可追溯、多次调用不一致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434750">
            <w:pPr>
              <w:spacing w:before="20" w:after="20" w:line="180" w:lineRule="exact"/>
            </w:pPr>
            <w:r>
              <w:rPr>
                <w:rFonts w:ascii="Times New Roman" w:hAnsi="Times New Roman" w:eastAsia="宋体" w:cs="Times New Roman"/>
                <w:sz w:val="16"/>
              </w:rPr>
              <w:t>指令微调、提示词约束、温度采样</w:t>
            </w:r>
          </w:p>
        </w:tc>
      </w:tr>
      <w:tr w14:paraId="2B8D3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651" w:hRule="atLeast"/>
          <w:jc w:val="center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E754D1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检索增强生成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480BB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检索结果作为生成上下文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18797E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只提供依据，不对建议本身作出判定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418735">
            <w:pPr>
              <w:spacing w:before="20" w:after="20" w:line="180" w:lineRule="exact"/>
            </w:pPr>
            <w:r>
              <w:rPr>
                <w:rFonts w:ascii="Times New Roman" w:hAnsi="Times New Roman" w:eastAsia="宋体" w:cs="Times New Roman"/>
                <w:sz w:val="16"/>
              </w:rPr>
              <w:t>向量检索、Top-k 召回、上下文拼接</w:t>
            </w:r>
          </w:p>
        </w:tc>
      </w:tr>
      <w:tr w14:paraId="5D614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450" w:hRule="atLeast"/>
          <w:jc w:val="center"/>
        </w:trPr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77F59B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知识图谱增强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8D8260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本体与关系约束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49CF75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依赖本体构建，缺少阈值触发的判定逻辑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765E55">
            <w:pPr>
              <w:spacing w:before="20" w:after="20" w:line="180" w:lineRule="exact"/>
            </w:pPr>
            <w:r>
              <w:rPr>
                <w:rFonts w:ascii="Times New Roman" w:hAnsi="Times New Roman" w:eastAsia="宋体" w:cs="Times New Roman"/>
                <w:sz w:val="16"/>
              </w:rPr>
              <w:t>本体建模、实体关系、路径推理</w:t>
            </w:r>
          </w:p>
        </w:tc>
      </w:tr>
      <w:tr w14:paraId="512C9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546" w:hRule="atLeast"/>
          <w:jc w:val="center"/>
        </w:trPr>
        <w:tc>
          <w:tcPr>
            <w:tcW w:w="1594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4870AD37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业务规则引擎</w:t>
            </w:r>
          </w:p>
        </w:tc>
        <w:tc>
          <w:tcPr>
            <w:tcW w:w="2192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4B348323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运行期条件匹配</w:t>
            </w:r>
          </w:p>
        </w:tc>
        <w:tc>
          <w:tcPr>
            <w:tcW w:w="3786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467D3A6E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确定性强，但表达固定、规则库维护负担重</w:t>
            </w:r>
          </w:p>
        </w:tc>
        <w:tc>
          <w:tcPr>
            <w:tcW w:w="1606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206CC32E">
            <w:pPr>
              <w:spacing w:before="20" w:after="20" w:line="180" w:lineRule="exact"/>
            </w:pPr>
            <w:r>
              <w:rPr>
                <w:rFonts w:ascii="Times New Roman" w:hAnsi="Times New Roman" w:eastAsia="宋体" w:cs="Times New Roman"/>
                <w:sz w:val="16"/>
              </w:rPr>
              <w:t>条件树、阈值命中、优先级排序</w:t>
            </w:r>
          </w:p>
        </w:tc>
      </w:tr>
    </w:tbl>
    <w:p w14:paraId="36FAD56B">
      <w:pPr>
        <w:spacing w:after="40" w:line="80" w:lineRule="exact"/>
        <w:rPr>
          <w:sz w:val="24"/>
          <w:szCs w:val="24"/>
        </w:rPr>
      </w:pPr>
    </w:p>
    <w:p w14:paraId="2D1AB8DC">
      <w:pPr>
        <w:keepNext/>
        <w:spacing w:before="120" w:after="60"/>
        <w:ind w:firstLineChars="0"/>
        <w:jc w:val="left"/>
        <w:rPr>
          <w:rFonts w:ascii="Times New Roman" w:hAnsi="Times New Roman" w:eastAsia="宋体"/>
          <w:b w:val="0"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/>
          <w:sz w:val="20"/>
          <w:szCs w:val="24"/>
        </w:rPr>
        <w:t>2.2 与可编程护栏的区别及问题定位</w:t>
      </w:r>
    </w:p>
    <w:p w14:paraId="358ACF92">
      <w:pPr>
        <w:spacing w:before="0" w:after="120" w:line="228" w:lineRule="exact"/>
        <w:ind w:firstLineChars="200"/>
        <w:jc w:val="both"/>
        <w:rPr>
          <w:rFonts w:ascii="Times New Roman" w:hAnsi="Times New Roman" w:eastAsia="宋体"/>
          <w:b w:val="0"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sz w:val="20"/>
          <w:szCs w:val="24"/>
        </w:rPr>
        <w:t>与本文最接近的是可编程护栏</w:t>
      </w:r>
      <w:r>
        <w:rPr>
          <w:rFonts w:ascii="Times New Roman" w:hAnsi="Times New Roman" w:eastAsia="宋体" w:cs="Times New Roman"/>
          <w:i w:val="0"/>
          <w:sz w:val="20"/>
          <w:szCs w:val="24"/>
          <w:vertAlign w:val="superscript"/>
        </w:rPr>
        <w:t>[10]</w:t>
      </w:r>
      <w:r>
        <w:rPr>
          <w:rFonts w:ascii="Times New Roman" w:hAnsi="Times New Roman" w:eastAsia="宋体" w:cs="Times New Roman"/>
          <w:i w:val="0"/>
          <w:sz w:val="20"/>
          <w:szCs w:val="24"/>
        </w:rPr>
        <w:t>，差别有三：护栏以专用语言在对话层设定输入输出边界，判定对象是对话行为，本文则把判定条件放进业务规则库，判的是岗位标准、课程合格线与安全记录，规则由业务方维护；护栏通常拦截或改写文本，本文在拦截之外保留一条完整的规则结论作为回退产物，失败时仍有可交付的结果。上述路线并非互斥，真正缺的是分工与失败处置——判定须由可审计的载体承担，表达可以交给模型，两者之间需要一层能够拒绝、能够回退并留下证据的机制。</w:t>
      </w:r>
    </w:p>
    <w:p w14:paraId="5445C8A4">
      <w:pPr>
        <w:keepNext/>
        <w:spacing w:before="160" w:after="80"/>
        <w:ind w:firstLineChars="0"/>
        <w:jc w:val="left"/>
        <w:rPr>
          <w:sz w:val="28"/>
          <w:szCs w:val="28"/>
        </w:rPr>
      </w:pPr>
      <w:r>
        <w:rPr>
          <w:rFonts w:ascii="Times New Roman" w:hAnsi="Times New Roman" w:eastAsia="宋体" w:cs="Times New Roman"/>
          <w:b/>
          <w:i w:val="0"/>
          <w:smallCaps/>
          <w:sz w:val="20"/>
          <w:szCs w:val="28"/>
        </w:rPr>
        <w:t>3</w:t>
      </w:r>
      <w:r>
        <w:rPr>
          <w:rFonts w:hint="eastAsia" w:ascii="Times New Roman" w:hAnsi="Times New Roman" w:eastAsia="宋体" w:cs="Times New Roman"/>
          <w:b/>
          <w:i w:val="0"/>
          <w:smallCaps/>
          <w:sz w:val="20"/>
          <w:szCs w:val="28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b/>
          <w:i w:val="0"/>
          <w:smallCaps/>
          <w:sz w:val="20"/>
          <w:szCs w:val="28"/>
        </w:rPr>
        <w:t>系统架构</w:t>
      </w:r>
    </w:p>
    <w:p w14:paraId="4A643D79">
      <w:pPr>
        <w:spacing w:before="0" w:after="120" w:line="228" w:lineRule="exact"/>
        <w:ind w:firstLineChars="200"/>
        <w:jc w:val="both"/>
        <w:rPr>
          <w:sz w:val="24"/>
          <w:szCs w:val="24"/>
        </w:rPr>
      </w:pPr>
      <w:r>
        <w:rPr>
          <w:rFonts w:ascii="Times New Roman" w:hAnsi="Times New Roman" w:eastAsia="宋体" w:cs="Times New Roman"/>
          <w:i w:val="0"/>
          <w:sz w:val="20"/>
          <w:szCs w:val="24"/>
        </w:rPr>
        <w:t>系统受三条工程约束：角色之间有数据边界，安全类判定优先于一般业务判定，只允许单库部署且不引入外部规则框架。据此，规则以 JSON 列存入 MySQL 8，服务端直接读写，不设对象关系映射层。整体分三层（图 1）：规则配置层负责规则的增删改与启停，修改即时生效；规则计算层按场景装配事实并求值；决策治理层负责校验、回退与人工确认。两条不变量贯穿全链——规则引擎只写中间结果、不改写业务原始数据；对外输出的 need_human_confirm 恒为真。一次执行由同一执行编号串起命中规则、建议与最终决定，结论可以回溯到规则编号和数据点。</w:t>
      </w:r>
    </w:p>
    <w:p w14:paraId="4C101A79">
      <w:pPr>
        <w:spacing w:before="120" w:after="40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2267585" cy="2694940"/>
            <wp:effectExtent l="0" t="0" r="8890" b="635"/>
            <wp:docPr id="1" name="Picture 1" descr="C:/Users/admin/Desktop/论文图片_重绘/2.pn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admin/Desktop/论文图片_重绘/2.png2"/>
                    <pic:cNvPicPr>
                      <a:picLocks noChangeAspect="1"/>
                    </pic:cNvPicPr>
                  </pic:nvPicPr>
                  <pic:blipFill>
                    <a:blip r:embed="rId6"/>
                    <a:srcRect l="507" r="507"/>
                    <a:stretch>
                      <a:fillRect/>
                    </a:stretch>
                  </pic:blipFill>
                  <pic:spPr>
                    <a:xfrm>
                      <a:off x="0" y="0"/>
                      <a:ext cx="22680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CB36">
      <w:pPr>
        <w:spacing w:before="80" w:after="120"/>
        <w:jc w:val="center"/>
        <w:rPr>
          <w:rFonts w:ascii="Times New Roman" w:hAnsi="Times New Roman" w:eastAsia="黑体"/>
          <w:b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sz w:val="16"/>
          <w:szCs w:val="21"/>
        </w:rPr>
        <w:t>图1 系统总体架构</w:t>
      </w:r>
    </w:p>
    <w:p w14:paraId="1F30962D">
      <w:pPr>
        <w:keepNext/>
        <w:spacing w:before="120" w:after="60"/>
        <w:ind w:firstLineChars="0"/>
        <w:jc w:val="left"/>
        <w:rPr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/>
          <w:sz w:val="20"/>
          <w:szCs w:val="24"/>
        </w:rPr>
        <w:t>3.1 声明式规则引擎</w:t>
      </w:r>
    </w:p>
    <w:p w14:paraId="3D976D9F">
      <w:pPr>
        <w:spacing w:before="0" w:after="120" w:line="228" w:lineRule="exact"/>
        <w:ind w:firstLineChars="200"/>
        <w:jc w:val="both"/>
        <w:rPr>
          <w:rFonts w:ascii="Times New Roman" w:hAnsi="Times New Roman" w:eastAsia="宋体"/>
          <w:b w:val="0"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sz w:val="20"/>
          <w:szCs w:val="24"/>
        </w:rPr>
        <w:t>规则以 JSON 条件树描述，算子取白名单，禁用表达式求值与字符串拼接，从机制上排除注入风险。条件求值取三值语义：满足、不满足、不可判定。不可判定（事实缺失、类型不符、算子越界）只跳过该条规则并记录原因；当一个场景的全部规则都不可判定时，未命中原因标注为“可判定”而非“无风险”，避免把证据不足误读成结论正常。为支持“定档”与“关键词补充”并存，设计了三个机制：</w:t>
      </w:r>
      <w:r>
        <w:rPr>
          <w:rFonts w:ascii="Times New Roman" w:hAnsi="Times New Roman" w:eastAsia="宋体" w:cs="Times New Roman"/>
          <w:b/>
          <w:i w:val="0"/>
          <w:sz w:val="20"/>
          <w:szCs w:val="24"/>
        </w:rPr>
        <w:t>rule_group</w:t>
      </w:r>
      <w:r>
        <w:rPr>
          <w:rFonts w:ascii="Times New Roman" w:hAnsi="Times New Roman" w:eastAsia="宋体" w:cs="Times New Roman"/>
          <w:i w:val="0"/>
          <w:sz w:val="20"/>
          <w:szCs w:val="24"/>
        </w:rPr>
        <w:t xml:space="preserve"> 分组收敛，命中即关闭本组而不影响他组；</w:t>
      </w:r>
      <w:r>
        <w:rPr>
          <w:rFonts w:ascii="Times New Roman" w:hAnsi="Times New Roman" w:eastAsia="宋体" w:cs="Times New Roman"/>
          <w:b/>
          <w:i w:val="0"/>
          <w:sz w:val="20"/>
          <w:szCs w:val="24"/>
        </w:rPr>
        <w:t>max_hits</w:t>
      </w:r>
      <w:r>
        <w:rPr>
          <w:rFonts w:ascii="Times New Roman" w:hAnsi="Times New Roman" w:eastAsia="宋体" w:cs="Times New Roman"/>
          <w:i w:val="0"/>
          <w:sz w:val="20"/>
          <w:szCs w:val="24"/>
        </w:rPr>
        <w:t xml:space="preserve"> 限制组内命中上限；</w:t>
      </w:r>
      <w:r>
        <w:rPr>
          <w:rFonts w:ascii="Times New Roman" w:hAnsi="Times New Roman" w:eastAsia="宋体" w:cs="Times New Roman"/>
          <w:b/>
          <w:i w:val="0"/>
          <w:sz w:val="20"/>
          <w:szCs w:val="24"/>
        </w:rPr>
        <w:t>星号_from</w:t>
      </w:r>
      <w:r>
        <w:rPr>
          <w:rFonts w:ascii="Times New Roman" w:hAnsi="Times New Roman" w:eastAsia="宋体" w:cs="Times New Roman"/>
          <w:i w:val="0"/>
          <w:sz w:val="20"/>
          <w:szCs w:val="24"/>
        </w:rPr>
        <w:t xml:space="preserve"> 让动作字段引用其他事实的取值，一条规则因而可服务多类对象。求值前按优先级降序、再按编号升序排序，结果与物理行序无关；多组命中后按严重度去重合并，取最严重者。以考试判定为例，条件体只声明“成绩低于合格线”，比较两侧的取值都来自事实，换课程只需换数据。</w:t>
      </w:r>
    </w:p>
    <w:p w14:paraId="45BB2C6D">
      <w:pPr>
        <w:keepNext/>
        <w:spacing w:before="120" w:after="60"/>
        <w:ind w:firstLineChars="0"/>
        <w:jc w:val="left"/>
        <w:rPr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/>
          <w:sz w:val="20"/>
          <w:szCs w:val="24"/>
        </w:rPr>
        <w:t>3.2 校验与失败处置</w:t>
      </w:r>
    </w:p>
    <w:p w14:paraId="1A15CF92">
      <w:pPr>
        <w:spacing w:before="0" w:after="120" w:line="228" w:lineRule="exact"/>
        <w:ind w:firstLineChars="200"/>
        <w:jc w:val="both"/>
        <w:rPr>
          <w:sz w:val="24"/>
          <w:szCs w:val="24"/>
        </w:rPr>
      </w:pPr>
      <w:r>
        <w:rPr>
          <w:rFonts w:ascii="Times New Roman" w:hAnsi="Times New Roman" w:eastAsia="宋体" w:cs="Times New Roman"/>
          <w:i w:val="0"/>
          <w:sz w:val="20"/>
          <w:szCs w:val="24"/>
        </w:rPr>
        <w:t>模型输出进入治理层后依次经过四道防线，判定对象、处置方式与实现位置见表 2。这四道防线并不是同一种“校验”。</w:t>
      </w:r>
      <w:r>
        <w:rPr>
          <w:rFonts w:ascii="Times New Roman" w:hAnsi="Times New Roman" w:eastAsia="宋体" w:cs="Times New Roman"/>
          <w:b/>
          <w:i w:val="0"/>
          <w:sz w:val="20"/>
          <w:szCs w:val="24"/>
        </w:rPr>
        <w:t>结构契约</w:t>
      </w:r>
      <w:r>
        <w:rPr>
          <w:rFonts w:ascii="Times New Roman" w:hAnsi="Times New Roman" w:eastAsia="宋体" w:cs="Times New Roman"/>
          <w:i w:val="0"/>
          <w:sz w:val="20"/>
          <w:szCs w:val="24"/>
        </w:rPr>
        <w:t>是硬判定，不合格整份作废并回退规则结论，系统不设自动重写——重写会把一次失败变成两次模型调用，还不能保证第二次更好，而规则结论本来就可用了。</w:t>
      </w:r>
      <w:r>
        <w:rPr>
          <w:rFonts w:ascii="Times New Roman" w:hAnsi="Times New Roman" w:eastAsia="宋体" w:cs="Times New Roman"/>
          <w:b/>
          <w:i w:val="0"/>
          <w:sz w:val="20"/>
          <w:szCs w:val="24"/>
        </w:rPr>
        <w:t>数值对账</w:t>
      </w:r>
      <w:r>
        <w:rPr>
          <w:rFonts w:ascii="Times New Roman" w:hAnsi="Times New Roman" w:eastAsia="宋体" w:cs="Times New Roman"/>
          <w:i w:val="0"/>
          <w:sz w:val="20"/>
          <w:szCs w:val="24"/>
        </w:rPr>
        <w:t>是软判定，只留痕并把置信度封顶。</w:t>
      </w:r>
      <w:r>
        <w:rPr>
          <w:rFonts w:ascii="Times New Roman" w:hAnsi="Times New Roman" w:eastAsia="宋体" w:cs="Times New Roman"/>
          <w:b/>
          <w:i w:val="0"/>
          <w:sz w:val="20"/>
          <w:szCs w:val="24"/>
        </w:rPr>
        <w:t>输入端授权</w:t>
      </w:r>
      <w:r>
        <w:rPr>
          <w:rFonts w:ascii="Times New Roman" w:hAnsi="Times New Roman" w:eastAsia="宋体" w:cs="Times New Roman"/>
          <w:i w:val="0"/>
          <w:sz w:val="20"/>
          <w:szCs w:val="24"/>
        </w:rPr>
        <w:t>发生在装配事实之前，越权请求连数据都取不到，也就不存在“越权数据已进入上下文、再裁剪输出”的问题。</w:t>
      </w:r>
      <w:r>
        <w:rPr>
          <w:rFonts w:ascii="Times New Roman" w:hAnsi="Times New Roman" w:eastAsia="宋体" w:cs="Times New Roman"/>
          <w:b/>
          <w:i w:val="0"/>
          <w:sz w:val="20"/>
          <w:szCs w:val="24"/>
        </w:rPr>
        <w:t>安全处置</w:t>
      </w:r>
      <w:r>
        <w:rPr>
          <w:rFonts w:ascii="Times New Roman" w:hAnsi="Times New Roman" w:eastAsia="宋体" w:cs="Times New Roman"/>
          <w:i w:val="0"/>
          <w:sz w:val="20"/>
          <w:szCs w:val="24"/>
        </w:rPr>
        <w:t>不在校验器里，而在规则层由 SAFETY 分组硬处置，事实清单第 8 组固定给出安全记录，提示词同时要求“一票否决须作为最高优先级点名”。失败路径与来源标记见图 2，对外来源标记只取 rule 与 model 两值，更换模型服务不改业务接口与前端。</w:t>
      </w:r>
    </w:p>
    <w:p w14:paraId="30A16834">
      <w:pPr>
        <w:spacing w:before="80" w:after="120"/>
        <w:jc w:val="center"/>
        <w:rPr>
          <w:rFonts w:ascii="Times New Roman" w:hAnsi="Times New Roman" w:eastAsia="宋体"/>
          <w:b w:val="0"/>
          <w:i w:val="0"/>
          <w:sz w:val="18"/>
          <w:szCs w:val="18"/>
        </w:rPr>
      </w:pPr>
      <w:r>
        <w:rPr>
          <w:rFonts w:ascii="Times New Roman" w:hAnsi="Times New Roman" w:eastAsia="宋体" w:cs="Times New Roman"/>
          <w:i w:val="0"/>
          <w:sz w:val="18"/>
          <w:szCs w:val="18"/>
        </w:rPr>
        <w:t>表2 四道防线的判定对象与处置方式</w:t>
      </w:r>
    </w:p>
    <w:tbl>
      <w:tblPr>
        <w:tblStyle w:val="33"/>
        <w:tblW w:w="99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" w:type="dxa"/>
          <w:left w:w="57" w:type="dxa"/>
          <w:bottom w:w="14" w:type="dxa"/>
          <w:right w:w="57" w:type="dxa"/>
        </w:tblCellMar>
      </w:tblPr>
      <w:tblGrid>
        <w:gridCol w:w="832"/>
        <w:gridCol w:w="2428"/>
        <w:gridCol w:w="2447"/>
        <w:gridCol w:w="2555"/>
        <w:gridCol w:w="1656"/>
      </w:tblGrid>
      <w:tr w14:paraId="11679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427" w:hRule="atLeast"/>
          <w:tblHeader/>
          <w:jc w:val="center"/>
        </w:trPr>
        <w:tc>
          <w:tcPr>
            <w:tcW w:w="832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CFE386B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  <w:szCs w:val="18"/>
              </w:rPr>
              <w:t>防线</w:t>
            </w:r>
          </w:p>
        </w:tc>
        <w:tc>
          <w:tcPr>
            <w:tcW w:w="2428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4EC842B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  <w:szCs w:val="18"/>
              </w:rPr>
              <w:t>判定对象与依据</w:t>
            </w:r>
          </w:p>
        </w:tc>
        <w:tc>
          <w:tcPr>
            <w:tcW w:w="2447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B525DBF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  <w:szCs w:val="18"/>
              </w:rPr>
              <w:t>不通过时的处置</w:t>
            </w:r>
          </w:p>
        </w:tc>
        <w:tc>
          <w:tcPr>
            <w:tcW w:w="2555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1A58B1E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  <w:szCs w:val="18"/>
              </w:rPr>
              <w:t>实现位置</w:t>
            </w:r>
          </w:p>
        </w:tc>
        <w:tc>
          <w:tcPr>
            <w:tcW w:w="1656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4741106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关键机制</w:t>
            </w:r>
          </w:p>
        </w:tc>
      </w:tr>
      <w:tr w14:paraId="3424F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434" w:hRule="atLeast"/>
          <w:jc w:val="center"/>
        </w:trPr>
        <w:tc>
          <w:tcPr>
            <w:tcW w:w="83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9C8ED78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结构契约</w:t>
            </w:r>
          </w:p>
        </w:tc>
        <w:tc>
          <w:tcPr>
            <w:tcW w:w="242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181C552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六键字段完整性、枚举取值、等级区间、技能不重复、日期格式</w:t>
            </w:r>
          </w:p>
        </w:tc>
        <w:tc>
          <w:tcPr>
            <w:tcW w:w="244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B6503DF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整份结论作废，回退规则结论并写入fallback_note；不重试</w:t>
            </w:r>
          </w:p>
        </w:tc>
        <w:tc>
          <w:tcPr>
            <w:tcW w:w="255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E457747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DiagnosisContract.validatePersonal</w:t>
            </w:r>
          </w:p>
        </w:tc>
        <w:tc>
          <w:tcPr>
            <w:tcW w:w="165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37FD24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JSON契约校验、枚举白名单</w:t>
            </w:r>
          </w:p>
        </w:tc>
      </w:tr>
      <w:tr w14:paraId="1E7FF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427" w:hRule="atLeast"/>
          <w:jc w:val="center"/>
        </w:trPr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B295AC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数值对账</w:t>
            </w:r>
          </w:p>
        </w:tc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6D99DA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总述、结论理由与计划理由中出现的数字，须落在事实清单的数字集合内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C3CE3D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不拦截结论，记入unverified_numbers，置信度封顶0.6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3D391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DiagnosisPipeline.finish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A27E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事实数字集合比对、置信度封顶</w:t>
            </w:r>
          </w:p>
        </w:tc>
      </w:tr>
      <w:tr w14:paraId="1D5B3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540" w:hRule="atLeast"/>
          <w:jc w:val="center"/>
        </w:trPr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949973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输入端授权</w:t>
            </w:r>
          </w:p>
        </w:tc>
        <w:tc>
          <w:tcPr>
            <w:tcW w:w="2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2E2FF1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令牌投影出的角色与接口路径前缀白名单（员工／组长／老总／管理员）</w:t>
            </w:r>
          </w:p>
        </w:tc>
        <w:tc>
          <w:tcPr>
            <w:tcW w:w="24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3DD5F8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直接返回403，请求不进入事实装配，也不进入模型上下文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AE4287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rbac/RoleInterceptor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47A9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角色令牌投影、路径前缀白名单（RBAC）</w:t>
            </w:r>
          </w:p>
        </w:tc>
      </w:tr>
      <w:tr w14:paraId="5BD14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577" w:hRule="atLeast"/>
          <w:jc w:val="center"/>
        </w:trPr>
        <w:tc>
          <w:tcPr>
            <w:tcW w:w="832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7C4802CA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安全处置</w:t>
            </w:r>
          </w:p>
        </w:tc>
        <w:tc>
          <w:tcPr>
            <w:tcW w:w="2428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7B0AA180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safety_record的一票否决标志与风险等级</w:t>
            </w:r>
          </w:p>
        </w:tc>
        <w:tc>
          <w:tcPr>
            <w:tcW w:w="2447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2FDAC2A0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由SAFETY规则组硬处置，结论须点名；第8组事实固定给出</w:t>
            </w:r>
          </w:p>
        </w:tc>
        <w:tc>
          <w:tcPr>
            <w:tcW w:w="2555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523DA10B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规则层SAFETY分组</w:t>
            </w:r>
          </w:p>
        </w:tc>
        <w:tc>
          <w:tcPr>
            <w:tcW w:w="1656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1B1E086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SAFETY规则组、一票否决</w:t>
            </w:r>
          </w:p>
        </w:tc>
      </w:tr>
    </w:tbl>
    <w:p w14:paraId="68AD7B8F">
      <w:pPr>
        <w:spacing w:after="40" w:line="80" w:lineRule="exact"/>
        <w:rPr>
          <w:sz w:val="24"/>
          <w:szCs w:val="24"/>
        </w:rPr>
      </w:pPr>
    </w:p>
    <w:p w14:paraId="3E4EA3D7">
      <w:pPr>
        <w:spacing w:before="120" w:after="40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3072130" cy="2095500"/>
            <wp:effectExtent l="0" t="0" r="4445" b="0"/>
            <wp:docPr id="2" name="Picture 2" descr="C:/Users/admin/Desktop/论文图片_重绘/1.pn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admin/Desktop/论文图片_重绘/1.png1"/>
                    <pic:cNvPicPr>
                      <a:picLocks noChangeAspect="1"/>
                    </pic:cNvPicPr>
                  </pic:nvPicPr>
                  <pic:blipFill>
                    <a:blip r:embed="rId7"/>
                    <a:srcRect t="310" b="310"/>
                    <a:stretch>
                      <a:fillRect/>
                    </a:stretch>
                  </pic:blipFill>
                  <pic:spPr>
                    <a:xfrm>
                      <a:off x="0" y="0"/>
                      <a:ext cx="307213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906B">
      <w:pPr>
        <w:spacing w:before="80" w:after="120"/>
        <w:jc w:val="center"/>
        <w:rPr>
          <w:rFonts w:ascii="Times New Roman" w:hAnsi="Times New Roman" w:eastAsia="宋体"/>
          <w:b w:val="0"/>
          <w:i w:val="0"/>
          <w:sz w:val="21"/>
          <w:szCs w:val="21"/>
        </w:rPr>
      </w:pPr>
      <w:r>
        <w:rPr>
          <w:rFonts w:ascii="Times New Roman" w:hAnsi="Times New Roman" w:eastAsia="宋体" w:cs="Times New Roman"/>
          <w:i w:val="0"/>
          <w:sz w:val="16"/>
          <w:szCs w:val="21"/>
        </w:rPr>
        <w:t>图2 四道防线与失败处置</w:t>
      </w:r>
    </w:p>
    <w:p w14:paraId="2525570C">
      <w:pPr>
        <w:keepNext/>
        <w:spacing w:before="160" w:after="80"/>
        <w:ind w:firstLineChars="0"/>
        <w:jc w:val="left"/>
        <w:rPr>
          <w:rFonts w:ascii="Times New Roman" w:hAnsi="Times New Roman" w:eastAsia="黑体"/>
          <w:b/>
          <w:i w:val="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i w:val="0"/>
          <w:smallCaps/>
          <w:sz w:val="20"/>
          <w:szCs w:val="28"/>
          <w:lang w:val="en-US" w:eastAsia="zh-CN"/>
        </w:rPr>
        <w:t xml:space="preserve">4 </w:t>
      </w:r>
      <w:r>
        <w:rPr>
          <w:rFonts w:ascii="Times New Roman" w:hAnsi="Times New Roman" w:eastAsia="宋体" w:cs="Times New Roman"/>
          <w:b/>
          <w:i w:val="0"/>
          <w:smallCaps/>
          <w:sz w:val="20"/>
          <w:szCs w:val="28"/>
        </w:rPr>
        <w:t>关键实现</w:t>
      </w:r>
    </w:p>
    <w:p w14:paraId="05DBFDEC">
      <w:pPr>
        <w:keepNext/>
        <w:spacing w:before="120" w:after="60"/>
        <w:ind w:firstLineChars="0"/>
        <w:jc w:val="left"/>
        <w:rPr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/>
          <w:sz w:val="20"/>
          <w:szCs w:val="24"/>
        </w:rPr>
        <w:t>4.1 规则集与事实适配</w:t>
      </w:r>
    </w:p>
    <w:p w14:paraId="3E45F350">
      <w:pPr>
        <w:spacing w:before="0" w:after="120" w:line="228" w:lineRule="exact"/>
        <w:ind w:firstLineChars="200"/>
        <w:jc w:val="both"/>
        <w:rPr>
          <w:sz w:val="24"/>
          <w:szCs w:val="24"/>
        </w:rPr>
      </w:pPr>
      <w:r>
        <w:rPr>
          <w:rFonts w:ascii="Times New Roman" w:hAnsi="Times New Roman" w:eastAsia="宋体" w:cs="Times New Roman"/>
          <w:i w:val="0"/>
          <w:sz w:val="20"/>
          <w:szCs w:val="24"/>
        </w:rPr>
        <w:t>规则库共 22 条，覆盖五个业务场景，其中 20 条参与求值，2 条作为历史版本保留、用于回溯既有结论，分布见表 3。建模时遵循两条原则。一是</w:t>
      </w:r>
      <w:r>
        <w:rPr>
          <w:rFonts w:ascii="Times New Roman" w:hAnsi="Times New Roman" w:eastAsia="宋体" w:cs="Times New Roman"/>
          <w:b/>
          <w:i w:val="0"/>
          <w:sz w:val="20"/>
          <w:szCs w:val="24"/>
        </w:rPr>
        <w:t>阈值引用事实</w:t>
      </w:r>
      <w:r>
        <w:rPr>
          <w:rFonts w:ascii="Times New Roman" w:hAnsi="Times New Roman" w:eastAsia="宋体" w:cs="Times New Roman"/>
          <w:i w:val="0"/>
          <w:sz w:val="20"/>
          <w:szCs w:val="24"/>
        </w:rPr>
        <w:t>而非写入字面量：课程合格线取自课程表，岗位要求等级取自岗位表，同一条规则因此可适配 80 分与 85 分、L2 至 L4 等不同口径，业务口径变更时只改数据、不动规则。二是</w:t>
      </w:r>
      <w:r>
        <w:rPr>
          <w:rFonts w:ascii="Times New Roman" w:hAnsi="Times New Roman" w:eastAsia="宋体" w:cs="Times New Roman"/>
          <w:b/>
          <w:i w:val="0"/>
          <w:sz w:val="20"/>
          <w:szCs w:val="24"/>
        </w:rPr>
        <w:t>组合优于枚举</w:t>
      </w:r>
      <w:r>
        <w:rPr>
          <w:rFonts w:ascii="Times New Roman" w:hAnsi="Times New Roman" w:eastAsia="宋体" w:cs="Times New Roman"/>
          <w:i w:val="0"/>
          <w:sz w:val="20"/>
          <w:szCs w:val="24"/>
        </w:rPr>
        <w:t>：气体归因的结论与处置措施经星号_from 从气体配置取值，五条定档规则就能服务全部气体类型，否则规则数会随气体种类线性增长。另需区分两类输入：人员等级、成绩、耗时比属观测事实，由台账查询得到；合格线、要求等级、气体阈值属业务配置，由岗位标准与规程给定并随规则版本一同发布，二者在事实清单中以来源标签区分。</w:t>
      </w:r>
    </w:p>
    <w:p w14:paraId="7666A861">
      <w:pPr>
        <w:spacing w:before="80" w:after="120"/>
        <w:jc w:val="center"/>
        <w:rPr>
          <w:rFonts w:ascii="Times New Roman" w:hAnsi="Times New Roman" w:eastAsia="宋体"/>
          <w:b w:val="0"/>
          <w:i w:val="0"/>
          <w:sz w:val="21"/>
          <w:szCs w:val="21"/>
        </w:rPr>
      </w:pPr>
      <w:r>
        <w:rPr>
          <w:rFonts w:ascii="Times New Roman" w:hAnsi="Times New Roman" w:eastAsia="宋体" w:cs="Times New Roman"/>
          <w:i w:val="0"/>
          <w:sz w:val="16"/>
          <w:szCs w:val="21"/>
        </w:rPr>
        <w:t>表3 规则集在五个业务场景上的分布</w:t>
      </w:r>
    </w:p>
    <w:tbl>
      <w:tblPr>
        <w:tblStyle w:val="33"/>
        <w:tblW w:w="96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" w:type="dxa"/>
          <w:left w:w="57" w:type="dxa"/>
          <w:bottom w:w="14" w:type="dxa"/>
          <w:right w:w="57" w:type="dxa"/>
        </w:tblCellMar>
      </w:tblPr>
      <w:tblGrid>
        <w:gridCol w:w="3121"/>
        <w:gridCol w:w="630"/>
        <w:gridCol w:w="621"/>
        <w:gridCol w:w="3262"/>
        <w:gridCol w:w="1986"/>
      </w:tblGrid>
      <w:tr w14:paraId="55C2F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blHeader/>
          <w:jc w:val="center"/>
        </w:trPr>
        <w:tc>
          <w:tcPr>
            <w:tcW w:w="3121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28366EF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4"/>
              </w:rPr>
              <w:t>场景</w:t>
            </w:r>
          </w:p>
        </w:tc>
        <w:tc>
          <w:tcPr>
            <w:tcW w:w="630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656B734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4"/>
              </w:rPr>
              <w:t>规则数</w:t>
            </w:r>
          </w:p>
        </w:tc>
        <w:tc>
          <w:tcPr>
            <w:tcW w:w="621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741DBD4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4"/>
              </w:rPr>
              <w:t>启用</w:t>
            </w:r>
          </w:p>
        </w:tc>
        <w:tc>
          <w:tcPr>
            <w:tcW w:w="3262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703351C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4"/>
              </w:rPr>
              <w:t>判定对象</w:t>
            </w:r>
          </w:p>
        </w:tc>
        <w:tc>
          <w:tcPr>
            <w:tcW w:w="1986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1C7AA08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4"/>
              </w:rPr>
              <w:t>阈值来源</w:t>
            </w:r>
          </w:p>
        </w:tc>
      </w:tr>
      <w:tr w14:paraId="66EFF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312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C155FC9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个人能力差距PERSONAL_GAP</w:t>
            </w:r>
          </w:p>
        </w:tc>
        <w:tc>
          <w:tcPr>
            <w:tcW w:w="63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B99627E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4</w:t>
            </w:r>
          </w:p>
        </w:tc>
        <w:tc>
          <w:tcPr>
            <w:tcW w:w="62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A0DBE7B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3</w:t>
            </w:r>
          </w:p>
        </w:tc>
        <w:tc>
          <w:tcPr>
            <w:tcW w:w="326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AB9776D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证书等级与岗位授权门槛、安全记录</w:t>
            </w:r>
          </w:p>
        </w:tc>
        <w:tc>
          <w:tcPr>
            <w:tcW w:w="198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900E34A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岗位要求等级、安全记录类型</w:t>
            </w:r>
          </w:p>
        </w:tc>
      </w:tr>
      <w:tr w14:paraId="4261B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31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B7A6B3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考试判定EXAM_RESULT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6AEDE0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2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05C50D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1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757312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课程成绩与课程合格线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FF8F8B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课程表pass_score</w:t>
            </w:r>
          </w:p>
        </w:tc>
      </w:tr>
      <w:tr w14:paraId="2F9DF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31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885B40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人才缺口TALENT_GAP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EFB5DC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2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AC863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2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BDBCDB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班组备份力量、未来需求缺口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48E14C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班组编制、需求预测</w:t>
            </w:r>
          </w:p>
        </w:tc>
      </w:tr>
      <w:tr w14:paraId="6EC93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31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A9ACF5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实操报告归因REPORT_ANALYSIS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2929B5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2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E363FF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2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F7E9D3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耗时比与原因归属（技能类／人为类）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B0CE34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同类任务计划耗时</w:t>
            </w:r>
          </w:p>
        </w:tc>
      </w:tr>
      <w:tr w14:paraId="009EC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31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D43B50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气体检测归因REPORT_GAS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516900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12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BEF32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12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8E4E4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余量比定档（5条）与七类异常关键词（7条）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A8E45B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气体阈值与标准值</w:t>
            </w:r>
          </w:p>
        </w:tc>
      </w:tr>
      <w:tr w14:paraId="71280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3121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05D64125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合计</w:t>
            </w:r>
          </w:p>
        </w:tc>
        <w:tc>
          <w:tcPr>
            <w:tcW w:w="630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360845A7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22</w:t>
            </w:r>
          </w:p>
        </w:tc>
        <w:tc>
          <w:tcPr>
            <w:tcW w:w="621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06C7EEAB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20</w:t>
            </w:r>
          </w:p>
        </w:tc>
        <w:tc>
          <w:tcPr>
            <w:tcW w:w="3262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7D8BFE5B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——</w:t>
            </w:r>
          </w:p>
        </w:tc>
        <w:tc>
          <w:tcPr>
            <w:tcW w:w="1986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13D021A8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均为事实引用</w:t>
            </w:r>
          </w:p>
        </w:tc>
      </w:tr>
    </w:tbl>
    <w:p w14:paraId="3BCD1FCF">
      <w:pPr>
        <w:spacing w:after="40" w:line="80" w:lineRule="exact"/>
        <w:rPr>
          <w:sz w:val="24"/>
          <w:szCs w:val="24"/>
        </w:rPr>
      </w:pPr>
    </w:p>
    <w:p w14:paraId="25F907B9">
      <w:pPr>
        <w:spacing w:before="0" w:after="120" w:line="228" w:lineRule="exact"/>
        <w:ind w:firstLineChars="200"/>
        <w:jc w:val="both"/>
        <w:rPr>
          <w:sz w:val="24"/>
          <w:szCs w:val="24"/>
        </w:rPr>
      </w:pPr>
      <w:r>
        <w:rPr>
          <w:rFonts w:ascii="Times New Roman" w:hAnsi="Times New Roman" w:eastAsia="宋体" w:cs="Times New Roman"/>
          <w:i w:val="0"/>
          <w:sz w:val="20"/>
          <w:szCs w:val="24"/>
        </w:rPr>
        <w:t>事实适配层只读人事、考试、实操与安全四类台账，把档案组装为带编号与来源标签的事实清单。每个场景只允许一个事实来源，且不读取历史诊断结论，以抑制结论回灌。这只能减少反馈污染；要让重复回放的输入一致，还须固定台账快照与规则版本，本文的回放实验正是在这一前提下进行的。技能差距清单由后端按技能雷达预先归并给定，模型只能引用、不得增删——这一约束把“哪些技能构成缺口”从生成任务降为转述任务，是输出稳定的前提。</w:t>
      </w:r>
    </w:p>
    <w:p w14:paraId="4F0FF3FE">
      <w:pPr>
        <w:spacing w:before="0" w:after="120" w:line="228" w:lineRule="exact"/>
        <w:ind w:firstLineChars="200"/>
        <w:jc w:val="both"/>
        <w:rPr>
          <w:sz w:val="24"/>
          <w:szCs w:val="24"/>
        </w:rPr>
      </w:pPr>
      <w:r>
        <w:rPr>
          <w:rFonts w:ascii="Times New Roman" w:hAnsi="Times New Roman" w:eastAsia="宋体" w:cs="Times New Roman"/>
          <w:i w:val="0"/>
          <w:sz w:val="20"/>
          <w:szCs w:val="24"/>
        </w:rPr>
        <w:t>差距量化的口径如下：岗位差距取要求等级与现状等级之差，未来需求差距取未来需求与现状等级之差，均截断为非负；考试、实操、证书与安全四项偏差分别归一化到 [0,1]。六项加权得到补强优先级，见式（1），权重由业务侧按管理侧重配置；再按式（2）映射为 P1 至 P3 三档，阈值同样由业务侧给定。排期顺序因此与规则判定同源，不由模型自由决定。</w:t>
      </w:r>
    </w:p>
    <w:p w14:paraId="1E0B326B">
      <w:pPr>
        <w:spacing w:before="120" w:after="120" w:line="240" w:lineRule="atLeast"/>
        <w:ind w:firstLineChars="0"/>
        <w:jc w:val="center"/>
        <w:rPr>
          <w:sz w:val="24"/>
          <w:szCs w:val="24"/>
        </w:rPr>
      </w:pPr>
      <m:oMath>
        <m:r>
          <m:rPr>
            <m:sty m:val="p"/>
          </m:rPr>
          <w:rPr>
            <w:rFonts w:ascii="Times New Roman" w:hAnsi="Times New Roman" w:eastAsia="宋体"/>
            <w:sz w:val="20"/>
            <w:szCs w:val="20"/>
          </w:rPr>
          <w:object>
            <v:shape id="_x0000_i1025" o:spt="75" type="#_x0000_t75" style="height:19pt;width:249pt;" o:ole="t" filled="f" o:preferrelative="t" stroked="f" coordsize="21600,21600">
              <v:path/>
              <v:fill on="f" focussize="0,0"/>
              <v:stroke on="f"/>
              <v:imagedata r:id="rId9" o:title=""/>
              <o:lock v:ext="edit" aspectratio="f"/>
              <w10:wrap type="none"/>
              <w10:anchorlock/>
            </v:shape>
            <o:OLEObject Type="Embed" ProgID="Equation.DSMT4" ShapeID="_x0000_i1025" DrawAspect="Content" ObjectID="_1468075725" r:id="rId8">
              <o:LockedField>false</o:LockedField>
            </o:OLEObject>
          </w:object>
        </m:r>
      </m:oMath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ab/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（1）</w:t>
      </w:r>
    </w:p>
    <w:p w14:paraId="461AC5BA">
      <w:pPr>
        <w:spacing w:before="120" w:after="120" w:line="240" w:lineRule="atLeast"/>
        <w:ind w:firstLineChars="0"/>
        <w:jc w:val="center"/>
        <w:rPr>
          <w:rFonts w:ascii="Times New Roman" w:hAnsi="Times New Roman" w:eastAsia="宋体"/>
          <w:b w:val="0"/>
          <w:i w:val="0"/>
          <w:sz w:val="24"/>
          <w:szCs w:val="24"/>
        </w:rPr>
      </w:pPr>
      <m:oMath>
        <m:r>
          <m:rPr>
            <m:sty m:val="p"/>
          </m:rPr>
          <w:rPr>
            <w:rFonts w:hint="default" w:ascii="Cambria Math" w:hAnsi="Cambria Math" w:eastAsia="宋体"/>
            <w:sz w:val="20"/>
            <w:szCs w:val="20"/>
          </w:rPr>
          <w:object>
            <v:shape id="_x0000_i1026" o:spt="75" type="#_x0000_t75" style="height:31pt;width:123pt;" o:ole="t" filled="f" o:preferrelative="t" stroked="f" coordsize="21600,21600">
              <v:path/>
              <v:fill on="f" focussize="0,0"/>
              <v:stroke on="f"/>
              <v:imagedata r:id="rId11" o:title=""/>
              <o:lock v:ext="edit" aspectratio="f"/>
              <w10:wrap type="none"/>
              <w10:anchorlock/>
            </v:shape>
            <o:OLEObject Type="Embed" ProgID="Equation.DSMT4" ShapeID="_x0000_i1026" DrawAspect="Content" ObjectID="_1468075726" r:id="rId10">
              <o:LockedField>false</o:LockedField>
            </o:OLEObject>
          </w:object>
        </m:r>
      </m:oMath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ab/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（2）</w:t>
      </w:r>
    </w:p>
    <w:p w14:paraId="6D187769">
      <w:pPr>
        <w:keepNext/>
        <w:spacing w:before="120" w:after="60"/>
        <w:ind w:firstLineChars="0"/>
        <w:jc w:val="left"/>
        <w:rPr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/>
          <w:sz w:val="20"/>
          <w:szCs w:val="24"/>
        </w:rPr>
        <w:t>4.2 输出契约、语料与微调</w:t>
      </w:r>
    </w:p>
    <w:p w14:paraId="5B63B121">
      <w:pPr>
        <w:spacing w:before="0" w:after="120" w:line="228" w:lineRule="exact"/>
        <w:ind w:firstLineChars="200"/>
        <w:jc w:val="both"/>
        <w:rPr>
          <w:sz w:val="24"/>
          <w:szCs w:val="24"/>
        </w:rPr>
      </w:pPr>
      <w:r>
        <w:rPr>
          <w:rFonts w:ascii="Times New Roman" w:hAnsi="Times New Roman" w:eastAsia="宋体" w:cs="Times New Roman"/>
          <w:i w:val="0"/>
          <w:sz w:val="20"/>
          <w:szCs w:val="24"/>
        </w:rPr>
        <w:t>模型按六键契约输出：summary 为总述，confidence 为置信度，verdict 含结论标题与理由，gaps 为差距项（技能、现状、要求、未来、影响、severity、priority），plan 为学习计划（类型、目标技能、目标等级、完成日期、理由），compound_path 为跨技能复合路径。诊断编号、运行时间、来源标记、证据条数与人工确认标志均由后端补写，模型不参与生成。这一分工是四道防线得以实施的前提：结构字段归代码负责，模型只写叙述字段。</w:t>
      </w:r>
    </w:p>
    <w:p w14:paraId="6E972530">
      <w:pPr>
        <w:spacing w:before="0" w:after="120" w:line="228" w:lineRule="exact"/>
        <w:ind w:firstLineChars="200"/>
        <w:jc w:val="both"/>
        <w:rPr>
          <w:sz w:val="24"/>
          <w:szCs w:val="24"/>
        </w:rPr>
      </w:pPr>
      <w:r>
        <w:rPr>
          <w:rFonts w:ascii="Times New Roman" w:hAnsi="Times New Roman" w:eastAsia="宋体" w:cs="Times New Roman"/>
          <w:i w:val="0"/>
          <w:sz w:val="20"/>
          <w:szCs w:val="24"/>
        </w:rPr>
        <w:t>第一版语料按“固定指令、档案散文、十一键目标输出”组织，共 150 条，接入线上服务时暴露出三处不匹配：提示词不同形——线上是日期、事实清单、缺口清单与输出模板四段式，该版按档案分段拼接；契约不同形——六键与十一键仅差距项同名，150 条目标答案全部无法通过校验；答案不完整——答案长度中位 1795 token，而首轮窗口只有 1024，约 78% 的答案 token 被截断。第二版据此重建成 500 条：生成器照后端源码逐字复刻四段式提示词，档案只作事实来源；每条样本重新采样事实组合，差距项为 1、2、3 项的样本分别有 124、232、144 条，覆盖 49 个岗位，提示词互不重复。窗口取 4096，依据是单条长度中位 3432 token、95 分位 3806、最大 3924；第一版总长中位仅 2368 token 却在 1024 下被截断，说明制约因素是答案占比而非总长。</w:t>
      </w:r>
    </w:p>
    <w:p w14:paraId="29E03E8E">
      <w:pPr>
        <w:spacing w:before="0" w:after="120" w:line="228" w:lineRule="exact"/>
        <w:ind w:firstLineChars="200"/>
        <w:jc w:val="both"/>
        <w:rPr>
          <w:rFonts w:ascii="Times New Roman" w:hAnsi="Times New Roman" w:eastAsia="宋体"/>
          <w:b w:val="0"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sz w:val="20"/>
          <w:szCs w:val="24"/>
        </w:rPr>
        <w:t>微调以 Qwen2.5-3B-Instruct</w:t>
      </w:r>
      <w:r>
        <w:rPr>
          <w:rFonts w:ascii="Times New Roman" w:hAnsi="Times New Roman" w:eastAsia="宋体" w:cs="Times New Roman"/>
          <w:i w:val="0"/>
          <w:sz w:val="20"/>
          <w:szCs w:val="24"/>
          <w:vertAlign w:val="superscript"/>
        </w:rPr>
        <w:t>[11]</w:t>
      </w:r>
      <w:r>
        <w:rPr>
          <w:rFonts w:ascii="Times New Roman" w:hAnsi="Times New Roman" w:eastAsia="宋体" w:cs="Times New Roman"/>
          <w:i w:val="0"/>
          <w:sz w:val="20"/>
          <w:szCs w:val="24"/>
        </w:rPr>
        <w:t>为基座，采用低秩适配</w:t>
      </w:r>
      <w:r>
        <w:rPr>
          <w:rFonts w:ascii="Times New Roman" w:hAnsi="Times New Roman" w:eastAsia="宋体" w:cs="Times New Roman"/>
          <w:i w:val="0"/>
          <w:sz w:val="20"/>
          <w:szCs w:val="24"/>
          <w:vertAlign w:val="superscript"/>
        </w:rPr>
        <w:t>[12]</w:t>
      </w:r>
      <w:r>
        <w:rPr>
          <w:rFonts w:ascii="Times New Roman" w:hAnsi="Times New Roman" w:eastAsia="宋体" w:cs="Times New Roman"/>
          <w:i w:val="0"/>
          <w:sz w:val="20"/>
          <w:szCs w:val="24"/>
        </w:rPr>
        <w:t>与 4-bit 量化</w:t>
      </w:r>
      <w:r>
        <w:rPr>
          <w:rFonts w:ascii="Times New Roman" w:hAnsi="Times New Roman" w:eastAsia="宋体" w:cs="Times New Roman"/>
          <w:i w:val="0"/>
          <w:sz w:val="20"/>
          <w:szCs w:val="24"/>
          <w:vertAlign w:val="superscript"/>
        </w:rPr>
        <w:t>[13]</w:t>
      </w:r>
      <w:r>
        <w:rPr>
          <w:rFonts w:ascii="Times New Roman" w:hAnsi="Times New Roman" w:eastAsia="宋体" w:cs="Times New Roman"/>
          <w:i w:val="0"/>
          <w:sz w:val="20"/>
          <w:szCs w:val="24"/>
        </w:rPr>
        <w:t>，只训练注意力与全连接层的七个投影矩阵，秩取 16、缩放系数 32，批大小 1 并累积 8 步，学习率 1e-4 余弦退火，共 5 轮 300 步。可训练参数 2994 万，占全量的 0.96%，产物为 120 MB 的适配器。部署形态为 Spring Boot 与 MySQL 8 后端、Vue3 前端，推理服务以 LLaMA-Factory</w:t>
      </w:r>
      <w:r>
        <w:rPr>
          <w:rFonts w:ascii="Times New Roman" w:hAnsi="Times New Roman" w:eastAsia="宋体" w:cs="Times New Roman"/>
          <w:i w:val="0"/>
          <w:sz w:val="20"/>
          <w:szCs w:val="24"/>
          <w:vertAlign w:val="superscript"/>
        </w:rPr>
        <w:t>[14]</w:t>
      </w:r>
      <w:r>
        <w:rPr>
          <w:rFonts w:ascii="Times New Roman" w:hAnsi="Times New Roman" w:eastAsia="宋体" w:cs="Times New Roman"/>
          <w:i w:val="0"/>
          <w:sz w:val="20"/>
          <w:szCs w:val="24"/>
        </w:rPr>
        <w:t xml:space="preserve"> 的 api 模式对外提供 OpenAI 兼容接口，采样温度固定 0.2，输出强制为 JSON 对象。模型路径端到端为百秒级，实际部署宜按“规则结论先行、模型叙述补入后提示复核”的方式使用，两者以来源标记区分，最终仍由人工确认。</w:t>
      </w:r>
    </w:p>
    <w:p w14:paraId="7A43A9C4">
      <w:pPr>
        <w:jc w:val="both"/>
        <w:rPr>
          <w:rFonts w:ascii="Times New Roman" w:hAnsi="Times New Roman" w:eastAsia="黑体"/>
          <w:b/>
          <w:i w:val="0"/>
          <w:sz w:val="28"/>
          <w:szCs w:val="28"/>
        </w:rPr>
      </w:pPr>
    </w:p>
    <w:p w14:paraId="7430F26D">
      <w:pPr>
        <w:keepNext/>
        <w:spacing w:before="160" w:after="80"/>
        <w:ind w:firstLineChars="0"/>
        <w:jc w:val="left"/>
        <w:rPr>
          <w:rFonts w:ascii="Times New Roman" w:hAnsi="Times New Roman" w:eastAsia="黑体"/>
          <w:b/>
          <w:i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i w:val="0"/>
          <w:smallCaps/>
          <w:sz w:val="20"/>
          <w:szCs w:val="28"/>
        </w:rPr>
        <w:t>5</w:t>
      </w:r>
      <w:r>
        <w:rPr>
          <w:rFonts w:hint="eastAsia" w:ascii="Times New Roman" w:hAnsi="Times New Roman" w:eastAsia="宋体" w:cs="Times New Roman"/>
          <w:b/>
          <w:i w:val="0"/>
          <w:smallCaps/>
          <w:sz w:val="20"/>
          <w:szCs w:val="28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b/>
          <w:i w:val="0"/>
          <w:smallCaps/>
          <w:sz w:val="20"/>
          <w:szCs w:val="28"/>
        </w:rPr>
        <w:t>实验与结果分析</w:t>
      </w:r>
    </w:p>
    <w:p w14:paraId="38214C17">
      <w:pPr>
        <w:keepNext/>
        <w:spacing w:before="120" w:after="60"/>
        <w:ind w:firstLineChars="0"/>
        <w:jc w:val="left"/>
        <w:rPr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/>
          <w:sz w:val="20"/>
          <w:szCs w:val="24"/>
        </w:rPr>
        <w:t>5.1 实验设置与数据关系</w:t>
      </w:r>
    </w:p>
    <w:p w14:paraId="2956ABA0">
      <w:pPr>
        <w:spacing w:before="0" w:after="120" w:line="228" w:lineRule="exact"/>
        <w:ind w:firstLineChars="200"/>
        <w:jc w:val="both"/>
        <w:rPr>
          <w:sz w:val="24"/>
          <w:szCs w:val="24"/>
        </w:rPr>
      </w:pPr>
      <w:r>
        <w:rPr>
          <w:rFonts w:ascii="Times New Roman" w:hAnsi="Times New Roman" w:eastAsia="宋体" w:cs="Times New Roman"/>
          <w:i w:val="0"/>
          <w:sz w:val="20"/>
          <w:szCs w:val="24"/>
        </w:rPr>
        <w:t>训练、推理与评测在同一台设备上完成：RTX 5060 Laptop 8 GB 显卡、32 GB 内存，OpenJDK 17、MySQL 8 与 LLaMA-Factory，后端与推理服务共用一张显卡。实验数据不是真实业务采集样本，而是按因子设计生成的结构化档案：六类安全记录各 25 条、25 个考试分数各 6 条、30 个岗位匹配度各 5 条，五组数据与两组回放的规模、构造与关系见表 4。需要说明，训练语料、留出样本与评测档案同源：三者由同一批 150 份档案经同一生成器展开，留出样本只换随机种子与事实组合。因此模型实测反映的是“未见提示词上的输出合规性”，不能据此推断跨单位泛化能力。</w:t>
      </w:r>
    </w:p>
    <w:p w14:paraId="22A85F65">
      <w:pPr>
        <w:spacing w:before="80" w:after="120"/>
        <w:jc w:val="center"/>
        <w:rPr>
          <w:sz w:val="21"/>
          <w:szCs w:val="21"/>
        </w:rPr>
      </w:pPr>
      <w:r>
        <w:rPr>
          <w:rFonts w:ascii="Times New Roman" w:hAnsi="Times New Roman" w:eastAsia="宋体" w:cs="Times New Roman"/>
          <w:i w:val="0"/>
          <w:sz w:val="16"/>
          <w:szCs w:val="21"/>
        </w:rPr>
        <w:t>表4 实验数据与回放的构成及用途</w:t>
      </w:r>
    </w:p>
    <w:tbl>
      <w:tblPr>
        <w:tblStyle w:val="33"/>
        <w:tblW w:w="91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" w:type="dxa"/>
          <w:left w:w="57" w:type="dxa"/>
          <w:bottom w:w="14" w:type="dxa"/>
          <w:right w:w="57" w:type="dxa"/>
        </w:tblCellMar>
      </w:tblPr>
      <w:tblGrid>
        <w:gridCol w:w="1196"/>
        <w:gridCol w:w="1143"/>
        <w:gridCol w:w="3162"/>
        <w:gridCol w:w="2111"/>
        <w:gridCol w:w="1526"/>
      </w:tblGrid>
      <w:tr w14:paraId="6074A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430" w:hRule="atLeast"/>
          <w:tblHeader/>
          <w:jc w:val="center"/>
        </w:trPr>
        <w:tc>
          <w:tcPr>
            <w:tcW w:w="1196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AD0B663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  <w:szCs w:val="18"/>
              </w:rPr>
              <w:t>数据与回放</w:t>
            </w:r>
          </w:p>
        </w:tc>
        <w:tc>
          <w:tcPr>
            <w:tcW w:w="1143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45EEC1C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  <w:szCs w:val="18"/>
              </w:rPr>
              <w:t>规模</w:t>
            </w:r>
          </w:p>
        </w:tc>
        <w:tc>
          <w:tcPr>
            <w:tcW w:w="3162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58E6706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  <w:szCs w:val="18"/>
              </w:rPr>
              <w:t>构造方式</w:t>
            </w:r>
          </w:p>
        </w:tc>
        <w:tc>
          <w:tcPr>
            <w:tcW w:w="2111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601FB3B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8"/>
                <w:szCs w:val="18"/>
              </w:rPr>
              <w:t>在实验中的作用</w:t>
            </w:r>
          </w:p>
        </w:tc>
        <w:tc>
          <w:tcPr>
            <w:tcW w:w="1526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E409F05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同源关系</w:t>
            </w:r>
          </w:p>
        </w:tc>
      </w:tr>
      <w:tr w14:paraId="5905A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319" w:hRule="atLeast"/>
          <w:jc w:val="center"/>
        </w:trPr>
        <w:tc>
          <w:tcPr>
            <w:tcW w:w="119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83B0B4E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结构化档案</w:t>
            </w:r>
          </w:p>
        </w:tc>
        <w:tc>
          <w:tcPr>
            <w:tcW w:w="114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E843533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150份</w:t>
            </w:r>
          </w:p>
        </w:tc>
        <w:tc>
          <w:tcPr>
            <w:tcW w:w="316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A4BAAD8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六类安全记录各25条、25个分数各6条、30个岗位匹配各5条</w:t>
            </w:r>
          </w:p>
        </w:tc>
        <w:tc>
          <w:tcPr>
            <w:tcW w:w="211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8012912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数据的源头，规则回放的主体</w:t>
            </w:r>
          </w:p>
        </w:tc>
        <w:tc>
          <w:tcPr>
            <w:tcW w:w="152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AD287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全部数据的源头</w:t>
            </w:r>
          </w:p>
        </w:tc>
      </w:tr>
      <w:tr w14:paraId="7B606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413" w:hRule="atLeast"/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6F687A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训练语料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66B065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500条（475／25）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C8606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同一生成器重采样事实组合，逐字复刻线上四段式提示词</w:t>
            </w:r>
          </w:p>
        </w:tc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3902F2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微调训练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217E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与档案同源，重采样事实组合</w:t>
            </w:r>
          </w:p>
        </w:tc>
      </w:tr>
      <w:tr w14:paraId="067AF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494" w:hRule="atLeast"/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E8F413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留出测试样本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040508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20条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B2C5E4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同一生成器换种子生成，输入与训练集不重合</w:t>
            </w:r>
          </w:p>
        </w:tc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6AD96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模型实测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EF001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与训练同源，换种子、输入不重合</w:t>
            </w:r>
          </w:p>
        </w:tc>
      </w:tr>
      <w:tr w14:paraId="41B68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344" w:hRule="atLeast"/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C2922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记忆性对照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275733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6条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E2ABA2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从训练集等距抽取原样样本</w:t>
            </w:r>
          </w:p>
        </w:tc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204EB5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查提示词记忆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990BF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训练子集（等距抽取）</w:t>
            </w:r>
          </w:p>
        </w:tc>
      </w:tr>
      <w:tr w14:paraId="51DB0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344" w:hRule="atLeast"/>
          <w:jc w:val="center"/>
        </w:trPr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E6370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气体参数网格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6D3DC9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200组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1DD6C7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人工构造的余量比与关键词组合</w:t>
            </w:r>
          </w:p>
        </w:tc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2D918D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规则语义验证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DE96D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独立构造，不依赖档案</w:t>
            </w:r>
          </w:p>
        </w:tc>
      </w:tr>
      <w:tr w14:paraId="1729A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505" w:hRule="atLeast"/>
          <w:jc w:val="center"/>
        </w:trPr>
        <w:tc>
          <w:tcPr>
            <w:tcW w:w="1196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5C0DC464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规则回放</w:t>
            </w:r>
          </w:p>
        </w:tc>
        <w:tc>
          <w:tcPr>
            <w:tcW w:w="1143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659F6EF5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450次</w:t>
            </w:r>
          </w:p>
        </w:tc>
        <w:tc>
          <w:tcPr>
            <w:tcW w:w="3162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4D19FE40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150份档案在3个场景各执行一次</w:t>
            </w:r>
          </w:p>
        </w:tc>
        <w:tc>
          <w:tcPr>
            <w:tcW w:w="2111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433D0D52">
            <w:pPr>
              <w:spacing w:before="20" w:after="20" w:line="180" w:lineRule="exact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  <w:szCs w:val="18"/>
              </w:rPr>
              <w:t>规则层有效性；非重复执行</w:t>
            </w:r>
          </w:p>
        </w:tc>
        <w:tc>
          <w:tcPr>
            <w:tcW w:w="1526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74FE24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基于150份档案</w:t>
            </w:r>
          </w:p>
        </w:tc>
      </w:tr>
    </w:tbl>
    <w:p w14:paraId="33FCAC3C">
      <w:pPr>
        <w:jc w:val="both"/>
        <w:rPr>
          <w:rFonts w:ascii="Times New Roman" w:hAnsi="Times New Roman" w:eastAsia="宋体"/>
          <w:b w:val="0"/>
          <w:i w:val="0"/>
          <w:sz w:val="24"/>
          <w:szCs w:val="24"/>
        </w:rPr>
      </w:pPr>
    </w:p>
    <w:p w14:paraId="2CFC1C3E">
      <w:pPr>
        <w:keepNext/>
        <w:spacing w:before="120" w:after="60"/>
        <w:ind w:firstLineChars="0"/>
        <w:jc w:val="left"/>
        <w:rPr>
          <w:rFonts w:ascii="Times New Roman" w:hAnsi="Times New Roman" w:eastAsia="宋体"/>
          <w:b w:val="0"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/>
          <w:sz w:val="20"/>
          <w:szCs w:val="24"/>
        </w:rPr>
        <w:t>5.2 规则层的有效性</w:t>
      </w:r>
    </w:p>
    <w:p w14:paraId="03BB9818">
      <w:pPr>
        <w:spacing w:before="0" w:after="120" w:line="228" w:lineRule="exact"/>
        <w:ind w:firstLineChars="200"/>
        <w:jc w:val="both"/>
        <w:rPr>
          <w:sz w:val="24"/>
          <w:szCs w:val="24"/>
        </w:rPr>
      </w:pPr>
      <w:r>
        <w:rPr>
          <w:rFonts w:ascii="Times New Roman" w:hAnsi="Times New Roman" w:eastAsia="宋体" w:cs="Times New Roman"/>
          <w:i w:val="0"/>
          <w:sz w:val="20"/>
          <w:szCs w:val="24"/>
        </w:rPr>
        <w:t>档案覆盖率定义为至少命中一条规则的档案所占比例，如式（3）所示。该指标只说明规则对每份档案都有输出，不等于判定正确：一条总命中的兜底规则同样能得到 100%。为此，本文另在有独立判据的两项上统计误报与漏报，判据取自档案字段与课程表的直接比较，与被测规则的条件体分开实现，从而排除实现层面的循环；但两者的设计假设同源，结果反映的是规则与业务口径的一致性，而非规则发现了新知识。</w:t>
      </w:r>
    </w:p>
    <w:p w14:paraId="47544867">
      <w:pPr>
        <w:spacing w:before="120" w:after="120" w:line="240" w:lineRule="atLeast"/>
        <w:ind w:firstLineChars="0"/>
        <w:jc w:val="center"/>
        <w:rPr>
          <w:sz w:val="24"/>
          <w:szCs w:val="24"/>
        </w:rPr>
      </w:pPr>
      <m:oMath>
        <m:r>
          <m:rPr>
            <m:sty m:val="p"/>
          </m:rPr>
          <w:rPr>
            <w:rFonts w:hint="default" w:ascii="Cambria Math" w:hAnsi="Cambria Math" w:eastAsia="宋体"/>
            <w:sz w:val="20"/>
            <w:szCs w:val="20"/>
          </w:rPr>
          <w:object>
            <v:shape id="_x0000_i1027" o:spt="75" type="#_x0000_t75" style="height:31pt;width:123pt;" o:ole="t" filled="f" o:preferrelative="t" stroked="f" coordsize="21600,21600">
              <v:path/>
              <v:fill on="f" focussize="0,0"/>
              <v:stroke on="f"/>
              <v:imagedata r:id="rId13" o:title=""/>
              <o:lock v:ext="edit" aspectratio="f"/>
              <w10:wrap type="none"/>
              <w10:anchorlock/>
            </v:shape>
            <o:OLEObject Type="Embed" ProgID="Equation.DSMT4" ShapeID="_x0000_i1027" DrawAspect="Content" ObjectID="_1468075727" r:id="rId12">
              <o:LockedField>false</o:LockedField>
            </o:OLEObject>
          </w:object>
        </m:r>
      </m:oMath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ab/>
      </w:r>
      <w:r>
        <w:rPr>
          <w:rFonts w:ascii="Times New Roman" w:hAnsi="Times New Roman" w:eastAsia="宋体" w:cs="Times New Roman"/>
          <w:b w:val="0"/>
          <w:i w:val="0"/>
          <w:sz w:val="20"/>
          <w:szCs w:val="24"/>
        </w:rPr>
        <w:t>（3）</w:t>
      </w:r>
    </w:p>
    <w:p w14:paraId="3287C7C2">
      <w:pPr>
        <w:spacing w:before="0" w:after="120" w:line="228" w:lineRule="exact"/>
        <w:ind w:firstLineChars="200"/>
        <w:jc w:val="both"/>
        <w:rPr>
          <w:sz w:val="24"/>
          <w:szCs w:val="24"/>
        </w:rPr>
      </w:pPr>
      <w:r>
        <w:rPr>
          <w:rFonts w:ascii="Times New Roman" w:hAnsi="Times New Roman" w:eastAsia="宋体" w:cs="Times New Roman"/>
          <w:i w:val="0"/>
          <w:sz w:val="20"/>
          <w:szCs w:val="24"/>
        </w:rPr>
        <w:t>450 次回放的结果见表 5。低于课程合格线的 132 份档案全部命中，误报与漏报均为 0。证书等级低于授权门槛的 120 份同样全部命中，另有 25 份因安全记录单独触发安全组规则，合计 145 次。150 份档案中 125 份带安全负例，其中授权类违规 75 份，全部由安全组处置，未被消费的安全记录为 0 份。实操归因缺少独立判据，只报命中率。上述比率的适用范围限于本测试集。</w:t>
      </w:r>
    </w:p>
    <w:p w14:paraId="6F46EEA8">
      <w:pPr>
        <w:spacing w:before="80" w:after="120"/>
        <w:jc w:val="center"/>
        <w:rPr>
          <w:sz w:val="24"/>
          <w:szCs w:val="24"/>
        </w:rPr>
      </w:pPr>
      <w:r>
        <w:rPr>
          <w:rFonts w:ascii="Times New Roman" w:hAnsi="Times New Roman" w:eastAsia="宋体" w:cs="Times New Roman"/>
          <w:i w:val="0"/>
          <w:sz w:val="16"/>
          <w:szCs w:val="21"/>
        </w:rPr>
        <w:t>表5 450次规则回放的分场景结果</w:t>
      </w:r>
    </w:p>
    <w:tbl>
      <w:tblPr>
        <w:tblStyle w:val="33"/>
        <w:tblW w:w="96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" w:type="dxa"/>
          <w:left w:w="57" w:type="dxa"/>
          <w:bottom w:w="14" w:type="dxa"/>
          <w:right w:w="57" w:type="dxa"/>
        </w:tblCellMar>
      </w:tblPr>
      <w:tblGrid>
        <w:gridCol w:w="2889"/>
        <w:gridCol w:w="575"/>
        <w:gridCol w:w="575"/>
        <w:gridCol w:w="657"/>
        <w:gridCol w:w="575"/>
        <w:gridCol w:w="575"/>
        <w:gridCol w:w="3776"/>
      </w:tblGrid>
      <w:tr w14:paraId="65A4E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blHeader/>
          <w:jc w:val="center"/>
        </w:trPr>
        <w:tc>
          <w:tcPr>
            <w:tcW w:w="2889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A26F35D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1"/>
              </w:rPr>
              <w:t>场景</w:t>
            </w:r>
          </w:p>
        </w:tc>
        <w:tc>
          <w:tcPr>
            <w:tcW w:w="575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98BE4E4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1"/>
              </w:rPr>
              <w:t>执行</w:t>
            </w:r>
          </w:p>
        </w:tc>
        <w:tc>
          <w:tcPr>
            <w:tcW w:w="575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BD6AC84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1"/>
              </w:rPr>
              <w:t>命中</w:t>
            </w:r>
          </w:p>
        </w:tc>
        <w:tc>
          <w:tcPr>
            <w:tcW w:w="657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230683F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1"/>
              </w:rPr>
              <w:t>命中率</w:t>
            </w:r>
          </w:p>
        </w:tc>
        <w:tc>
          <w:tcPr>
            <w:tcW w:w="575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7DA4452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1"/>
              </w:rPr>
              <w:t>误报</w:t>
            </w:r>
          </w:p>
        </w:tc>
        <w:tc>
          <w:tcPr>
            <w:tcW w:w="575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DDF023F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1"/>
              </w:rPr>
              <w:t>漏报</w:t>
            </w:r>
          </w:p>
        </w:tc>
        <w:tc>
          <w:tcPr>
            <w:tcW w:w="3776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D5F1187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1"/>
              </w:rPr>
              <w:t>主要命中规则（条次）</w:t>
            </w:r>
          </w:p>
        </w:tc>
      </w:tr>
      <w:tr w14:paraId="5F82C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288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FB1699E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个人诊断PERSONAL_GAP</w:t>
            </w:r>
          </w:p>
        </w:tc>
        <w:tc>
          <w:tcPr>
            <w:tcW w:w="57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7D79878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150</w:t>
            </w:r>
          </w:p>
        </w:tc>
        <w:tc>
          <w:tcPr>
            <w:tcW w:w="57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F938AAF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145</w:t>
            </w:r>
          </w:p>
        </w:tc>
        <w:tc>
          <w:tcPr>
            <w:tcW w:w="65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BAF6CC5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96.7%</w:t>
            </w:r>
          </w:p>
        </w:tc>
        <w:tc>
          <w:tcPr>
            <w:tcW w:w="57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D857C8C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0</w:t>
            </w:r>
          </w:p>
        </w:tc>
        <w:tc>
          <w:tcPr>
            <w:tcW w:w="57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BB77E17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0</w:t>
            </w:r>
          </w:p>
        </w:tc>
        <w:tc>
          <w:tcPr>
            <w:tcW w:w="377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AA4D1E2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SKILL_BELOW_REQUIRED120、SAFETY_VETO_VIOLATION75、SAFETY_DEDUCTION50</w:t>
            </w:r>
          </w:p>
        </w:tc>
      </w:tr>
      <w:tr w14:paraId="5BA3B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B57F1E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考试判定EXAM_RESULT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FBA05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150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29814F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132</w: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F9CAEA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88.0%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D0E89C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0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EE8565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0</w:t>
            </w:r>
          </w:p>
        </w:tc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ECB0A4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EXAM_BELOW_PASS132</w:t>
            </w:r>
          </w:p>
        </w:tc>
      </w:tr>
      <w:tr w14:paraId="74A69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1B7DD6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实操报告归因REPORT_ANALYSIS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F8CC9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150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1DE217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127</w: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0A3F20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84.7%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227216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—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1572A5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—</w:t>
            </w:r>
          </w:p>
        </w:tc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586963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PRACTICE_HUMAN_CAUSE75、SKILL_CAUSE52</w:t>
            </w:r>
          </w:p>
        </w:tc>
      </w:tr>
      <w:tr w14:paraId="7EB9B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846A39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档案级覆盖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105ECC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150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06ED34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150</w: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662A6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100%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B4D3CF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—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5A5107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—</w:t>
            </w:r>
          </w:p>
        </w:tc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6E1FB1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20条规则参与求值</w:t>
            </w:r>
          </w:p>
        </w:tc>
      </w:tr>
      <w:tr w14:paraId="52B00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2889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0754AAD1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合计</w:t>
            </w:r>
          </w:p>
        </w:tc>
        <w:tc>
          <w:tcPr>
            <w:tcW w:w="575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366E267E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450</w:t>
            </w:r>
          </w:p>
        </w:tc>
        <w:tc>
          <w:tcPr>
            <w:tcW w:w="575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7420A1BE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404</w:t>
            </w:r>
          </w:p>
        </w:tc>
        <w:tc>
          <w:tcPr>
            <w:tcW w:w="657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7457C689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89.8%</w:t>
            </w:r>
          </w:p>
        </w:tc>
        <w:tc>
          <w:tcPr>
            <w:tcW w:w="575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7A72AEBB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0</w:t>
            </w:r>
          </w:p>
        </w:tc>
        <w:tc>
          <w:tcPr>
            <w:tcW w:w="575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14AA0287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0</w:t>
            </w:r>
          </w:p>
        </w:tc>
        <w:tc>
          <w:tcPr>
            <w:tcW w:w="3776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388B0D69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——</w:t>
            </w:r>
          </w:p>
        </w:tc>
      </w:tr>
    </w:tbl>
    <w:p w14:paraId="630B184E">
      <w:pPr>
        <w:spacing w:after="40" w:line="80" w:lineRule="exact"/>
        <w:rPr>
          <w:sz w:val="24"/>
          <w:szCs w:val="24"/>
        </w:rPr>
      </w:pPr>
    </w:p>
    <w:p w14:paraId="4E208055">
      <w:pPr>
        <w:spacing w:before="0" w:after="120" w:line="228" w:lineRule="exact"/>
        <w:ind w:firstLineChars="200"/>
        <w:jc w:val="both"/>
        <w:rPr>
          <w:rFonts w:ascii="Times New Roman" w:hAnsi="Times New Roman" w:eastAsia="宋体"/>
          <w:b w:val="0"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sz w:val="20"/>
          <w:szCs w:val="24"/>
        </w:rPr>
        <w:t>200 组气体参数网格用于验证规则语义：五档定档在两种比例口径下与预期全部一致（200/200），组内命中上限与严重度合并的结果同样全部一致，事实引用解析为 120/120。偏差度为零：余量高于阈值 10% 却被误升为“中”的用例为 0 组，终端规则在 40 组余量充足用例上均可达。22 条规则在网格或回放中均至少命中一次，即在本文构造的测试范围内未发现不可达规则；这属于有限抽样下的观察，不构成对规则集全局可达性的证明，规则间遮蔽的自动化检测留待后续工作。</w:t>
      </w:r>
    </w:p>
    <w:p w14:paraId="7C8E0F1F">
      <w:pPr>
        <w:keepNext/>
        <w:spacing w:before="120" w:after="60"/>
        <w:ind w:firstLineChars="0"/>
        <w:jc w:val="left"/>
        <w:rPr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/>
          <w:sz w:val="20"/>
          <w:szCs w:val="24"/>
        </w:rPr>
        <w:t>5.3 确定性与时延</w:t>
      </w:r>
    </w:p>
    <w:p w14:paraId="56A00DD8">
      <w:pPr>
        <w:spacing w:before="0" w:after="120" w:line="228" w:lineRule="exact"/>
        <w:ind w:firstLineChars="200"/>
        <w:jc w:val="both"/>
        <w:rPr>
          <w:rFonts w:ascii="Times New Roman" w:hAnsi="Times New Roman" w:eastAsia="宋体"/>
          <w:b w:val="0"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sz w:val="20"/>
          <w:szCs w:val="24"/>
        </w:rPr>
        <w:t>450 次执行重复运行结果逐字节一致；把规则物理顺序完全颠倒，结论也不变，因为排序按优先级与编号归一化。进程内单次求值平均 0.0122 ms、中位 0.0105 ms、95 分位 0.0194 ms、最大 0.0609 ms，计时仅含条件求值与结论合并，不含数据库访问、事实装配、序列化与网络往返，不能视为端到端时延。模型路径在 20 条留出样本上为中位 105.4 s、均值 124.3 s、最大 324.7 s，统计对象是一次完整请求到完整 JSON，与前者不同质，两者不构成同一链路的对照，本文也不据此比较快慢。该数值来自单卡、单请求、无并发测量；批处理与量化推理能否压缩时延，未做实测。</w:t>
      </w:r>
    </w:p>
    <w:p w14:paraId="2694AE7E">
      <w:pPr>
        <w:keepNext/>
        <w:spacing w:before="120" w:after="60"/>
        <w:ind w:firstLineChars="0"/>
        <w:jc w:val="left"/>
        <w:rPr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/>
          <w:sz w:val="20"/>
          <w:szCs w:val="24"/>
        </w:rPr>
        <w:t>5.4 微调收敛与模型输出质量</w:t>
      </w:r>
    </w:p>
    <w:p w14:paraId="5A245AA2">
      <w:pPr>
        <w:spacing w:before="0" w:after="120" w:line="228" w:lineRule="exact"/>
        <w:ind w:firstLineChars="200"/>
        <w:jc w:val="both"/>
        <w:rPr>
          <w:sz w:val="24"/>
          <w:szCs w:val="24"/>
        </w:rPr>
      </w:pPr>
      <w:r>
        <w:rPr>
          <w:rFonts w:ascii="Times New Roman" w:hAnsi="Times New Roman" w:eastAsia="宋体" w:cs="Times New Roman"/>
          <w:i w:val="0"/>
          <w:sz w:val="20"/>
          <w:szCs w:val="24"/>
        </w:rPr>
        <w:t>模型输出的前提是训练收敛。图 3 给出训练与验证损失：首个记录点在第 5 步，为 11.57，与词表均匀熵 ln151936=11.93 相差 3%，说明起点尚未学到偏好；第 25 步降至 1.01，此后放缓，第 105 至 200 步与第 205 至 300 步的均值分别为 0.086 与 0.074，末步 0.063，全程平均 0.577。验证损失由 0.0198 降至 0.0106，第 200 步之后只再降 1.9%，最优点落在末步，说明在 5 轮、4096 窗口下已经收敛，增加轮数的收益有限。单卡训练耗时 27428 s。验证损失低于训练末步，原因是口径不同——训练损失按 5 步窗口平均且随机失活生效，验证关闭随机失活、样本固定 25 条；加之两者同源同模板，该数值只说明拟合良好，不能作为泛化证据。</w:t>
      </w:r>
    </w:p>
    <w:p w14:paraId="110A7919">
      <w:pPr>
        <w:spacing w:before="120" w:after="40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3023870" cy="1515110"/>
            <wp:effectExtent l="0" t="0" r="508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151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EBA6">
      <w:pPr>
        <w:spacing w:before="80" w:after="120"/>
        <w:jc w:val="center"/>
        <w:rPr>
          <w:rFonts w:hint="eastAsia"/>
          <w:b w:val="0"/>
          <w:i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sz w:val="16"/>
          <w:szCs w:val="21"/>
          <w:lang w:val="en-US" w:eastAsia="zh-CN"/>
        </w:rPr>
        <w:t>图3 微调过程的损失曲线</w:t>
      </w:r>
    </w:p>
    <w:p w14:paraId="27E81BF8">
      <w:pPr>
        <w:spacing w:before="0" w:after="120" w:line="228" w:lineRule="exact"/>
        <w:ind w:firstLineChars="200"/>
        <w:jc w:val="both"/>
        <w:rPr>
          <w:sz w:val="24"/>
          <w:szCs w:val="24"/>
        </w:rPr>
      </w:pPr>
      <w:r>
        <w:rPr>
          <w:rFonts w:ascii="Times New Roman" w:hAnsi="Times New Roman" w:eastAsia="宋体" w:cs="Times New Roman"/>
          <w:i w:val="0"/>
          <w:sz w:val="20"/>
          <w:szCs w:val="24"/>
        </w:rPr>
        <w:t>26 条测试样本由 20 条留出样本与 6 条训练原样样本组成，结果见表 6，判据为与事实清单的逐项比对。留出样本的输出均为合法 JSON 且满足六键契约；差距项集合与后端清单一致；等级与事实清单逐项对应；影响等级与雷达优先级一致；排期晚于当期且严格递增；理由均带有效事实编号，平均引用 4.75 个；数值可溯源。就处置阶段而言，26 条均在首次输出即通过硬校验、未触发回退，回退路径在本次实测中未被走到，其行为只能由代码路径与 5.5 节的注入测试间接检验。训练原样样本的结果与留出样本一致，说明模型未依赖提示词记忆；但两组同源同模板，一致性本身也说明任务难度有限，不足以支撑泛化结论。</w:t>
      </w:r>
    </w:p>
    <w:p w14:paraId="6112CDEE">
      <w:pPr>
        <w:spacing w:before="80" w:after="120"/>
        <w:jc w:val="center"/>
        <w:rPr>
          <w:sz w:val="24"/>
          <w:szCs w:val="24"/>
        </w:rPr>
      </w:pPr>
      <w:r>
        <w:rPr>
          <w:rFonts w:hint="eastAsia" w:ascii="Times New Roman" w:hAnsi="Times New Roman" w:eastAsia="宋体" w:cs="Times New Roman"/>
          <w:i w:val="0"/>
          <w:sz w:val="16"/>
          <w:szCs w:val="21"/>
          <w:lang w:val="en-US" w:eastAsia="zh-CN"/>
        </w:rPr>
        <w:t>表6 微调模型输出的实测结果</w:t>
      </w:r>
    </w:p>
    <w:tbl>
      <w:tblPr>
        <w:tblStyle w:val="33"/>
        <w:tblW w:w="96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" w:type="dxa"/>
          <w:left w:w="57" w:type="dxa"/>
          <w:bottom w:w="14" w:type="dxa"/>
          <w:right w:w="57" w:type="dxa"/>
        </w:tblCellMar>
      </w:tblPr>
      <w:tblGrid>
        <w:gridCol w:w="5631"/>
        <w:gridCol w:w="2112"/>
        <w:gridCol w:w="1877"/>
      </w:tblGrid>
      <w:tr w14:paraId="0802A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blHeader/>
          <w:jc w:val="center"/>
        </w:trPr>
        <w:tc>
          <w:tcPr>
            <w:tcW w:w="5631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6D093B2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4"/>
              </w:rPr>
              <w:t>评测项（判据为与事实清单的逐项比对）</w:t>
            </w:r>
          </w:p>
        </w:tc>
        <w:tc>
          <w:tcPr>
            <w:tcW w:w="2112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D3E8FDE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4"/>
              </w:rPr>
              <w:t>留出样本20条</w:t>
            </w:r>
          </w:p>
        </w:tc>
        <w:tc>
          <w:tcPr>
            <w:tcW w:w="1877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0A36C4C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4"/>
              </w:rPr>
              <w:t>训练原样6条</w:t>
            </w:r>
          </w:p>
        </w:tc>
      </w:tr>
      <w:tr w14:paraId="4A615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563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14532FF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输出为合法JSON且满足六键契约</w:t>
            </w:r>
          </w:p>
        </w:tc>
        <w:tc>
          <w:tcPr>
            <w:tcW w:w="211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9941DF7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i w:val="0"/>
                <w:sz w:val="16"/>
                <w:szCs w:val="24"/>
              </w:rPr>
              <w:t>通过</w:t>
            </w:r>
          </w:p>
        </w:tc>
        <w:tc>
          <w:tcPr>
            <w:tcW w:w="187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946CE1D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i w:val="0"/>
                <w:sz w:val="16"/>
                <w:szCs w:val="24"/>
              </w:rPr>
              <w:t>通过</w:t>
            </w:r>
          </w:p>
        </w:tc>
      </w:tr>
      <w:tr w14:paraId="35536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56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C14FB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差距项集合与后端给定清单一致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E68617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i w:val="0"/>
                <w:sz w:val="16"/>
                <w:szCs w:val="24"/>
              </w:rPr>
              <w:t>一致，无增删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EEA229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i w:val="0"/>
                <w:sz w:val="16"/>
                <w:szCs w:val="24"/>
              </w:rPr>
              <w:t>一致，无增删</w:t>
            </w:r>
          </w:p>
        </w:tc>
      </w:tr>
      <w:tr w14:paraId="35D62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56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857609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技能等级、影响等级分别与事实清单、雷达优先级一致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0A957D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i w:val="0"/>
                <w:sz w:val="16"/>
                <w:szCs w:val="24"/>
              </w:rPr>
              <w:t>逐项一致，无偏差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0B2FAC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i w:val="0"/>
                <w:sz w:val="16"/>
                <w:szCs w:val="24"/>
              </w:rPr>
              <w:t>逐项一致，无偏差</w:t>
            </w:r>
          </w:p>
        </w:tc>
      </w:tr>
      <w:tr w14:paraId="2F71D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56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032F77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学习排期晚于当期且严格递增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85386E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i w:val="0"/>
                <w:sz w:val="16"/>
                <w:szCs w:val="24"/>
              </w:rPr>
              <w:t>晚于当期，严格递增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E46227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i w:val="0"/>
                <w:sz w:val="16"/>
                <w:szCs w:val="24"/>
              </w:rPr>
              <w:t>晚于当期，严格递增</w:t>
            </w:r>
          </w:p>
        </w:tc>
      </w:tr>
      <w:tr w14:paraId="74B34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56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94BA08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理由引用有效事实编号（均值4.75个）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D29F82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i w:val="0"/>
                <w:sz w:val="16"/>
                <w:szCs w:val="24"/>
              </w:rPr>
              <w:t>均有效，均值4.75个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0B9EE6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i w:val="0"/>
                <w:sz w:val="16"/>
                <w:szCs w:val="24"/>
              </w:rPr>
              <w:t>均有效</w:t>
            </w:r>
          </w:p>
        </w:tc>
      </w:tr>
      <w:tr w14:paraId="0F833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56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72037F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数值可溯源，安全边界出现在输出中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03398F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i w:val="0"/>
                <w:sz w:val="16"/>
                <w:szCs w:val="24"/>
              </w:rPr>
              <w:t>全部可溯源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BEB23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i w:val="0"/>
                <w:sz w:val="16"/>
                <w:szCs w:val="24"/>
              </w:rPr>
              <w:t>全部可溯源</w:t>
            </w:r>
          </w:p>
        </w:tc>
      </w:tr>
      <w:tr w14:paraId="6E2D6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5631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79A50F36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4"/>
              </w:rPr>
              <w:t>首次输出即通过硬校验、未触发回退</w:t>
            </w:r>
          </w:p>
        </w:tc>
        <w:tc>
          <w:tcPr>
            <w:tcW w:w="2112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24F20DC5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i w:val="0"/>
                <w:sz w:val="16"/>
                <w:szCs w:val="24"/>
              </w:rPr>
              <w:t>首次通过，未触发回退</w:t>
            </w:r>
          </w:p>
        </w:tc>
        <w:tc>
          <w:tcPr>
            <w:tcW w:w="1877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14579502">
            <w:pPr>
              <w:spacing w:before="20" w:after="20" w:line="180" w:lineRule="exact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i w:val="0"/>
                <w:sz w:val="16"/>
                <w:szCs w:val="24"/>
              </w:rPr>
              <w:t>首次通过，未触发回退</w:t>
            </w:r>
          </w:p>
        </w:tc>
      </w:tr>
    </w:tbl>
    <w:p w14:paraId="50A9EE1F">
      <w:pPr>
        <w:jc w:val="both"/>
        <w:rPr>
          <w:rFonts w:ascii="Times New Roman" w:hAnsi="Times New Roman" w:eastAsia="黑体"/>
          <w:b/>
          <w:i w:val="0"/>
          <w:sz w:val="24"/>
          <w:szCs w:val="24"/>
        </w:rPr>
      </w:pPr>
    </w:p>
    <w:p w14:paraId="568598F9">
      <w:pPr>
        <w:keepNext/>
        <w:spacing w:before="120" w:after="60"/>
        <w:ind w:firstLineChars="0"/>
        <w:jc w:val="left"/>
        <w:rPr>
          <w:rFonts w:ascii="Times New Roman" w:hAnsi="Times New Roman" w:eastAsia="黑体"/>
          <w:b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/>
          <w:sz w:val="20"/>
          <w:szCs w:val="24"/>
        </w:rPr>
        <w:t>5.5 校验器的错误注入测试</w:t>
      </w:r>
    </w:p>
    <w:p w14:paraId="779644D7">
      <w:pPr>
        <w:spacing w:before="0" w:after="120" w:line="228" w:lineRule="exact"/>
        <w:ind w:firstLineChars="200"/>
        <w:jc w:val="both"/>
        <w:rPr>
          <w:sz w:val="24"/>
          <w:szCs w:val="24"/>
        </w:rPr>
      </w:pPr>
      <w:r>
        <w:rPr>
          <w:rFonts w:hint="eastAsia" w:ascii="Times New Roman" w:hAnsi="Times New Roman" w:eastAsia="宋体" w:cs="Times New Roman"/>
          <w:i w:val="0"/>
          <w:sz w:val="20"/>
          <w:szCs w:val="24"/>
          <w:lang w:eastAsia="zh-CN"/>
        </w:rPr>
        <w:t>“输出全部合格”只说明模型表现，并未检验校验器本身。为此，以一份合格结论为基线逐项注入 16 例错误，调用后端真实的校验代码，结果见表 7。结构类 11 例全部被硬校验拒绝并回退；数值类 2 例被留痕但未拦截，符合软判定的设计；语义类 3 例（把等级改成另一个合法值、事实编号指向不存在的条目、删去安全陈述）均未被检出——契约只检查字段与枚举，不检查字段取值是否与事实一致，也不检查事实编号是否存在。这构成当前实现的覆盖边界：等级一致性与事实编号有效性目前依靠离线评测发现，线上未纳入硬校验。可行的改进是在结构契约中增加两项检查：等级须等于事实清单中同名技能的值，事实编号须存在于当次清单；改动集中在单条校验函数内。</w:t>
      </w:r>
    </w:p>
    <w:p w14:paraId="12B2C49A">
      <w:pPr>
        <w:spacing w:before="80" w:after="120"/>
        <w:jc w:val="center"/>
        <w:rPr>
          <w:rFonts w:hint="eastAsia"/>
          <w:b w:val="0"/>
          <w:i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sz w:val="16"/>
          <w:szCs w:val="21"/>
          <w:lang w:val="en-US" w:eastAsia="zh-CN"/>
        </w:rPr>
        <w:t>表7 校验器的错误注入测试结果</w:t>
      </w:r>
    </w:p>
    <w:tbl>
      <w:tblPr>
        <w:tblStyle w:val="33"/>
        <w:tblW w:w="107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" w:type="dxa"/>
          <w:left w:w="57" w:type="dxa"/>
          <w:bottom w:w="14" w:type="dxa"/>
          <w:right w:w="57" w:type="dxa"/>
        </w:tblCellMar>
      </w:tblPr>
      <w:tblGrid>
        <w:gridCol w:w="688"/>
        <w:gridCol w:w="4489"/>
        <w:gridCol w:w="686"/>
        <w:gridCol w:w="784"/>
        <w:gridCol w:w="745"/>
        <w:gridCol w:w="1569"/>
        <w:gridCol w:w="1796"/>
      </w:tblGrid>
      <w:tr w14:paraId="12C43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510" w:hRule="atLeast"/>
          <w:tblHeader/>
          <w:jc w:val="center"/>
        </w:trPr>
        <w:tc>
          <w:tcPr>
            <w:tcW w:w="688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5CD2A98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1"/>
              </w:rPr>
              <w:t>类别</w:t>
            </w:r>
          </w:p>
        </w:tc>
        <w:tc>
          <w:tcPr>
            <w:tcW w:w="4489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21171A7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1"/>
              </w:rPr>
              <w:t>注入的错误</w:t>
            </w:r>
          </w:p>
        </w:tc>
        <w:tc>
          <w:tcPr>
            <w:tcW w:w="686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487D615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1"/>
              </w:rPr>
              <w:t>例数</w:t>
            </w:r>
          </w:p>
        </w:tc>
        <w:tc>
          <w:tcPr>
            <w:tcW w:w="784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54A0798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1"/>
              </w:rPr>
              <w:t>硬校验</w:t>
            </w:r>
          </w:p>
        </w:tc>
        <w:tc>
          <w:tcPr>
            <w:tcW w:w="745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DB9D04B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1"/>
              </w:rPr>
              <w:t>数值对账</w:t>
            </w:r>
          </w:p>
        </w:tc>
        <w:tc>
          <w:tcPr>
            <w:tcW w:w="1569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03B9BC2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sz w:val="16"/>
                <w:szCs w:val="21"/>
              </w:rPr>
              <w:t>结果</w:t>
            </w:r>
          </w:p>
        </w:tc>
        <w:tc>
          <w:tcPr>
            <w:tcW w:w="1796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9DE3A69">
            <w:r>
              <w:rPr>
                <w:b/>
              </w:rPr>
              <w:t>检查层级</w:t>
            </w:r>
          </w:p>
        </w:tc>
      </w:tr>
      <w:tr w14:paraId="798D3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641" w:hRule="atLeast"/>
          <w:jc w:val="center"/>
        </w:trPr>
        <w:tc>
          <w:tcPr>
            <w:tcW w:w="68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8CB5F9A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结构类</w:t>
            </w:r>
          </w:p>
        </w:tc>
        <w:tc>
          <w:tcPr>
            <w:tcW w:w="448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27C1A1F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缺字段、空串、类型不符、枚举与等级越界、技能重名、日期格式、缺复合路径</w:t>
            </w:r>
          </w:p>
        </w:tc>
        <w:tc>
          <w:tcPr>
            <w:tcW w:w="68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45EF400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11</w:t>
            </w:r>
          </w:p>
        </w:tc>
        <w:tc>
          <w:tcPr>
            <w:tcW w:w="78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50FEC11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11拒绝</w:t>
            </w:r>
          </w:p>
        </w:tc>
        <w:tc>
          <w:tcPr>
            <w:tcW w:w="74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23555FB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—</w:t>
            </w:r>
          </w:p>
        </w:tc>
        <w:tc>
          <w:tcPr>
            <w:tcW w:w="156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2A18EFD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回退规则结论</w:t>
            </w:r>
          </w:p>
        </w:tc>
        <w:tc>
          <w:tcPr>
            <w:tcW w:w="179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FE8DB03">
            <w:r>
              <w:t>字段结构层（六键契约）</w:t>
            </w:r>
          </w:p>
        </w:tc>
      </w:tr>
      <w:tr w14:paraId="1E988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630" w:hRule="atLeast"/>
          <w:jc w:val="center"/>
        </w:trPr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5A3C8C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数值类</w:t>
            </w:r>
          </w:p>
        </w:tc>
        <w:tc>
          <w:tcPr>
            <w:tcW w:w="44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921B0F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总述与理由中写入事实外的数值</w:t>
            </w: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BD8ACF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2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6C4B76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通过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97E96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2留痕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48EE9F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保留结论，置信度封顶</w:t>
            </w: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BF73E4">
            <w:r>
              <w:t>数值溯源层（数字集合）</w:t>
            </w:r>
          </w:p>
        </w:tc>
      </w:tr>
      <w:tr w14:paraId="11D2D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rHeight w:val="743" w:hRule="atLeast"/>
          <w:jc w:val="center"/>
        </w:trPr>
        <w:tc>
          <w:tcPr>
            <w:tcW w:w="688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0DB97312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语义类</w:t>
            </w:r>
          </w:p>
        </w:tc>
        <w:tc>
          <w:tcPr>
            <w:tcW w:w="4489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1AE319D0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等级改为另一合法值、事实编号不存在、删去安全陈述</w:t>
            </w:r>
          </w:p>
        </w:tc>
        <w:tc>
          <w:tcPr>
            <w:tcW w:w="686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7CE2A6E7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3</w:t>
            </w:r>
          </w:p>
        </w:tc>
        <w:tc>
          <w:tcPr>
            <w:tcW w:w="784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063868B8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通过</w:t>
            </w:r>
          </w:p>
        </w:tc>
        <w:tc>
          <w:tcPr>
            <w:tcW w:w="745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65682542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未留痕</w:t>
            </w:r>
          </w:p>
        </w:tc>
        <w:tc>
          <w:tcPr>
            <w:tcW w:w="1569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31B8DCBD">
            <w:pPr>
              <w:spacing w:before="20" w:after="20" w:line="180" w:lineRule="exact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16"/>
                <w:szCs w:val="21"/>
              </w:rPr>
              <w:t>未检出，属覆盖边界</w:t>
            </w:r>
          </w:p>
        </w:tc>
        <w:tc>
          <w:tcPr>
            <w:tcW w:w="1796" w:type="dxa"/>
            <w:tcBorders>
              <w:top w:val="nil"/>
              <w:left w:val="nil"/>
              <w:bottom w:val="thickThinLargeGap" w:color="auto" w:sz="24" w:space="0"/>
              <w:right w:val="nil"/>
            </w:tcBorders>
            <w:vAlign w:val="center"/>
          </w:tcPr>
          <w:p w14:paraId="0DA359E0">
            <w:r>
              <w:t>语义一致性层（未覆盖，</w:t>
            </w:r>
            <w:bookmarkStart w:id="10" w:name="_GoBack"/>
            <w:bookmarkEnd w:id="10"/>
            <w:r>
              <w:t>属边界）</w:t>
            </w:r>
          </w:p>
        </w:tc>
      </w:tr>
    </w:tbl>
    <w:p w14:paraId="6E1CEB09">
      <w:pPr>
        <w:jc w:val="both"/>
        <w:rPr>
          <w:rFonts w:ascii="Times New Roman" w:hAnsi="Times New Roman" w:eastAsia="黑体"/>
          <w:b/>
          <w:i w:val="0"/>
          <w:sz w:val="24"/>
          <w:szCs w:val="24"/>
        </w:rPr>
      </w:pPr>
    </w:p>
    <w:p w14:paraId="74903CF6">
      <w:pPr>
        <w:keepNext/>
        <w:spacing w:before="160" w:after="80"/>
        <w:ind w:firstLineChars="0"/>
        <w:jc w:val="left"/>
        <w:rPr>
          <w:rFonts w:ascii="Times New Roman" w:hAnsi="Times New Roman" w:eastAsia="黑体"/>
          <w:b/>
          <w:i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i w:val="0"/>
          <w:smallCaps/>
          <w:sz w:val="20"/>
          <w:szCs w:val="28"/>
        </w:rPr>
        <w:t>6</w:t>
      </w:r>
      <w:r>
        <w:rPr>
          <w:rFonts w:hint="eastAsia" w:ascii="Times New Roman" w:hAnsi="Times New Roman" w:eastAsia="宋体" w:cs="Times New Roman"/>
          <w:b/>
          <w:i w:val="0"/>
          <w:smallCaps/>
          <w:sz w:val="20"/>
          <w:szCs w:val="28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b/>
          <w:i w:val="0"/>
          <w:smallCaps/>
          <w:sz w:val="20"/>
          <w:szCs w:val="28"/>
        </w:rPr>
        <w:t>讨论</w:t>
      </w:r>
    </w:p>
    <w:p w14:paraId="23C6BE73">
      <w:pPr>
        <w:keepNext/>
        <w:spacing w:before="120" w:after="60"/>
        <w:ind w:firstLineChars="0"/>
        <w:jc w:val="left"/>
        <w:rPr>
          <w:rFonts w:ascii="Times New Roman" w:hAnsi="Times New Roman" w:eastAsia="黑体"/>
          <w:b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/>
          <w:sz w:val="20"/>
          <w:szCs w:val="24"/>
        </w:rPr>
        <w:t>6.1 适用条件与不适用情形</w:t>
      </w:r>
    </w:p>
    <w:p w14:paraId="03CD839C">
      <w:pPr>
        <w:spacing w:before="0" w:after="120" w:line="228" w:lineRule="exact"/>
        <w:ind w:firstLineChars="200"/>
        <w:jc w:val="both"/>
        <w:rPr>
          <w:rFonts w:ascii="Times New Roman" w:hAnsi="Times New Roman" w:eastAsia="宋体"/>
          <w:b w:val="0"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sz w:val="20"/>
          <w:szCs w:val="24"/>
        </w:rPr>
        <w:t>这套架构成立需同时满足四个条件：岗位能力可分级，能力项能映射到有序等级，“当前低于要求”才可判定；业务阈值可枚举，量化要求能写成条件并维护为独立事实；档案已结构化，四类记录能按人汇总为事实清单；建议须经人工确认。满足上述条件的规程驱动岗位，如调度、高压试验与继电保护，原则上可沿用同一架构，但规则集与适配层须重构并验证，本文未做跨岗位实验。四类情形不宜采用：开放域问答的判定条件无法枚举，宜以检索增强生成为主；缺乏结构化档案，规则路径将大面积进入跳过通道；实时闭环控制场景下模型路径为百秒级，满足不了在线控制与联锁要求；无人工确认的自动化执行，直接下发操作指令须重新评估安全责任边界。</w:t>
      </w:r>
    </w:p>
    <w:p w14:paraId="01A1EE49">
      <w:pPr>
        <w:keepNext/>
        <w:spacing w:before="120" w:after="60"/>
        <w:ind w:firstLineChars="0"/>
        <w:jc w:val="left"/>
        <w:rPr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/>
          <w:sz w:val="20"/>
          <w:szCs w:val="24"/>
        </w:rPr>
        <w:t>6.2 局限</w:t>
      </w:r>
    </w:p>
    <w:p w14:paraId="564E44BD">
      <w:pPr>
        <w:spacing w:before="0" w:after="120" w:line="228" w:lineRule="exact"/>
        <w:ind w:firstLineChars="200"/>
        <w:jc w:val="both"/>
        <w:rPr>
          <w:rFonts w:ascii="Times New Roman" w:hAnsi="Times New Roman" w:eastAsia="宋体"/>
          <w:b w:val="0"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sz w:val="20"/>
          <w:szCs w:val="24"/>
        </w:rPr>
        <w:t>本文的局限有六点。语料同源，训练、留出与评测数据由同一批 150 份档案展开，规则库仅 22 条，跨单位与跨岗位泛化未验证。缺少基线对照，未与“规则加固定模板”“未微调基座加同样校验”比较，微调的增量与模型表达相对模板的价值尚未定量，这是后续首要补充的实验。样本量偏小，26 条单次采样，比例分辨率约 4%，20 次全部通过对应的双侧 95% 置信下界约 83.2%，不足以支撑强可靠性结论。校验器只覆盖结构与数值两维。专家盲评与现场采纳统计尚未开展，不对学习效果作因果结论。时延为单卡单请求测量，未测并发与吞吐。后续将补做基线对照与消融，扩充留出样本并多次采样，纳入语义一致性校验，并在真实班组数据上开展专家评估。</w:t>
      </w:r>
    </w:p>
    <w:p w14:paraId="2B999EC0">
      <w:pPr>
        <w:jc w:val="both"/>
        <w:rPr>
          <w:rFonts w:ascii="Times New Roman" w:hAnsi="Times New Roman" w:eastAsia="黑体"/>
          <w:b/>
          <w:i w:val="0"/>
          <w:sz w:val="24"/>
          <w:szCs w:val="24"/>
        </w:rPr>
      </w:pPr>
    </w:p>
    <w:p w14:paraId="23E51DC0">
      <w:pPr>
        <w:keepNext/>
        <w:spacing w:before="160" w:after="80"/>
        <w:ind w:firstLineChars="0"/>
        <w:jc w:val="left"/>
        <w:rPr>
          <w:sz w:val="28"/>
          <w:szCs w:val="28"/>
        </w:rPr>
      </w:pPr>
      <w:r>
        <w:rPr>
          <w:rFonts w:ascii="Times New Roman" w:hAnsi="Times New Roman" w:eastAsia="宋体" w:cs="Times New Roman"/>
          <w:b/>
          <w:i w:val="0"/>
          <w:smallCaps/>
          <w:sz w:val="20"/>
          <w:szCs w:val="28"/>
        </w:rPr>
        <w:t>7</w:t>
      </w:r>
      <w:r>
        <w:rPr>
          <w:rFonts w:hint="eastAsia" w:ascii="Times New Roman" w:hAnsi="Times New Roman" w:eastAsia="宋体" w:cs="Times New Roman"/>
          <w:b/>
          <w:i w:val="0"/>
          <w:smallCaps/>
          <w:sz w:val="20"/>
          <w:szCs w:val="28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b/>
          <w:i w:val="0"/>
          <w:smallCaps/>
          <w:sz w:val="20"/>
          <w:szCs w:val="28"/>
        </w:rPr>
        <w:t>结论</w:t>
      </w:r>
    </w:p>
    <w:p w14:paraId="026B6712">
      <w:pPr>
        <w:spacing w:before="0" w:after="120" w:line="228" w:lineRule="exact"/>
        <w:ind w:firstLineChars="200"/>
        <w:jc w:val="both"/>
        <w:rPr>
          <w:rFonts w:ascii="Times New Roman" w:hAnsi="Times New Roman" w:eastAsia="宋体"/>
          <w:b w:val="0"/>
          <w:i w:val="0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sz w:val="20"/>
          <w:szCs w:val="24"/>
        </w:rPr>
        <w:t>本文把安全与业务判定交给声明式规则引擎，把叙述表达交给微调后的模型，再以结构、数值、授权、安全四道防线衔接两者。150 份仿真档案上回放 450 次，档案级覆盖 150/150，考试不合格与证书等级不足两类负例的漏报为 0；200 组网格上规则语义正确，重复执行结果一致；26 条样本的模型输出首次即通过硬校验。错误注入实验同时说明，校验器拦得住结构与数值问题，拦不住语义层面的篡改——这一边界比“全部合规”更接近实际情况。这一分工使判定可审计、表达可迭代，为电力安全攸关岗位的智能培训提供了一种可实施方案；其培训效果尚需专家评价与现场试点检验。</w:t>
      </w:r>
    </w:p>
    <w:p w14:paraId="14E03C49">
      <w:pPr>
        <w:jc w:val="both"/>
        <w:rPr>
          <w:rFonts w:ascii="Times New Roman" w:hAnsi="Times New Roman" w:eastAsia="宋体"/>
          <w:b w:val="0"/>
          <w:i w:val="0"/>
          <w:sz w:val="24"/>
          <w:szCs w:val="24"/>
        </w:rPr>
      </w:pPr>
    </w:p>
    <w:p w14:paraId="444459A4">
      <w:pPr>
        <w:keepNext/>
        <w:spacing w:before="160" w:after="80"/>
        <w:jc w:val="left"/>
        <w:rPr>
          <w:sz w:val="28"/>
          <w:szCs w:val="28"/>
        </w:rPr>
      </w:pPr>
      <w:r>
        <w:rPr>
          <w:rFonts w:ascii="Times New Roman" w:hAnsi="Times New Roman" w:eastAsia="宋体" w:cs="Times New Roman"/>
          <w:b/>
          <w:i w:val="0"/>
          <w:sz w:val="20"/>
          <w:szCs w:val="28"/>
        </w:rPr>
        <w:t>参考文献</w:t>
      </w:r>
    </w:p>
    <w:p w14:paraId="5C123CCE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0" w:after="50" w:line="180" w:lineRule="exact"/>
        <w:ind w:left="454" w:leftChars="0" w:hanging="454" w:firstLineChars="0"/>
        <w:jc w:val="both"/>
        <w:textAlignment w:val="auto"/>
        <w:rPr>
          <w:sz w:val="21"/>
          <w:szCs w:val="21"/>
        </w:rPr>
      </w:pPr>
      <w:bookmarkStart w:id="0" w:name="_Ref31471"/>
      <w:r>
        <w:rPr>
          <w:rFonts w:ascii="Times New Roman" w:hAnsi="Times New Roman" w:eastAsia="宋体" w:cs="Times New Roman"/>
          <w:i w:val="0"/>
          <w:sz w:val="16"/>
          <w:szCs w:val="24"/>
        </w:rPr>
        <w:t>李元, 林金山, 边畅, 等. 电力设备智能运维大模型的技术挑战与发展路径[J]. 西安交通大学学报, 2026, 60(6): 1-10. https://inds3.cnki.net/kmobile/Journal/detail/DLKJ/XAJT20260623001.</w:t>
      </w:r>
      <w:bookmarkEnd w:id="0"/>
      <w:bookmarkStart w:id="1" w:name="_Ref30275"/>
    </w:p>
    <w:p w14:paraId="2B26F51C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0" w:after="50" w:line="180" w:lineRule="exact"/>
        <w:ind w:left="454" w:leftChars="0" w:hanging="454" w:firstLineChars="0"/>
        <w:jc w:val="both"/>
        <w:textAlignment w:val="auto"/>
        <w:rPr>
          <w:sz w:val="21"/>
          <w:szCs w:val="21"/>
        </w:rPr>
      </w:pPr>
      <w:r>
        <w:rPr>
          <w:rFonts w:ascii="Times New Roman" w:hAnsi="Times New Roman" w:eastAsia="宋体" w:cs="Times New Roman"/>
          <w:i w:val="0"/>
          <w:sz w:val="16"/>
          <w:szCs w:val="21"/>
        </w:rPr>
        <w:t>舒文韬, 李睿潇, 孙天祥, 等. 大型语言模型：原理、实现与发展[J]. 计算机研究与发展, 2024, 61(2): 351-361. DOI: 10.7544/issn1000-1239.202330303.</w:t>
      </w:r>
      <w:bookmarkEnd w:id="1"/>
    </w:p>
    <w:p w14:paraId="4078E690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0" w:after="50" w:line="180" w:lineRule="exact"/>
        <w:ind w:left="454" w:leftChars="0" w:hanging="454" w:firstLineChars="0"/>
        <w:jc w:val="both"/>
        <w:textAlignment w:val="auto"/>
        <w:rPr>
          <w:rFonts w:ascii="Times New Roman" w:hAnsi="Times New Roman" w:eastAsia="宋体"/>
          <w:b w:val="0"/>
          <w:i w:val="0"/>
          <w:kern w:val="0"/>
          <w:sz w:val="21"/>
          <w:szCs w:val="21"/>
          <w:lang w:eastAsia="en-US"/>
        </w:rPr>
      </w:pPr>
      <w:bookmarkStart w:id="2" w:name="_Ref29897"/>
      <w:r>
        <w:rPr>
          <w:rFonts w:ascii="Times New Roman" w:hAnsi="Times New Roman" w:eastAsia="宋体" w:cs="Times New Roman"/>
          <w:i w:val="0"/>
          <w:kern w:val="0"/>
          <w:sz w:val="16"/>
          <w:szCs w:val="21"/>
          <w:lang w:eastAsia="en-US"/>
        </w:rPr>
        <w:t>杨清波, 朱署光, 刘东, 等. 电网调控大语言模型能力提升关键技术研究[J]. 发电技术, 2026, 47(4): 697-708. DOI: 10.12096/j.2096-4528.pgt.260402.</w:t>
      </w:r>
    </w:p>
    <w:p w14:paraId="56404137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0" w:after="50" w:line="180" w:lineRule="exact"/>
        <w:ind w:left="454" w:leftChars="0" w:hanging="454" w:firstLineChars="0"/>
        <w:jc w:val="both"/>
        <w:textAlignment w:val="auto"/>
        <w:rPr>
          <w:sz w:val="21"/>
          <w:szCs w:val="21"/>
        </w:rPr>
      </w:pPr>
      <w:r>
        <w:rPr>
          <w:rFonts w:ascii="Times New Roman" w:hAnsi="Times New Roman" w:eastAsia="宋体" w:cs="Times New Roman"/>
          <w:i w:val="0"/>
          <w:sz w:val="16"/>
          <w:szCs w:val="21"/>
        </w:rPr>
        <w:t>Ji Z, Lee N, Frieske R, et al. Survey of hallucination in natural language generation[J]. ACM Computing Surveys, 2023, 55(12): 1-38. https://doi.org/10.1145/3571730.</w:t>
      </w:r>
      <w:bookmarkEnd w:id="2"/>
    </w:p>
    <w:p w14:paraId="0A6765AD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0" w:after="50" w:line="180" w:lineRule="exact"/>
        <w:ind w:left="454" w:leftChars="0" w:hanging="454" w:firstLineChars="0"/>
        <w:jc w:val="both"/>
        <w:textAlignment w:val="auto"/>
        <w:rPr>
          <w:sz w:val="21"/>
          <w:szCs w:val="21"/>
        </w:rPr>
      </w:pPr>
      <w:bookmarkStart w:id="3" w:name="_Ref29831"/>
      <w:r>
        <w:rPr>
          <w:rFonts w:ascii="Times New Roman" w:hAnsi="Times New Roman" w:eastAsia="宋体" w:cs="Times New Roman"/>
          <w:i w:val="0"/>
          <w:sz w:val="16"/>
          <w:szCs w:val="21"/>
        </w:rPr>
        <w:t>Majumder S, Dong L, Doudi F, et al. Exploring the capabilities and limitations of large language models in the electric energy sector[J]. Joule, 2024, 8(6): 1544-1549. https://doi.org/10.1016/j.joule.2024.05.009.</w:t>
      </w:r>
      <w:bookmarkEnd w:id="3"/>
    </w:p>
    <w:p w14:paraId="52A95CCA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0" w:after="50" w:line="180" w:lineRule="exact"/>
        <w:ind w:left="454" w:leftChars="0" w:hanging="454" w:firstLineChars="0"/>
        <w:jc w:val="both"/>
        <w:textAlignment w:val="auto"/>
        <w:rPr>
          <w:sz w:val="21"/>
          <w:szCs w:val="21"/>
        </w:rPr>
      </w:pPr>
      <w:bookmarkStart w:id="4" w:name="_Ref29936"/>
      <w:r>
        <w:rPr>
          <w:rFonts w:ascii="Times New Roman" w:hAnsi="Times New Roman" w:eastAsia="宋体" w:cs="Times New Roman"/>
          <w:i w:val="0"/>
          <w:sz w:val="16"/>
          <w:szCs w:val="21"/>
        </w:rPr>
        <w:t>Ouyang L, Wu J, Jiang X, et al. Training language models to follow instructions with human feedback[C]//Advances in Neural Information Processing Systems 35. 2022: 27730-27744. https://arxiv.org/abs/2203.02155.</w:t>
      </w:r>
      <w:bookmarkEnd w:id="4"/>
    </w:p>
    <w:p w14:paraId="0670295A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0" w:after="50" w:line="180" w:lineRule="exact"/>
        <w:ind w:left="454" w:leftChars="0" w:hanging="454" w:firstLineChars="0"/>
        <w:jc w:val="both"/>
        <w:textAlignment w:val="auto"/>
        <w:rPr>
          <w:sz w:val="21"/>
          <w:szCs w:val="21"/>
        </w:rPr>
      </w:pPr>
      <w:bookmarkStart w:id="5" w:name="_Ref29808"/>
      <w:r>
        <w:rPr>
          <w:rFonts w:ascii="Times New Roman" w:hAnsi="Times New Roman" w:eastAsia="宋体" w:cs="Times New Roman"/>
          <w:i w:val="0"/>
          <w:sz w:val="16"/>
          <w:szCs w:val="21"/>
        </w:rPr>
        <w:t>Lewis P, Perez E, Piktus A, et al. Retrieval-augmented generation for knowledge-intensive NLP tasks[C]//Advances in Neural Information Processing Systems 33. 2020: 9459-9474. https://arxiv.org/abs/2005.11401.</w:t>
      </w:r>
      <w:bookmarkEnd w:id="5"/>
    </w:p>
    <w:p w14:paraId="4690F4B4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0" w:after="50" w:line="180" w:lineRule="exact"/>
        <w:ind w:left="454" w:leftChars="0" w:hanging="454" w:firstLineChars="0"/>
        <w:jc w:val="both"/>
        <w:textAlignment w:val="auto"/>
        <w:rPr>
          <w:sz w:val="21"/>
          <w:szCs w:val="21"/>
        </w:rPr>
      </w:pPr>
      <w:r>
        <w:rPr>
          <w:rFonts w:ascii="Times New Roman" w:hAnsi="Times New Roman" w:eastAsia="宋体" w:cs="Times New Roman"/>
          <w:i w:val="0"/>
          <w:kern w:val="0"/>
          <w:sz w:val="16"/>
          <w:szCs w:val="21"/>
          <w:lang w:eastAsia="en-US"/>
        </w:rPr>
        <w:t>Karakurt E, Akbulut A. Retrieval-augmented generation (RAG) and large language models (LLMs) for enterprise knowledge management and document automation: a systematic literature review[J]. Applied Sciences, 2026, 16(1): 368. https://doi.org/10.3390/app16010368.</w:t>
      </w:r>
    </w:p>
    <w:p w14:paraId="308304E7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0" w:after="50" w:line="180" w:lineRule="exact"/>
        <w:ind w:left="454" w:leftChars="0" w:hanging="454" w:firstLineChars="0"/>
        <w:jc w:val="both"/>
        <w:textAlignment w:val="auto"/>
        <w:rPr>
          <w:rFonts w:ascii="Times New Roman" w:hAnsi="Times New Roman" w:eastAsia="宋体"/>
          <w:b w:val="0"/>
          <w:i w:val="0"/>
          <w:kern w:val="0"/>
          <w:sz w:val="21"/>
          <w:szCs w:val="21"/>
          <w:lang w:eastAsia="en-US"/>
        </w:rPr>
      </w:pPr>
      <w:bookmarkStart w:id="6" w:name="_Ref30256"/>
      <w:r>
        <w:rPr>
          <w:rFonts w:ascii="Times New Roman" w:hAnsi="Times New Roman" w:eastAsia="宋体" w:cs="Times New Roman"/>
          <w:i w:val="0"/>
          <w:kern w:val="0"/>
          <w:sz w:val="16"/>
          <w:szCs w:val="21"/>
          <w:lang w:eastAsia="en-US"/>
        </w:rPr>
        <w:t>Yao S, Zhao J, Yu D, et al. ReAct: synergizing reasoning and acting in language models[C]//International Conference on Learning Representations. 2023. https://arxiv.org/abs/2210.03629.</w:t>
      </w:r>
    </w:p>
    <w:bookmarkEnd w:id="6"/>
    <w:p w14:paraId="57F0485A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0" w:after="50" w:line="180" w:lineRule="exact"/>
        <w:ind w:left="454" w:leftChars="0" w:hanging="454" w:firstLineChars="0"/>
        <w:jc w:val="both"/>
        <w:textAlignment w:val="auto"/>
        <w:rPr>
          <w:rFonts w:ascii="Times New Roman" w:hAnsi="Times New Roman" w:eastAsia="宋体"/>
          <w:b w:val="0"/>
          <w:i w:val="0"/>
          <w:kern w:val="0"/>
          <w:sz w:val="21"/>
          <w:szCs w:val="21"/>
          <w:lang w:eastAsia="en-US"/>
        </w:rPr>
      </w:pPr>
      <w:bookmarkStart w:id="7" w:name="_Ref30318"/>
      <w:r>
        <w:rPr>
          <w:rFonts w:ascii="Times New Roman" w:hAnsi="Times New Roman" w:eastAsia="宋体" w:cs="Times New Roman"/>
          <w:i w:val="0"/>
          <w:kern w:val="0"/>
          <w:sz w:val="16"/>
          <w:szCs w:val="21"/>
          <w:lang w:eastAsia="en-US"/>
        </w:rPr>
        <w:t>Rebedea T, Dinu R, Sreedhar M, et al. NeMo Guardrails: a toolkit for controllable and safe LLM applications with programmable rails[C]//Proceedings of the 2023 Conference on Empirical Methods in Natural Language Processing: System Demonstrations. 2023: 431-445. https://doi.org/10.18653/v1/2023.emnlp-demo.40.</w:t>
      </w:r>
    </w:p>
    <w:p w14:paraId="3C8A027C">
      <w:pPr>
        <w:numPr>
          <w:ilvl w:val="0"/>
          <w:numId w:val="7"/>
        </w:numPr>
        <w:spacing w:before="0" w:after="50" w:line="180" w:lineRule="exact"/>
        <w:ind w:left="454" w:leftChars="0" w:hanging="454" w:firstLineChars="0"/>
        <w:jc w:val="both"/>
        <w:rPr>
          <w:sz w:val="21"/>
          <w:szCs w:val="21"/>
        </w:rPr>
      </w:pPr>
      <w:r>
        <w:rPr>
          <w:rFonts w:ascii="Times New Roman" w:hAnsi="Times New Roman" w:eastAsia="宋体" w:cs="Times New Roman"/>
          <w:i w:val="0"/>
          <w:sz w:val="16"/>
          <w:szCs w:val="21"/>
        </w:rPr>
        <w:t>Qwen Team. Qwen2.5 technical report[EB/OL]. 2024. https://arxiv.org/abs/2412.15115.</w:t>
      </w:r>
      <w:bookmarkEnd w:id="7"/>
    </w:p>
    <w:p w14:paraId="1655E22F">
      <w:pPr>
        <w:numPr>
          <w:ilvl w:val="0"/>
          <w:numId w:val="7"/>
        </w:numPr>
        <w:spacing w:before="0" w:after="50" w:line="180" w:lineRule="exact"/>
        <w:ind w:left="454" w:leftChars="0" w:hanging="454" w:firstLineChars="0"/>
        <w:jc w:val="both"/>
        <w:rPr>
          <w:sz w:val="21"/>
          <w:szCs w:val="21"/>
        </w:rPr>
      </w:pPr>
      <w:bookmarkStart w:id="8" w:name="_Ref29537"/>
      <w:r>
        <w:rPr>
          <w:rFonts w:ascii="Times New Roman" w:hAnsi="Times New Roman" w:eastAsia="宋体" w:cs="Times New Roman"/>
          <w:i w:val="0"/>
          <w:sz w:val="16"/>
          <w:szCs w:val="21"/>
        </w:rPr>
        <w:t>Hu E J, Shen Y, Wallis P, et al. LoRA: low-rank adaptation of large language models[C]//International Conference on Learning Representations. 2022. https://arxiv.org/abs/2106.09685.</w:t>
      </w:r>
      <w:bookmarkEnd w:id="8"/>
    </w:p>
    <w:p w14:paraId="2AC97BFB">
      <w:pPr>
        <w:numPr>
          <w:ilvl w:val="0"/>
          <w:numId w:val="7"/>
        </w:numPr>
        <w:spacing w:before="0" w:after="50" w:line="180" w:lineRule="exact"/>
        <w:ind w:left="454" w:leftChars="0" w:hanging="454" w:firstLineChars="0"/>
        <w:jc w:val="both"/>
        <w:rPr>
          <w:sz w:val="21"/>
          <w:szCs w:val="21"/>
        </w:rPr>
      </w:pPr>
      <w:bookmarkStart w:id="9" w:name="_Ref29554"/>
      <w:r>
        <w:rPr>
          <w:rFonts w:ascii="Times New Roman" w:hAnsi="Times New Roman" w:eastAsia="宋体" w:cs="Times New Roman"/>
          <w:i w:val="0"/>
          <w:sz w:val="16"/>
          <w:szCs w:val="21"/>
        </w:rPr>
        <w:t>Li Y, Yu Y, Liang C, et al. LoftQ: LoRA-fine-tuning-aware quantization for large language models[C]//The Twelfth International Conference on Learning Representations. 2024. https://arxiv.org/abs/2310.08659.</w:t>
      </w:r>
    </w:p>
    <w:p w14:paraId="280081E4">
      <w:pPr>
        <w:numPr>
          <w:ilvl w:val="0"/>
          <w:numId w:val="7"/>
        </w:numPr>
        <w:spacing w:before="0" w:after="50" w:line="180" w:lineRule="exact"/>
        <w:ind w:left="454" w:leftChars="0" w:hanging="454" w:firstLineChars="0"/>
        <w:jc w:val="both"/>
        <w:rPr>
          <w:sz w:val="21"/>
          <w:szCs w:val="21"/>
        </w:rPr>
      </w:pPr>
      <w:r>
        <w:rPr>
          <w:rFonts w:ascii="Times New Roman" w:hAnsi="Times New Roman" w:eastAsia="宋体" w:cs="Times New Roman"/>
          <w:i w:val="0"/>
          <w:sz w:val="16"/>
          <w:szCs w:val="21"/>
        </w:rPr>
        <w:t>Zheng Y, Zhang R, Zhang J, et al. LlamaFactory: unified efficient fine-tuning of 100+ language models[C]//Proceedings of the 62nd Annual Meeting of the Association for Computational Linguistics: System Demonstrations. 2024: 400-410. https://doi.org/10.18653/v1/2024.acl-demos.38.</w:t>
      </w:r>
    </w:p>
    <w:bookmarkEnd w:id="9"/>
    <w:p w14:paraId="3A1885FC">
      <w:pPr>
        <w:numPr>
          <w:ilvl w:val="0"/>
          <w:numId w:val="0"/>
        </w:numPr>
        <w:spacing w:after="0" w:line="240" w:lineRule="auto"/>
        <w:ind w:leftChars="0"/>
        <w:jc w:val="both"/>
        <w:rPr>
          <w:sz w:val="21"/>
          <w:szCs w:val="21"/>
        </w:rPr>
      </w:pPr>
    </w:p>
    <w:sectPr>
      <w:pgSz w:w="11906" w:h="16838"/>
      <w:pgMar w:top="1134" w:right="1134" w:bottom="1134" w:left="1134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1ECEB373-8ECF-4E9D-B5CC-1A9FACF76199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EB76EEE0-230B-4ABF-969B-DA14847FBF3D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A8B3532C-B708-4AF7-8762-8B723F237049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08725C96-B773-4530-8FDD-5F0721A1F64D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0BCBC4C6-42DD-4573-957D-E829C5E40C0B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6" w:fontKey="{410F9A9C-0E0B-4382-BF05-A3A4F3076A4E}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7" w:fontKey="{DF7DC7F6-2BCA-41CB-831B-26C7EB0A0804}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8" w:fontKey="{B2B4F508-44F7-4B86-B3D0-18743033B647}"/>
  </w:font>
  <w:font w:name="ＭＳ 明朝">
    <w:altName w:val="Everything wanted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9" w:fontKey="{1EEE1A64-4716-4DE7-B3B4-71E2E731E828}"/>
  </w:font>
  <w:font w:name="Everything wanted">
    <w:panose1 w:val="02000500000000000000"/>
    <w:charset w:val="00"/>
    <w:family w:val="auto"/>
    <w:pitch w:val="default"/>
    <w:sig w:usb0="A00000FF" w:usb1="10000042" w:usb2="00000000" w:usb3="00000000" w:csb0="00000011" w:csb1="00000000"/>
    <w:embedRegular r:id="rId10" w:fontKey="{60A4FBBC-440A-4361-B06A-70DEAA8897E4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280C3DD5"/>
    <w:multiLevelType w:val="singleLevel"/>
    <w:tmpl w:val="280C3DD5"/>
    <w:lvl w:ilvl="0" w:tentative="0">
      <w:start w:val="1"/>
      <w:numFmt w:val="decimal"/>
      <w:lvlText w:val="[%1]"/>
      <w:lvlJc w:val="left"/>
      <w:pPr>
        <w:tabs>
          <w:tab w:val="left" w:pos="454"/>
        </w:tabs>
        <w:ind w:left="454" w:leftChars="0" w:hanging="454" w:firstLineChars="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7C7E65"/>
    <w:rsid w:val="0896012D"/>
    <w:rsid w:val="3D385C00"/>
    <w:rsid w:val="42E17B8B"/>
    <w:rsid w:val="4A640BB4"/>
    <w:rsid w:val="51937451"/>
    <w:rsid w:val="6627459B"/>
    <w:rsid w:val="68E04751"/>
    <w:rsid w:val="73602E23"/>
    <w:rsid w:val="76D35657"/>
    <w:rsid w:val="7CFE7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40" w:lineRule="auto"/>
    </w:pPr>
    <w:rPr>
      <w:rFonts w:ascii="Times New Roman" w:hAnsi="Times New Roman" w:eastAsia="宋体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6.png"/><Relationship Id="rId13" Type="http://schemas.openxmlformats.org/officeDocument/2006/relationships/image" Target="media/image5.wmf"/><Relationship Id="rId12" Type="http://schemas.openxmlformats.org/officeDocument/2006/relationships/oleObject" Target="embeddings/oleObject3.bin"/><Relationship Id="rId11" Type="http://schemas.openxmlformats.org/officeDocument/2006/relationships/image" Target="media/image4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9009</Words>
  <Characters>12020</Characters>
  <Lines>0</Lines>
  <Paragraphs>0</Paragraphs>
  <TotalTime>51</TotalTime>
  <ScaleCrop>false</ScaleCrop>
  <LinksUpToDate>false</LinksUpToDate>
  <CharactersWithSpaces>12641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順</cp:lastModifiedBy>
  <dcterms:modified xsi:type="dcterms:W3CDTF">2026-10-21T14:31:27Z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eyJoZGlkIjoiZTc2NTRjNDZmNjJkYzcyNTYyYjdkYTg0MGFkYzU1ODciLCJ1c2VySWQiOiI1NTA4MDA3MDMifQ==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B42509B5202646E4B388EA3D4848C8A7_13</vt:lpwstr>
  </property>
</Properties>
</file>