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20" w:line="228" w:lineRule="exact"/>
        <w:jc w:val="center"/>
        <w:rPr>
          <w:sz w:val="30"/>
          <w:szCs w:val="30"/>
        </w:rPr>
      </w:pPr>
      <w:r>
        <w:rPr>
          <w:rFonts w:ascii="Times New Roman" w:hAnsi="Times New Roman" w:eastAsia="宋体" w:cs="Times New Roman"/>
          <w:b/>
          <w:i w:val="0"/>
          <w:sz w:val="48"/>
          <w:szCs w:val="30"/>
        </w:rPr>
        <w:t>规则增强的变电运维个性化培训智能体设计与实现</w:t>
      </w:r>
    </w:p>
    <w:p>
      <w:pPr>
        <w:spacing w:line="40" w:lineRule="exact" w:before="0" w:after="0"/>
        <w:sectPr>
          <w:type w:val="continuous"/>
          <w:pgSz w:w="11906" w:h="16838"/>
          <w:pgMar w:top="538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444A796D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z w:val="22"/>
          <w:szCs w:val="21"/>
        </w:rPr>
        <w:t>渠梓盈</w:t>
      </w:r>
    </w:p>
    <w:p w14:paraId="31662DE2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广科24网安本科2班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3237586467@qq.com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15917497332</w:t>
        <w:br w:type="column"/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z w:val="22"/>
          <w:szCs w:val="21"/>
        </w:rPr>
        <w:t>冯保桐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广科24网安本科2班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912507522@qq.com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15015504550</w:t>
        <w:br w:type="column"/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/>
          <w:i w:val="0"/>
          <w:sz w:val="22"/>
          <w:szCs w:val="21"/>
        </w:rPr>
        <w:t>冯敬轩*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广科24网安本科2班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3597425662@qq.com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*通信作者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1"/>
        </w:rPr>
        <w:t>13435641398</w:t>
      </w:r>
    </w:p>
    <w:p>
      <w:pPr>
        <w:spacing w:line="40" w:lineRule="exact" w:before="0" w:after="0"/>
        <w:sectPr>
          <w:type w:val="continuous"/>
          <w:pgSz w:w="11906" w:h="16838"/>
          <w:pgMar w:top="447" w:right="896" w:bottom="1440" w:left="896" w:header="851" w:footer="992" w:gutter="0"/>
          <w:cols w:num="3" w:space="720"/>
          <w:docGrid w:linePitch="360"/>
        </w:sectPr>
      </w:pPr>
      <w:r>
        <w:rPr>
          <w:sz w:val="4"/>
        </w:rPr>
      </w:r>
    </w:p>
    <w:p w14:paraId="2935841A">
      <w:pPr>
        <w:spacing w:before="120" w:after="200"/>
        <w:jc w:val="both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i w:val="0"/>
          <w:sz w:val="18"/>
          <w:szCs w:val="28"/>
          <w:lang w:val="en-US" w:eastAsia="zh-CN"/>
        </w:rPr>
        <w:t>摘要：</w:t>
      </w:r>
      <w:r>
        <w:rPr>
          <w:rFonts w:ascii="Times New Roman" w:hAnsi="Times New Roman" w:eastAsia="宋体" w:cs="Times New Roman"/>
          <w:b/>
          <w:i w:val="0"/>
          <w:sz w:val="18"/>
          <w:szCs w:val="28"/>
        </w:rPr>
        <w:t>变电运维岗位的培训同时受到安全规程与人员能力差异的双重制约。直接用通用大模型生成培训建议，会出现规程幻觉、结论无法追溯等问题，仅把检索到的规程文本放进上下文，也保证不了输出落在业务阈值之内。针对这一问题，本文设计了一种规则增强的个性化培训智能体：安全与业务阈值的判定交给声明式规则引擎，模型只负责把结论讲清楚，两者之间靠四道防线衔接——结构契约、数值对账、输入端授权与安全处置。结构类不合格的输出整份回退到规则结论；数值类无出处的数字则留痕并压低置信度。一次执行由同一执行编号串联命中规则、建议与人工决定。模型以 Qwen2.5-3B-Instruct 为基座完成 4-bit QLoRA 微调。在 150 份按因子设计生成的结构化档案上回放 450 次规则执行，档案级覆盖 150/150，考试不合格与证书等级不足两类负例的漏报均为 0；在 200 组参数网格上，定档、关键词补充与严重度合并的正确率均为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例全部拦截，数值类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before="0" w:after="1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关键词：</w:t>
      </w: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变电运维</w:t>
      </w:r>
      <w:r>
        <w:rPr>
          <w:rFonts w:hint="eastAsia" w:ascii="Times New Roman" w:hAnsi="Times New Roman" w:eastAsia="宋体" w:cs="Times New Roman"/>
          <w:b/>
          <w:i w:val="0"/>
          <w:sz w:val="18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个性化培训</w:t>
      </w:r>
      <w:r>
        <w:rPr>
          <w:rFonts w:hint="eastAsia" w:ascii="Times New Roman" w:hAnsi="Times New Roman" w:eastAsia="宋体" w:cs="Times New Roman"/>
          <w:b/>
          <w:i w:val="0"/>
          <w:sz w:val="18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大语言模型</w:t>
      </w:r>
      <w:r>
        <w:rPr>
          <w:rFonts w:hint="eastAsia" w:ascii="Times New Roman" w:hAnsi="Times New Roman" w:eastAsia="宋体" w:cs="Times New Roman"/>
          <w:b/>
          <w:i w:val="0"/>
          <w:sz w:val="18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声明式规则引擎</w:t>
      </w:r>
      <w:r>
        <w:rPr>
          <w:rFonts w:hint="eastAsia" w:ascii="Times New Roman" w:hAnsi="Times New Roman" w:eastAsia="宋体" w:cs="Times New Roman"/>
          <w:b/>
          <w:i w:val="0"/>
          <w:sz w:val="18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i w:val="0"/>
          <w:sz w:val="18"/>
          <w:szCs w:val="24"/>
        </w:rPr>
        <w:t>参数高效微调</w:t>
      </w:r>
    </w:p>
    <w:p w14:paraId="2E7063E9">
      <w:pPr>
        <w:spacing w:after="120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5761CA28">
      <w:pPr>
        <w:keepNext/>
        <w:spacing w:before="160" w:after="80"/>
        <w:ind w:firstLineChars="0"/>
        <w:jc w:val="center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1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引言</w:t>
      </w:r>
    </w:p>
    <w:p w14:paraId="19523EFE">
      <w:pPr>
        <w:keepNext/>
        <w:spacing w:before="120" w:after="60"/>
        <w:ind w:firstLineChars="0"/>
        <w:jc w:val="left"/>
        <w:rPr>
          <w:rFonts w:hint="default" w:ascii="Times New Roman" w:hAnsi="Times New Roman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/>
          <w:sz w:val="20"/>
          <w:szCs w:val="24"/>
          <w:lang w:val="en-US" w:eastAsia="zh-CN"/>
        </w:rPr>
        <w:t>1.1 研究背景</w:t>
      </w:r>
    </w:p>
    <w:p w14:paraId="1120072A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变电运维涵盖设备巡视、倒闸操作、异常处置等高风险作业，每一步都受安全规程约束。运维人员在资格等级、实操表现、考试成绩和安全记录上差别很大，相关数据又分散在人事、培训、安全三套台账里，靠统一推送课程的老办法很难给出个体化的建议。近年来大模型开始进入电力设备智能运维环节，其技术挑战与发展路径已有系统梳理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，但落到培训这个具体场景，情况并无本质不同：大模型可以为案例生成、规程问答和学习建议提供新的途径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，电网调度领域也已有知识嵌入与辅助决策的尝试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，而安全攸关场景不能照搬。</w:t>
      </w:r>
    </w:p>
    <w:p w14:paraId="65A01B85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1.2 问题定位与研究思路</w:t>
      </w:r>
    </w:p>
    <w:p w14:paraId="0B8D113E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把大模型直接放进安全攸关的培训流程，风险集中在三处。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规程幻觉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首当其冲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：模型可能用十分确定的语气，说出根本不存在的条款或阈值。其次是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结论不可追溯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——建议里出现的合格线、人数、金额，往往找不到对应的数据来源。再就是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输出不稳定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，同样的输入多调几次，结论可能不一致。针对电力能源行业的系统评估同样把结论指向“需要外部判定”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。指令微调与基于人类反馈的对齐能压低幻觉比例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[6]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，但消除不了；检索增强生成缓解了幻觉问题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[7][8]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，可是检索到的规程并不等于生成内容符合规程，输出是否落在业务阈值之内，依然没有保证。</w:t>
      </w:r>
    </w:p>
    <w:p w14:paraId="1E66190A">
      <w:pPr>
        <w:keepNext/>
        <w:spacing w:before="120" w:after="60"/>
        <w:ind w:firstLineChars="0"/>
        <w:jc w:val="left"/>
        <w:rPr>
          <w:rFonts w:hint="default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/>
          <w:sz w:val="20"/>
          <w:szCs w:val="24"/>
          <w:lang w:val="en-US" w:eastAsia="zh-CN"/>
        </w:rPr>
        <w:t>1.3 本文贡献</w:t>
      </w:r>
    </w:p>
    <w:p w14:paraId="0B857C5B">
      <w:pPr>
        <w:spacing w:before="0" w:after="120" w:line="228" w:lineRule="exact"/>
        <w:ind w:firstLineChars="200" w:firstLine="420"/>
        <w:jc w:val="both"/>
        <w:rPr>
          <w:rFonts w:hint="eastAsia"/>
          <w:b w:val="0"/>
          <w:i w:val="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本文的思路是把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判定权与表达权分开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：安全与业务阈值的判定交给可审计的声明式规则引擎，模型只承担叙述性表达，两者之间用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四道防线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衔接，结构类不合格即整份回退规则结论。规则引擎、参数高效微调和输出校验都不是本文的原创，本文主张的是面向该场景的一项架构与治理贡献：给出规则配置、规则计算与决策治理三层架构，规则路径与模型路径以来源标记隔离，更换模型不动接口与前端；设计 JSON 声明式规则，支持分组收敛、事实引用与热更新，阈值一律引用事实而不写入字面量；把校验拆成结构、数值、授权、安全四条通道，分别对应回退、留痕、拒绝与规则处置，并给出覆盖边界。在此之上，按与线上提示词同形的原则重建语料完成微调，用规则回放、语义网格、模型实测与错误注入四组实验加以检验。</w:t>
      </w:r>
    </w:p>
    <w:p w14:paraId="32A30243">
      <w:pPr>
        <w:keepNext/>
        <w:spacing w:before="160" w:after="80"/>
        <w:ind w:firstLineChars="0"/>
        <w:jc w:val="center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>2 相关工作</w:t>
      </w:r>
    </w:p>
    <w:p w14:paraId="60D972E5">
      <w:pPr>
        <w:keepNext/>
        <w:spacing w:before="120" w:after="60"/>
        <w:ind w:firstLineChars="0"/>
        <w:jc w:val="left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/>
          <w:sz w:val="20"/>
          <w:szCs w:val="28"/>
          <w:lang w:val="en-US" w:eastAsia="zh-CN"/>
        </w:rPr>
        <w:t>2.1 五类技术路线的约束位置</w:t>
      </w:r>
    </w:p>
    <w:p w14:paraId="2AE60446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按“约束在何处执行”来划分，现有路线大致有五类，见表 1。固定课件把约束放在编制环节，课程一旦成形就与个体无关。通用大模型与工具调用型智能体把约束留在提示词里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[9]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而提示词只影响生成倾向，算不上可验证的判定。检索增强生成把约束降级为上下文，检索到的规程不等于生成内容符合规程。知识图谱擅长描述概念之间的联系，却缺少由阈值触发的判定逻辑。相比之下，规则引擎把约束落在运行期的条件匹配上，确定性与可审计性最好，代价是表达固定，规则库维护中容易出现口径脱节与规则相互遮蔽——这类退化不报错，只表现为命中率悄悄下降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1E001B49">
      <w:pPr>
        <w:keepNext/>
        <w:spacing w:before="80" w:after="120"/>
        <w:jc w:val="center"/>
        <w:rPr>
          <w:sz w:val="18"/>
          <w:szCs w:val="18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表1 五类技术路线的约束执行位置与主要不足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1594"/>
        <w:gridCol w:w="2192"/>
        <w:gridCol w:w="3786"/>
        <w:gridCol w:w="1606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76" w:hRule="atLeast"/>
          <w:tblHeader/>
          <w:jc w:val="center"/>
        </w:trPr>
        <w:tc>
          <w:tcPr>
            <w:tcW w:w="159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47AB9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技术路线</w:t>
            </w:r>
          </w:p>
        </w:tc>
        <w:tc>
          <w:tcPr>
            <w:tcW w:w="219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644F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约束在何处执行</w:t>
            </w:r>
          </w:p>
        </w:tc>
        <w:tc>
          <w:tcPr>
            <w:tcW w:w="37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235CF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本场景下的主要不足</w:t>
            </w:r>
          </w:p>
        </w:tc>
        <w:tc>
          <w:tcPr>
            <w:tcW w:w="160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97F5D3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关键技术与指标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8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DD3E2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固定课件培训系统</w:t>
            </w:r>
          </w:p>
        </w:tc>
        <w:tc>
          <w:tcPr>
            <w:tcW w:w="21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C1318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课程编制环节人工把关</w:t>
            </w:r>
          </w:p>
        </w:tc>
        <w:tc>
          <w:tcPr>
            <w:tcW w:w="37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B1CE3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无法适配个体差异，规程修订后维护成本高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3C9766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统一课程包、集中排期、年度复训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BCE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通用大模型智能体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55F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提示词与解码策略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8CB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规程幻觉、结论不可追溯、多次调用不一致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4750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指令微调、提示词约束、温度采样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54D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检索增强生成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0B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检索结果作为生成上下文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8797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只提供依据，不对建议本身作出判定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18735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向量检索、Top-k 召回、上下文拼接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50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F59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知识图谱增强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D826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本体与关系约束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F7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依赖本体构建，缺少阈值触发的判定逻辑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5E55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本体建模、实体关系、路径推理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6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870AD3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业务规则引擎</w:t>
            </w:r>
          </w:p>
        </w:tc>
        <w:tc>
          <w:tcPr>
            <w:tcW w:w="219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B348323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运行期条件匹配</w:t>
            </w:r>
          </w:p>
        </w:tc>
        <w:tc>
          <w:tcPr>
            <w:tcW w:w="37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67D3A6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确定性强，但表达固定、规则库维护负担重</w:t>
            </w:r>
          </w:p>
        </w:tc>
        <w:tc>
          <w:tcPr>
            <w:tcW w:w="160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06CC32E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条件树、阈值命中、优先级排序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36FAD56B">
      <w:pPr>
        <w:spacing w:after="40" w:line="80" w:lineRule="exact"/>
        <w:rPr>
          <w:sz w:val="24"/>
          <w:szCs w:val="24"/>
        </w:rPr>
      </w:pPr>
    </w:p>
    <w:p w14:paraId="2D1AB8DC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2.2 与可编程护栏的区别及问题定位</w:t>
      </w:r>
    </w:p>
    <w:p w14:paraId="358ACF92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与本文最接近的是可编程护栏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[10]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差别有三：护栏以专用语言在对话层设定输入输出边界，判定对象是对话行为，本文则把判定条件放进业务规则库，判的是岗位标准、课程合格线与安全记录，规则由业务方维护；护栏通常拦截或改写文本，本文在拦截之外保留一条完整的规则结论作为回退产物，失败时仍有可交付的结果。上述路线并非互斥，真正缺的是分工与失败处置——判定须由可审计的载体承担，表达可以交给模型，两者之间需要一层能够拒绝、能够回退并留下证据的机制。</w:t>
      </w:r>
    </w:p>
    <w:p w14:paraId="5445C8A4">
      <w:pPr>
        <w:keepNext/>
        <w:spacing w:before="160" w:after="80"/>
        <w:ind w:firstLineChars="0"/>
        <w:jc w:val="center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3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系统架构</w:t>
      </w:r>
    </w:p>
    <w:p w14:paraId="4A643D79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系统受三条工程约束：角色之间有数据边界，安全类判定优先于一般业务判定，只允许单库部署且不引入外部规则框架。据此，规则以 JSON 列存入 MySQL 8，服务端直接读写，不设对象关系映射层。整体分三层（图 1）：规则配置层负责规则的增删改与启停，修改即时生效；规则计算层按场景装配事实并求值；决策治理层负责校验、回退与人工确认。两条不变量贯穿全链——规则引擎只写中间结果、不改写业务原始数据；对外输出的 need_human_confirm 恒为真。一次执行由同一执行编号串起命中规则、建议与最终决定，结论可以回溯到规则编号和数据点。</w:t>
      </w:r>
    </w:p>
    <w:p w14:paraId="4C101A7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340000" cy="3590474"/>
            <wp:effectExtent l="0" t="0" r="8890" b="635"/>
            <wp:docPr id="1" name="Picture 1" descr="C:/Users/admin/Desktop/论文图片_重绘/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/Desktop/论文图片_重绘/2.png2"/>
                    <pic:cNvPicPr>
                      <a:picLocks noChangeAspect="1"/>
                    </pic:cNvPicPr>
                  </pic:nvPicPr>
                  <pic:blipFill>
                    <a:blip r:embed="rId6"/>
                    <a:srcRect l="507" r="50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B36">
      <w:pPr>
        <w:spacing w:before="80" w:after="120"/>
        <w:jc w:val="center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图1 系统总体架构</w:t>
      </w:r>
    </w:p>
    <w:p w14:paraId="1F30962D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3.1 声明式规则引擎</w:t>
      </w:r>
    </w:p>
    <w:p w14:paraId="3D976D9F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规则以 JSON 条件树描述，算子取白名单，禁用表达式求值与字符串拼接，从机制上排除注入风险。条件求值取三值语义：满足、不满足、不可判定。不可判定（事实缺失、类型不符、算子越界）只跳过该条规则并记录原因；当一个场景的全部规则都不可判定时，未命中原因标注为“可判定”而非“无风险”，避免把证据不足误读成结论正常。为支持“定档”与“关键词补充”并存，设计了三个机制：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rule_group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 xml:space="preserve"> 分组收敛，命中即关闭本组而不影响他组；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max_hits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 xml:space="preserve"> 限制组内命中上限；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星号_from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 xml:space="preserve"> 让动作字段引用其他事实的取值，一条规则因而可服务多类对象。求值前按优先级降序、再按编号升序排序，结果与物理行序无关；多组命中后按严重度去重合并，取最严重者。以考试判定为例，条件体只声明“成绩低于合格线”，比较两侧的取值都来自事实，换课程只需换数据。</w:t>
      </w:r>
    </w:p>
    <w:p w14:paraId="45BB2C6D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3.2 校验与失败处置</w:t>
      </w:r>
    </w:p>
    <w:p w14:paraId="1A15CF92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模型输出进入治理层后依次经过四道防线，判定对象、处置方式与实现位置见表 2。这四道防线并不是同一种“校验”。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结构契约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是硬判定，不合格整份作废并回退规则结论，系统不设自动重写——重写会把一次失败变成两次模型调用，还不能保证第二次更好，而规则结论本来就可用了。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数值对账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是软判定，只留痕并把置信度封顶。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输入端授权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发生在装配事实之前，越权请求连数据都取不到，也就不存在“越权数据已进入上下文、再裁剪输出”的问题。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安全处置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不在校验器里，而在规则层由 SAFETY 分组硬处置，事实清单第 8 组固定给出安全记录，提示词同时要求“一票否决须作为最高优先级点名”。失败路径与来源标记见图 2，对外来源标记只取 rule 与 model 两值，更换模型服务不改业务接口与前端。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30A16834">
      <w:pPr>
        <w:keepNext/>
        <w:spacing w:before="80" w:after="120"/>
        <w:jc w:val="center"/>
        <w:rPr>
          <w:rFonts w:ascii="Times New Roman" w:hAnsi="Times New Roman" w:eastAsia="宋体"/>
          <w:b w:val="0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18"/>
        </w:rPr>
        <w:t>表2 四道防线的判定对象与处置方式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832"/>
        <w:gridCol w:w="2428"/>
        <w:gridCol w:w="2447"/>
        <w:gridCol w:w="2555"/>
        <w:gridCol w:w="1656"/>
      </w:tblGrid>
      <w:tr w14:paraId="1167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tblHeader/>
          <w:jc w:val="center"/>
        </w:trPr>
        <w:tc>
          <w:tcPr>
            <w:tcW w:w="83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FE386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防线</w:t>
            </w:r>
          </w:p>
        </w:tc>
        <w:tc>
          <w:tcPr>
            <w:tcW w:w="242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EC842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判定对象与依据</w:t>
            </w:r>
          </w:p>
        </w:tc>
        <w:tc>
          <w:tcPr>
            <w:tcW w:w="244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525DB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不通过时的处置</w:t>
            </w:r>
          </w:p>
        </w:tc>
        <w:tc>
          <w:tcPr>
            <w:tcW w:w="255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A58B1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实现位置</w:t>
            </w:r>
          </w:p>
        </w:tc>
        <w:tc>
          <w:tcPr>
            <w:tcW w:w="165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741106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b/>
                <w:sz w:val="16"/>
                <w:szCs w:val="18"/>
              </w:rPr>
              <w:t>关键机制</w:t>
            </w:r>
          </w:p>
        </w:tc>
      </w:tr>
      <w:tr w14:paraId="3424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34" w:hRule="atLeast"/>
          <w:jc w:val="center"/>
        </w:trPr>
        <w:tc>
          <w:tcPr>
            <w:tcW w:w="8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C8ED7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结构契约</w:t>
            </w:r>
          </w:p>
        </w:tc>
        <w:tc>
          <w:tcPr>
            <w:tcW w:w="24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81C5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六键字段完整性、枚举取值、等级区间、技能不重复、日期格式</w:t>
            </w:r>
          </w:p>
        </w:tc>
        <w:tc>
          <w:tcPr>
            <w:tcW w:w="24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6503D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整份结论作废，回退规则结论并写入fallback_note；不重试</w:t>
            </w:r>
          </w:p>
        </w:tc>
        <w:tc>
          <w:tcPr>
            <w:tcW w:w="25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E45774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DiagnosisContract.validatePersonal</w:t>
            </w:r>
          </w:p>
        </w:tc>
        <w:tc>
          <w:tcPr>
            <w:tcW w:w="165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7FD245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JSON契约校验、枚举白名单</w:t>
            </w:r>
          </w:p>
        </w:tc>
      </w:tr>
      <w:tr w14:paraId="1E7F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95A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数值对账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D99D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总述、结论理由与计划理由中出现的数字，须落在事实清单的数字集合内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3CE3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不拦截结论，记入unverified_numbers，置信度封顶0.6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3D39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DiagnosisPipeline.finish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27E33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事实数字集合比对、置信度封顶</w:t>
            </w:r>
          </w:p>
        </w:tc>
      </w:tr>
      <w:tr w14:paraId="1D5B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0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997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输入端授权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2FF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令牌投影出的角色与接口路径前缀白名单（员工／组长／老总／管理员）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D5F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直接返回403，请求不进入事实装配，也不进入模型上下文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E428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rbac/RoleInterceptor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7A9C4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角色令牌投影、路径前缀白名单（RBAC）</w:t>
            </w:r>
          </w:p>
        </w:tc>
      </w:tr>
      <w:tr w14:paraId="5BD1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7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4802C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安全处置</w:t>
            </w:r>
          </w:p>
        </w:tc>
        <w:tc>
          <w:tcPr>
            <w:tcW w:w="242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B0AA18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safety_record的一票否决标志与风险等级</w:t>
            </w:r>
          </w:p>
        </w:tc>
        <w:tc>
          <w:tcPr>
            <w:tcW w:w="244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FDAC2A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由SAFETY规则组硬处置，结论须点名；第8组事实固定给出</w:t>
            </w:r>
          </w:p>
        </w:tc>
        <w:tc>
          <w:tcPr>
            <w:tcW w:w="255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23DA10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规则层SAFETY分组</w:t>
            </w:r>
          </w:p>
        </w:tc>
        <w:tc>
          <w:tcPr>
            <w:tcW w:w="165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B1E0862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SAFETY规则组、一票否决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68AD7B8F">
      <w:pPr>
        <w:spacing w:after="40" w:line="80" w:lineRule="exact"/>
        <w:rPr>
          <w:sz w:val="24"/>
          <w:szCs w:val="24"/>
        </w:rPr>
      </w:pPr>
    </w:p>
    <w:p w14:paraId="3E4EA3D7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520000" cy="2737376"/>
            <wp:effectExtent l="0" t="0" r="4445" b="0"/>
            <wp:docPr id="2" name="Picture 2" descr="C:/Users/admin/Desktop/论文图片_重绘/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/Desktop/论文图片_重绘/1.png1"/>
                    <pic:cNvPicPr>
                      <a:picLocks noChangeAspect="1"/>
                    </pic:cNvPicPr>
                  </pic:nvPicPr>
                  <pic:blipFill>
                    <a:blip r:embed="rId7"/>
                    <a:srcRect t="310" b="3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7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06B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图2 四道防线与失败处置</w:t>
      </w:r>
    </w:p>
    <w:p w14:paraId="2525570C">
      <w:pPr>
        <w:keepNext/>
        <w:spacing w:before="160" w:after="80"/>
        <w:ind w:firstLineChars="0"/>
        <w:jc w:val="center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4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关键实现</w:t>
      </w:r>
    </w:p>
    <w:p w14:paraId="05DBFDEC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4.1 规则集与事实适配</w:t>
      </w:r>
    </w:p>
    <w:p w14:paraId="3E45F350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规则库共 22 条，覆盖五个业务场景，其中 20 条参与求值，2 条作为历史版本保留、用于回溯既有结论，分布见表 3。建模时遵循两条原则。一是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阈值引用事实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而非写入字面量：课程合格线取自课程表，岗位要求等级取自岗位表，同一条规则因此可适配 80 分与 85 分、L2 至 L4 等不同口径，业务口径变更时只改数据、不动规则。二是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组合优于枚举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：气体归因的结论与处置措施经星号_from 从气体配置取值，五条定档规则就能服务全部气体类型，否则规则数会随气体种类线性增长。另需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7666A861">
      <w:pPr>
        <w:keepNext/>
        <w:spacing w:before="80" w:after="12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表3 规则集在五个业务场景上的分布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8366E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56B73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41DBD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03351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C7AA0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155FC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个人能力差距PERSONAL_GAP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99627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0DBE7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B9776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00E34A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7A6B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考试判定EXAM_RESULT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EDE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C50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731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8F8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课程表pass_score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85B4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人才缺口TALENT_GAP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B5D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AC86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DBCD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8E14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9ACF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实操报告归因REPORT_ANALYSIS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929B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363F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7E9D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0CE3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43B5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气体检测归因REPORT_GAS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1690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EF3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8E4E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余量比定档（5条）与七类异常关键词（7条）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E45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5D6412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0845A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C7EEA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D8BFE5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3D021A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均为事实引用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3BCD1FCF">
      <w:pPr>
        <w:spacing w:after="40" w:line="80" w:lineRule="exact"/>
        <w:rPr>
          <w:sz w:val="24"/>
          <w:szCs w:val="24"/>
        </w:rPr>
      </w:pPr>
    </w:p>
    <w:p w14:paraId="25F907B9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事实适配层只读人事、考试、实操与安全四类台账，把档案组装为带编号与来源标签的事实清单。每个场景只允许一个事实来源，且不读取历史诊断结论，以抑制结论回灌。这只能减少反馈污染；要让重复回放的输入一致，还须固定台账快照与规则版本，本文的回放实验正是在这一前提下进行的。技能差距清单由后端按技能雷达预先归并给定，模型只能引用、不得增删——这一约束把“哪些技能构成缺口”从生成任务降为转述任务，是输出稳定的前提。</w:t>
      </w:r>
    </w:p>
    <w:p w14:paraId="4F0FF3FE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差距量化的口径如下：岗位差距取要求等级与现状等级之差，未来需求差距取未来需求与现状等级之差，均截断为非负；考试、实操、证书与安全四项偏差分别归一化到 [0,1]。六项加权得到补强优先级，见式（1），权重由业务侧按管理侧重配置；再按式（2）映射为 P1 至 P3 三档，阈值同样由业务侧给定。排期顺序因此与规则判定同源，不由模型自由决定。</w:t>
      </w:r>
    </w:p>
    <w:p w14:paraId="1E0B326B">
      <w:pPr>
        <w:spacing w:before="120" w:after="120" w:line="240" w:lineRule="atLeast"/>
        <w:ind w:firstLine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ascii="Times New Roman" w:hAnsi="Times New Roman" w:eastAsia="宋体"/>
            <w:sz w:val="20"/>
            <w:szCs w:val="20"/>
          </w:rPr>
          <w:object>
            <v:shape id="_x0000_i1025" o:spt="75" type="#_x0000_t75" style="height:19pt;width:249pt;" o:ole="t" filled="f" o:preferrelative="t" stroked="f" coordsize="21600,21600">
              <v:path/>
              <v:fill on="f" focussize="0,0"/>
              <v:stroke on="f"/>
              <v:imagedata r:id="rId9" o:title=""/>
              <o:lock v:ext="edit" aspectratio="f"/>
              <w10:wrap type="none"/>
              <w10:anchorlock/>
            </v:shape>
            <o:OLEObject Type="Embed" ProgID="Equation.DSMT4" ShapeID="_x0000_i1025" DrawAspect="Content" ObjectID="_1468075725" r:id="rId8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（1）</w:t>
      </w:r>
    </w:p>
    <w:p w14:paraId="461AC5BA">
      <w:pPr>
        <w:spacing w:before="120" w:after="120" w:line="240" w:lineRule="atLeast"/>
        <w:ind w:firstLineChars="0"/>
        <w:jc w:val="center"/>
        <w:rPr>
          <w:rFonts w:ascii="Times New Roman" w:hAnsi="Times New Roman" w:eastAsia="宋体"/>
          <w:b w:val="0"/>
          <w:i w:val="0"/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0"/>
            <w:szCs w:val="20"/>
          </w:rPr>
          <w:object>
            <v:shape id="_x0000_i1026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1" o:title=""/>
              <o:lock v:ext="edit" aspectratio="f"/>
              <w10:wrap type="none"/>
              <w10:anchorlock/>
            </v:shape>
            <o:OLEObject Type="Embed" ProgID="Equation.DSMT4" ShapeID="_x0000_i1026" DrawAspect="Content" ObjectID="_1468075726" r:id="rId10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（2）</w:t>
      </w:r>
    </w:p>
    <w:p w14:paraId="6D187769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4.2 输出契约、语料与微调</w:t>
      </w:r>
    </w:p>
    <w:p w14:paraId="5B63B121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为跨技能复合路径。诊断编号、运行时间、来源标记、证据条数与人工确认标志均由后端补写，模型不参与生成。这一分工是四道防线得以实施的前提：结构字段归代码负责，模型只写叙述字段。</w:t>
      </w:r>
    </w:p>
    <w:p w14:paraId="6E972530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第一版语料按“固定指令、档案散文、十一键目标输出”组织，共 150 条，接入线上服务时暴露出三处不匹配：提示词不同形——线上是日期、事实清单、缺口清单与输出模板四段式，该版按档案分段拼接；契约不同形——六键与十一键仅差距项同名，150 条目标答案全部无法通过校验；答案不完整——答案长度中位 1795 token，而首轮窗口只有 1024，约 78% 的答案 token 被截断。第二版据此重建成 500 条：生成器照后端源码逐字复刻四段式提示词，档案只作事实来源；每条样本重新采样事实组合，差距项为 1、2、3 项的样本分别有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 w14:paraId="29E03E8E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微调以 Qwen2.5-3B-Instruct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[11]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为基座，采用低秩适配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[12]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与 4-bit 量化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[13]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后端、Vue3 前端，推理服务以 LLaMA-Factory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  <w:vertAlign w:val="superscript"/>
        </w:rPr>
        <w:t>[14]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 xml:space="preserve"> 的 api 模式对外提供 OpenAI 兼容接口，采样温度固定 0.2，输出强制为 JSON 对象。模型路径端到端为百秒级，实际部署宜按“规则结论先行、模型叙述补入后提示复核”的方式使用，两者以来源标记区分，最终仍由人工确认。</w:t>
      </w:r>
    </w:p>
    <w:p w14:paraId="7A43A9C4">
      <w:pPr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7430F26D">
      <w:pPr>
        <w:keepNext/>
        <w:spacing w:before="160" w:after="80"/>
        <w:ind w:firstLineChars="0"/>
        <w:jc w:val="center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5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实验与结果分析</w:t>
      </w:r>
    </w:p>
    <w:p w14:paraId="38214C17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5.1 实验设置与数据关系</w:t>
      </w:r>
    </w:p>
    <w:p w14:paraId="2956ABA0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4。需要说明，训练语料、留出样本与评测档案同源：三者由同一批 150 份档案经同一生成器展开，留出样本只换随机种子与事实组合。因此模型实测反映的是“未见提示词上的输出合规性”，不能据此推断跨单位泛化能力。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22A85F65">
      <w:pPr>
        <w:keepNext/>
        <w:spacing w:before="80" w:after="12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表4 实验数据与回放的构成及用途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1196"/>
        <w:gridCol w:w="1143"/>
        <w:gridCol w:w="3162"/>
        <w:gridCol w:w="2111"/>
        <w:gridCol w:w="1526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30" w:hRule="atLeast"/>
          <w:tblHeader/>
          <w:jc w:val="center"/>
        </w:trPr>
        <w:tc>
          <w:tcPr>
            <w:tcW w:w="119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D0B66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数据与回放</w:t>
            </w:r>
          </w:p>
        </w:tc>
        <w:tc>
          <w:tcPr>
            <w:tcW w:w="11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5EEC1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规模</w:t>
            </w:r>
          </w:p>
        </w:tc>
        <w:tc>
          <w:tcPr>
            <w:tcW w:w="31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E67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构造方式</w:t>
            </w:r>
          </w:p>
        </w:tc>
        <w:tc>
          <w:tcPr>
            <w:tcW w:w="211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01FB3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18"/>
              </w:rPr>
              <w:t>在实验中的作用</w:t>
            </w:r>
          </w:p>
        </w:tc>
        <w:tc>
          <w:tcPr>
            <w:tcW w:w="152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409F05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b/>
                <w:sz w:val="16"/>
                <w:szCs w:val="18"/>
              </w:rPr>
              <w:t>同源关系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19" w:hRule="atLeast"/>
          <w:jc w:val="center"/>
        </w:trPr>
        <w:tc>
          <w:tcPr>
            <w:tcW w:w="11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3B0B4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结构化档案</w:t>
            </w:r>
          </w:p>
        </w:tc>
        <w:tc>
          <w:tcPr>
            <w:tcW w:w="11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8435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150份</w:t>
            </w:r>
          </w:p>
        </w:tc>
        <w:tc>
          <w:tcPr>
            <w:tcW w:w="31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4BAAD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六类安全记录各25条、25个分数各6条、30个岗位匹配各5条</w:t>
            </w:r>
          </w:p>
        </w:tc>
        <w:tc>
          <w:tcPr>
            <w:tcW w:w="211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01291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数据的源头，规则回放的主体</w:t>
            </w:r>
          </w:p>
        </w:tc>
        <w:tc>
          <w:tcPr>
            <w:tcW w:w="152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D287A6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全部数据的源头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13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687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训练语料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6B06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500条（475／25）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86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同一生成器重采样事实组合，逐字复刻线上四段式提示词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02F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微调训练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17E30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与档案同源，重采样事实组合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9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F41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留出测试样本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05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20条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C5E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同一生成器换种子生成，输入与训练集不重合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AD9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模型实测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001D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与训练同源，换种子、输入不重合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4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292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记忆性对照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757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6条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2ABA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从训练集等距抽取原样样本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04EB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查提示词记忆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90BF8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训练子集（等距抽取）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4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637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气体参数网格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D3DC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200组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D6C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人工构造的余量比与关键词组合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918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规则语义验证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E96D6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独立构造，不依赖档案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05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C0DC46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规则回放</w:t>
            </w:r>
          </w:p>
        </w:tc>
        <w:tc>
          <w:tcPr>
            <w:tcW w:w="114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9F6EF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450次</w:t>
            </w:r>
          </w:p>
        </w:tc>
        <w:tc>
          <w:tcPr>
            <w:tcW w:w="31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D19FE4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150份档案在3个场景各执行一次</w:t>
            </w:r>
          </w:p>
        </w:tc>
        <w:tc>
          <w:tcPr>
            <w:tcW w:w="211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33D0D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18"/>
              </w:rPr>
              <w:t>规则层有效性；非重复执行</w:t>
            </w:r>
          </w:p>
        </w:tc>
        <w:tc>
          <w:tcPr>
            <w:tcW w:w="152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FE240E">
            <w:pPr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6"/>
                <w:szCs w:val="18"/>
              </w:rPr>
              <w:t>基于150份档案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33FCAC3C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2CFC1C3E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5.2 规则层的有效性</w:t>
      </w:r>
    </w:p>
    <w:p w14:paraId="03BB9818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档案覆盖率定义为至少命中一条规则的档案所占比例，如式（3）所示。该指标只说明规则对每份档案都有输出，不等于判定正确：一条总命中的兜底规则同样能得到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 w:line="240" w:lineRule="atLeast"/>
        <w:ind w:firstLine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0"/>
            <w:szCs w:val="20"/>
          </w:rPr>
          <w:object>
            <v:shape id="_x0000_i1027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3" o:title=""/>
              <o:lock v:ext="edit" aspectratio="f"/>
              <w10:wrap type="none"/>
              <w10:anchorlock/>
            </v:shape>
            <o:OLEObject Type="Embed" ProgID="Equation.DSMT4" ShapeID="_x0000_i1027" DrawAspect="Content" ObjectID="_1468075727" r:id="rId12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（3）</w:t>
      </w:r>
    </w:p>
    <w:p w14:paraId="3287C7C2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450 次回放的结果见表 5。低于课程合格线的 132 份档案全部命中，误报与漏报均为 0。证书等级低于授权门槛的 120 份同样全部命中，另有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份。实操归因缺少独立判据，只报命中率。上述比率的适用范围限于本测试集。各场景命中率与档案级覆盖见图3。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6F46EEA8">
      <w:pPr>
        <w:keepNext/>
        <w:spacing w:before="80" w:after="120"/>
        <w:jc w:val="center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表5 450次规则回放的分场景结果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26F35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8BE4E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D6AC8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30683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DA445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DF023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5F118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B1699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个人诊断PERSONAL_GAP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D7987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938AA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AF6CC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857C8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B77E1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A4D1E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SKILL_BELOW_REQUIRED120、SAFETY_VETO_VIOLATION75、SAFETY_DEDUCTION50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57F1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考试判定EXAM_RESULT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BA0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814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9CAEA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E89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E856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B0A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EXAM_BELOW_PASS132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B7DD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实操报告归因REPORT_ANALYSIS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F8CC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E21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3F2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2721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572A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86963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PRACTICE_HUMAN_CAUSE75、SKILL_CAUSE52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6A3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05EC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ED3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62A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4D3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A510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E1FB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20条规则参与求值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754AAD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6E267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20A1B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57C68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A72AEB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AA028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88B0D6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——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630B184E">
      <w:pPr>
        <w:spacing w:after="40" w:line="80" w:lineRule="exact"/>
        <w:rPr>
          <w:sz w:val="24"/>
          <w:szCs w:val="24"/>
        </w:rPr>
      </w:pPr>
    </w:p>
    <w:p w14:paraId="4E208055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200 组气体参数网格用于验证规则语义：五档定档在两种比例口径下与预期全部一致（200/200），组内命中上限与严重度合并的结果同样全部一致，事实引用解析为 120/120。偏差度为零：余量高于阈值 10% 却被误升为“中”的用例为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4E208055">
      <w:pPr>
        <w:spacing w:before="0" w:after="120" w:line="228" w:lineRule="exact"/>
        <w:ind w:firstLineChars="200" w:firstLine="420"/>
        <w:jc w:val="center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SimSun" w:cs="Times New Roman"/>
          <w:b w:val="0"/>
          <w:i w:val="0"/>
          <w:sz w:val="20"/>
          <w:szCs w:val="24"/>
        </w:rPr>
        <w:drawing>
          <wp:inline xmlns:a="http://schemas.openxmlformats.org/drawingml/2006/main" xmlns:pic="http://schemas.openxmlformats.org/drawingml/2006/picture">
            <wp:extent cx="2448000" cy="1482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verage_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4821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08055">
      <w:pPr>
        <w:keepNext w:val="0"/>
        <w:keepLines w:val="0"/>
        <w:spacing w:before="0" w:after="120" w:line="228" w:lineRule="exact"/>
        <w:jc w:val="center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SimSun" w:cs="Times New Roman"/>
          <w:b w:val="0"/>
          <w:i w:val="0"/>
          <w:sz w:val="16"/>
          <w:szCs w:val="24"/>
        </w:rPr>
        <w:t>图3 各场景命中率与档案级覆盖</w:t>
      </w:r>
    </w:p>
    <w:p w14:paraId="7C8E0F1F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5.3 确定性与时延</w:t>
      </w:r>
    </w:p>
    <w:p w14:paraId="56A00DD8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450 次执行重复运行结果逐字节一致；把规则物理顺序完全颠倒，结论也不变，因为排序按优先级与编号归一化。进程内单次求值平均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也不据此比较快慢。该数值来自单卡、单请求、无并发测量；批处理与量化推理能否压缩时延，未做实测。规则路径与模型路径的单次响应时间对比见图4（对数轴）。</w:t>
      </w:r>
    </w:p>
    <w:p w14:paraId="2694AE7E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5.4 微调收敛与模型输出质量</w:t>
      </w:r>
    </w:p>
    <w:p w14:paraId="2694AE7E">
      <w:pPr>
        <w:keepNext/>
        <w:spacing w:before="120" w:after="60"/>
        <w:ind w:firstLineChars="0"/>
        <w:jc w:val="center"/>
        <w:rPr>
          <w:sz w:val="24"/>
          <w:szCs w:val="24"/>
        </w:rPr>
      </w:pPr>
      <w:r>
        <w:rPr>
          <w:rFonts w:ascii="Times New Roman" w:hAnsi="Times New Roman" w:eastAsia="SimSun" w:cs="Times New Roman"/>
          <w:b/>
          <w:i/>
          <w:sz w:val="20"/>
          <w:szCs w:val="24"/>
        </w:rPr>
        <w:drawing>
          <wp:inline xmlns:a="http://schemas.openxmlformats.org/drawingml/2006/main" xmlns:pic="http://schemas.openxmlformats.org/drawingml/2006/picture">
            <wp:extent cx="2448000" cy="1502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atency_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5024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94AE7E">
      <w:pPr>
        <w:keepNext w:val="0"/>
        <w:keepLines w:val="0"/>
        <w:spacing w:before="120" w:after="60"/>
        <w:jc w:val="center"/>
        <w:rPr>
          <w:sz w:val="24"/>
          <w:szCs w:val="24"/>
        </w:rPr>
      </w:pPr>
      <w:r>
        <w:rPr>
          <w:rFonts w:ascii="Times New Roman" w:hAnsi="Times New Roman" w:eastAsia="SimSun" w:cs="Times New Roman"/>
          <w:b/>
          <w:i/>
          <w:sz w:val="16"/>
          <w:szCs w:val="24"/>
        </w:rPr>
        <w:t>图4 规则路径与模型路径的单次响应时间（对数轴）</w:t>
      </w:r>
    </w:p>
    <w:p w14:paraId="5A245AA2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模型输出的前提是训练收敛。图5 给出训练与验证损失：首个记录点在第 5 步，为 11.57，与词表均匀熵 ln151936=11.93 相差 3%，说明起点尚未学到偏好；第 25 步降至 1.01，此后放缓，第 105 至 200 步与第 205 至 300 步的均值分别为 0.086 与 0.074，末步 0.063，全程平均 0.577。验证损失由 0.0198 降至 0.0106，第 200 步之后只再降 1.9%，最优点落在末步，说明在 5 轮、4096 窗口下已经收敛，增加轮数的收益有限。单卡训练耗时 27428 s。验证损失低于训练末步，原因是口径不同——训练损失按 5 步窗口平均且随机失活生效，验证关闭随机失活、样本固定 25 条；加之两者同源同模板，该数值只说明拟合良好，不能作为泛化证据。</w:t>
      </w:r>
    </w:p>
    <w:p w14:paraId="110A791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340000" cy="1544418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z w:val="16"/>
          <w:szCs w:val="21"/>
          <w:lang w:val="en-US" w:eastAsia="zh-CN"/>
        </w:rPr>
        <w:t>图5 微调过程的损失曲线</w:t>
      </w:r>
    </w:p>
    <w:p w14:paraId="27E81BF8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26 条测试样本由 20 条留出样本与 6 条训练原样样本组成，结果见表 6，判据为与事实清单的逐项比对。留出样本的输出均为合法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条均在首次输出即通过硬校验、未触发回退，回退路径在本次实测中未被走到，其行为只能由代码路径与 5.5 节的注入测试间接检验。训练原样样本的结果与留出样本一致，说明模型未依赖提示词记忆；但两组同源同模板，一致性本身也说明任务难度有限，不足以支撑泛化结论。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6112CDEE">
      <w:pPr>
        <w:keepNext/>
        <w:spacing w:before="80" w:after="120"/>
        <w:jc w:val="center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i w:val="0"/>
          <w:sz w:val="16"/>
          <w:szCs w:val="21"/>
          <w:lang w:val="en-US" w:eastAsia="zh-CN"/>
        </w:rPr>
        <w:t>表6 微调模型输出的实测结果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D093B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3E8FD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留出样本20条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A36C4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训练原样6条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4532F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输出为合法JSON且满足六键契约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941DF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通过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46CE1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通过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C14F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6861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一致，无增删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EA22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一致，无增删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760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A957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逐项一致，无偏差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2FA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逐项一致，无偏差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2F7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5386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晚于当期，严格递增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4622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晚于当期，严格递增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BA0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理由引用有效事实编号（均值4.75个）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29F8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均有效，均值4.75个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B9EE6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均有效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037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398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全部可溯源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BEB2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全部可溯源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9A50F36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4F20DC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首次通过，未触发回退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57950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首次通过，未触发回退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50A9EE1F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568598F9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5.5 校验器的错误注入测试</w:t>
      </w:r>
    </w:p>
    <w:p w14:paraId="779644D7">
      <w:pPr>
        <w:spacing w:before="0" w:after="120" w:line="228" w:lineRule="exact"/>
        <w:ind w:firstLineChars="200" w:firstLine="420"/>
        <w:jc w:val="both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i w:val="0"/>
          <w:sz w:val="20"/>
          <w:szCs w:val="24"/>
          <w:lang w:eastAsia="zh-CN"/>
        </w:rPr>
        <w:t>“输出全部合格”只说明模型表现，并未检验校验器本身。为此，以一份合格结论为基线逐项注入 16 例错误，调用后端真实的校验代码，结果见表 7。结构类 11 例全部被硬校验拒绝并回退；数值类 2 例被留痕但未拦截，符合软判定的设计；语义类 3 例（把等级改成另一个合法值、事实编号指向不存在的条目、删去安全陈述）均未被检出——契约只检查字段与枚举，不检查字段取值是否与事实一致，也不检查事实编号是否存在。这构成当前实现的覆盖边界：等级一致性与事实编号有效性目前依靠离线评测发现，线上未纳入硬校验。可行的改进是在结构契约中增加两项检查：等级须等于事实清单中同名技能的值，事实编号须存在于当次清单；改动集中在单条校验函数内。</w:t>
      </w:r>
    </w:p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2" w:space="360"/>
          <w:docGrid w:linePitch="360"/>
        </w:sectPr>
      </w:pPr>
      <w:r>
        <w:rPr>
          <w:sz w:val="4"/>
        </w:rPr>
      </w:r>
    </w:p>
    <w:p w14:paraId="12B2C49A">
      <w:pPr>
        <w:keepNext/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 w:val="0"/>
          <w:sz w:val="16"/>
          <w:szCs w:val="21"/>
          <w:lang w:val="en-US" w:eastAsia="zh-CN"/>
        </w:rPr>
        <w:t>表7 校验器的错误注入测试结果</w:t>
      </w:r>
    </w:p>
    <w:tbl>
      <w:tblPr>
        <w:tblStyle w:val="33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  <w:tblW w:w="5000" w:type="pct"/>
        <w:jc w:val="center"/>
      </w:tblPr>
      <w:tblGrid>
        <w:gridCol w:w="688"/>
        <w:gridCol w:w="4489"/>
        <w:gridCol w:w="686"/>
        <w:gridCol w:w="784"/>
        <w:gridCol w:w="745"/>
        <w:gridCol w:w="1569"/>
        <w:gridCol w:w="1796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tblHeader/>
          <w:jc w:val="center"/>
        </w:trPr>
        <w:tc>
          <w:tcPr>
            <w:tcW w:w="68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CD2A9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类别</w:t>
            </w:r>
          </w:p>
        </w:tc>
        <w:tc>
          <w:tcPr>
            <w:tcW w:w="44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171A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注入的错误</w:t>
            </w:r>
          </w:p>
        </w:tc>
        <w:tc>
          <w:tcPr>
            <w:tcW w:w="6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87D61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例数</w:t>
            </w:r>
          </w:p>
        </w:tc>
        <w:tc>
          <w:tcPr>
            <w:tcW w:w="78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4A079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硬校验</w:t>
            </w:r>
          </w:p>
        </w:tc>
        <w:tc>
          <w:tcPr>
            <w:tcW w:w="74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B9D04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数值对账</w:t>
            </w:r>
          </w:p>
        </w:tc>
        <w:tc>
          <w:tcPr>
            <w:tcW w:w="156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3B9BC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结果</w:t>
            </w:r>
          </w:p>
        </w:tc>
        <w:tc>
          <w:tcPr>
            <w:tcW w:w="179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9DE3A69">
            <w:r>
              <w:rPr>
                <w:rFonts w:ascii="Times New Roman" w:hAnsi="Times New Roman" w:eastAsia="宋体"/>
                <w:b/>
                <w:sz w:val="16"/>
              </w:rPr>
              <w:t>检查层级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41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CB5F9A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结构类</w:t>
            </w:r>
          </w:p>
        </w:tc>
        <w:tc>
          <w:tcPr>
            <w:tcW w:w="44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27C1A1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缺字段、空串、类型不符、枚举与等级越界、技能重名、日期格式、缺复合路径</w:t>
            </w:r>
          </w:p>
        </w:tc>
        <w:tc>
          <w:tcPr>
            <w:tcW w:w="6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45EF40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11</w:t>
            </w: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0FEC1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11拒绝</w:t>
            </w:r>
          </w:p>
        </w:tc>
        <w:tc>
          <w:tcPr>
            <w:tcW w:w="7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3555F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15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A18EF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回退规则结论</w:t>
            </w:r>
          </w:p>
        </w:tc>
        <w:tc>
          <w:tcPr>
            <w:tcW w:w="17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E8DB03">
            <w:r>
              <w:rPr>
                <w:rFonts w:ascii="Times New Roman" w:hAnsi="Times New Roman" w:eastAsia="宋体"/>
                <w:sz w:val="16"/>
              </w:rPr>
              <w:t>字段结构层（六键契约）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30" w:hRule="atLeast"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A3C8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数值类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1B0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总述与理由中写入事实外的数值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D8A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C4B7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通过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97E9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2留痕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8EE9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保留结论，置信度封顶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F73E4">
            <w:r>
              <w:rPr>
                <w:rFonts w:ascii="Times New Roman" w:hAnsi="Times New Roman" w:eastAsia="宋体"/>
                <w:sz w:val="16"/>
              </w:rPr>
              <w:t>数值溯源层（数字集合）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743" w:hRule="atLeast"/>
          <w:jc w:val="center"/>
        </w:trPr>
        <w:tc>
          <w:tcPr>
            <w:tcW w:w="68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B9731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语义类</w:t>
            </w:r>
          </w:p>
        </w:tc>
        <w:tc>
          <w:tcPr>
            <w:tcW w:w="44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AE319D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等级改为另一合法值、事实编号不存在、删去安全陈述</w:t>
            </w:r>
          </w:p>
        </w:tc>
        <w:tc>
          <w:tcPr>
            <w:tcW w:w="6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E2A6E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3868B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通过</w:t>
            </w:r>
          </w:p>
        </w:tc>
        <w:tc>
          <w:tcPr>
            <w:tcW w:w="74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68254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未留痕</w:t>
            </w:r>
          </w:p>
        </w:tc>
        <w:tc>
          <w:tcPr>
            <w:tcW w:w="156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1B8DCB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未检出，属覆盖边界</w:t>
            </w:r>
          </w:p>
        </w:tc>
        <w:tc>
          <w:tcPr>
            <w:tcW w:w="179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A359E0">
            <w:r>
              <w:rPr>
                <w:rFonts w:ascii="Times New Roman" w:hAnsi="Times New Roman" w:eastAsia="宋体"/>
                <w:sz w:val="16"/>
              </w:rPr>
              <w:t>语义一致性层（未覆盖，</w:t>
            </w:r>
            <w:bookmarkStart w:id="10" w:name="_GoBack"/>
            <w:bookmarkEnd w:id="10"/>
            <w:r>
              <w:rPr>
                <w:rFonts w:ascii="Times New Roman" w:hAnsi="Times New Roman" w:eastAsia="宋体"/>
                <w:sz w:val="16"/>
              </w:rPr>
              <w:t>属边界）</w:t>
            </w:r>
          </w:p>
        </w:tc>
      </w:tr>
    </w:tbl>
    <w:p>
      <w:pPr>
        <w:spacing w:line="40" w:lineRule="exact" w:before="0" w:after="0"/>
        <w:sectPr>
          <w:type w:val="continuous"/>
          <w:pgSz w:w="11906" w:h="16838"/>
          <w:pgMar w:top="1082" w:right="896" w:bottom="1440" w:left="896" w:header="851" w:footer="992" w:gutter="0"/>
          <w:cols w:num="1" w:space="0"/>
          <w:docGrid w:linePitch="360"/>
        </w:sectPr>
      </w:pPr>
      <w:r>
        <w:rPr>
          <w:sz w:val="4"/>
        </w:rPr>
      </w:r>
    </w:p>
    <w:p w14:paraId="6E1CEB09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74903CF6">
      <w:pPr>
        <w:keepNext/>
        <w:spacing w:before="160" w:after="80"/>
        <w:ind w:firstLineChars="0"/>
        <w:jc w:val="center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6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讨论</w:t>
      </w:r>
    </w:p>
    <w:p w14:paraId="23C6BE73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6.1 适用条件与不适用情形</w:t>
      </w:r>
    </w:p>
    <w:p w14:paraId="03CD839C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这套架构成立需同时满足四个条件：岗位能力可分级，能力项能映射到有序等级，“当前低于要求”才可判定；业务阈值可枚举，量化要求能写成条件并维护为独立事实；档案已结构化，四类记录能按人汇总为事实清单；建议须经人工确认。满足上述条件的规程驱动岗位，如调度、高压试验与继电保护，原则上可沿用同一架构，但规则集与适配层须重构并验证，本文未做跨岗位实验。四类情形不宜采用：开放域问答的判定条件无法枚举，宜以检索增强生成为主；缺乏结构化档案，规则路径将大面积进入跳过通道；实时闭环控制场景下模型路径为百秒级，满足不了在线控制与联锁要求；无人工确认的自动化执行，直接下发操作指令须重新评估安全责任边界。</w:t>
      </w:r>
    </w:p>
    <w:p w14:paraId="01A1EE49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/>
          <w:i/>
          <w:sz w:val="20"/>
          <w:szCs w:val="24"/>
        </w:rPr>
        <w:t>6.2 局限</w:t>
      </w:r>
    </w:p>
    <w:p w14:paraId="564E44BD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本文的局限有六点。语料同源，训练、留出与评测数据由同一批 150 份档案展开，规则库仅 22 条，跨单位与跨岗位泛化未验证。缺少基线对照，未与“规则加固定模板”“未微调基座加同样校验”比较，微调的增量与模型表达相对模板的价值尚未定量，这是后续首要补充的实验。样本量偏小，26 条单次采样，比例分辨率约 4%，20 次全部通过对应的双侧 95% 置信下界约 83.2%，不足以支撑强可靠性结论。校验器只覆盖结构与数值两维。专家盲评与现场采纳统计尚未开展，不对学习效果作因果结论。时延为单卡单请求测量，未测并发与吞吐。后续将补做基线对照与消融，扩充留出样本并多次采样，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23E51DC0">
      <w:pPr>
        <w:keepNext/>
        <w:spacing w:before="160" w:after="80"/>
        <w:ind w:firstLineChars="0"/>
        <w:jc w:val="center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7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结论</w:t>
      </w:r>
    </w:p>
    <w:p w14:paraId="026B6712">
      <w:pPr>
        <w:spacing w:before="0" w:after="120" w:line="228" w:lineRule="exact"/>
        <w:ind w:firstLineChars="200" w:firstLine="4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本文把安全与业务判定交给声明式规则引擎，把叙述表达交给微调后的模型，再以结构、数值、授权、安全四道防线衔接两者。150 份仿真档案上回放 450 次，档案级覆盖 150/150，考试不合格与证书等级不足两类负例的漏报为 0；200 组网格上规则语义正确，重复执行结果一致；26 条样本的模型输出首次即通过硬校验。错误注入实验同时说明，校验器拦得住结构与数值问题，拦不住语义层面的篡改——这一边界比“全部合规”更接近实际情况。这一分工使判定可审计、表达可迭代，为电力安全攸关岗位的智能培训提供了一种可实施方案；其培训效果尚需专家评价与现场试点检验。</w:t>
      </w:r>
    </w:p>
    <w:p w14:paraId="14E03C49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444459A4">
      <w:pPr>
        <w:keepNext/>
        <w:spacing w:before="160" w:after="80"/>
        <w:jc w:val="center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z w:val="20"/>
          <w:szCs w:val="28"/>
        </w:rPr>
        <w:t>参考文献</w:t>
      </w:r>
    </w:p>
    <w:p w14:paraId="5C123CC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0" w:name="_Ref31471"/>
      <w:r>
        <w:rPr>
          <w:rFonts w:ascii="Times New Roman" w:hAnsi="Times New Roman" w:eastAsia="宋体" w:cs="Times New Roman"/>
          <w:b w:val="0"/>
          <w:i w:val="0"/>
          <w:sz w:val="16"/>
          <w:szCs w:val="24"/>
        </w:rPr>
        <w:t>李元, 林金山, 边畅, 等. 电力设备智能运维大模型的技术挑战与发展路径[J]. 西安交通大学学报, 2026, 60(6): 1-10. https://inds3.cnki.net/kmobile/Journal/detail/DLKJ/XAJT20260623001.</w:t>
      </w:r>
      <w:bookmarkEnd w:id="0"/>
      <w:bookmarkStart w:id="1" w:name="_Ref30275"/>
    </w:p>
    <w:p w14:paraId="2B26F51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舒文韬, 李睿潇, 孙天祥, 等. 大型语言模型：原理、实现与发展[J]. 计算机研究与发展, 2024, 61(2): 351-361. DOI: 10.7544/issn1000-1239.202330303.</w:t>
      </w:r>
      <w:bookmarkEnd w:id="1"/>
    </w:p>
    <w:p w14:paraId="4078E6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2" w:name="_Ref29897"/>
      <w:r>
        <w:rPr>
          <w:rFonts w:ascii="Times New Roman" w:hAnsi="Times New Roman" w:eastAsia="宋体" w:cs="Times New Roman"/>
          <w:b w:val="0"/>
          <w:i w:val="0"/>
          <w:kern w:val="0"/>
          <w:sz w:val="16"/>
          <w:szCs w:val="21"/>
          <w:lang w:eastAsia="en-US"/>
        </w:rPr>
        <w:t>杨清波, 朱署光, 刘东, 等. 电网调控大语言模型能力提升关键技术研究[J]. 发电技术, 2026, 47(4): 697-708. DOI: 10.12096/j.2096-4528.pgt.260402.</w:t>
      </w:r>
    </w:p>
    <w:p w14:paraId="5640413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Ji Z, Lee N, Frieske R, et al. Survey of hallucination in natural language generation[J]. ACM Computing Surveys, 2023, 55(12): 1-38. https://doi.org/10.1145/3571730.</w:t>
      </w:r>
      <w:bookmarkEnd w:id="2"/>
    </w:p>
    <w:p w14:paraId="0A6765A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3" w:name="_Ref29831"/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Majumder S, Dong L, Doudi F, et al. Exploring the capabilities and limitations of large language models in the electric energy sector[J]. Joule, 2024, 8(6): 1544-1549. https://doi.org/10.1016/j.joule.2024.05.009.</w:t>
      </w:r>
      <w:bookmarkEnd w:id="3"/>
    </w:p>
    <w:p w14:paraId="52A95CC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4" w:name="_Ref29936"/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Ouyang L, Wu J, Jiang X, et al. Training language models to follow instructions with human feedback[C]//Advances in Neural Information Processing Systems 35. 2022: 27730-27744. https://arxiv.org/abs/2203.02155.</w:t>
      </w:r>
      <w:bookmarkEnd w:id="4"/>
    </w:p>
    <w:p w14:paraId="067029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5" w:name="_Ref29808"/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Lewis P, Perez E, Piktus A, et al. Retrieval-augmented generation for knowledge-intensive NLP tasks[C]//Advances in Neural Information Processing Systems 33. 2020: 9459-9474. https://arxiv.org/abs/2005.11401.</w:t>
      </w:r>
      <w:bookmarkEnd w:id="5"/>
    </w:p>
    <w:p w14:paraId="4690F4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kern w:val="0"/>
          <w:sz w:val="16"/>
          <w:szCs w:val="21"/>
          <w:lang w:eastAsia="en-US"/>
        </w:rPr>
        <w:t>Karakurt E, Akbulut A. Retrieval-augmented generation (RAG) and large language models (LLMs) for enterprise knowledge management and document automation: a systematic literature review[J]. Applied Sciences, 2026, 16(1): 368. https://doi.org/10.3390/app16010368.</w:t>
      </w:r>
    </w:p>
    <w:p w14:paraId="308304E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6" w:name="_Ref30256"/>
      <w:r>
        <w:rPr>
          <w:rFonts w:ascii="Times New Roman" w:hAnsi="Times New Roman" w:eastAsia="宋体" w:cs="Times New Roman"/>
          <w:b w:val="0"/>
          <w:i w:val="0"/>
          <w:kern w:val="0"/>
          <w:sz w:val="16"/>
          <w:szCs w:val="21"/>
          <w:lang w:eastAsia="en-US"/>
        </w:rPr>
        <w:t>Yao S, Zhao J, Yu D, et al. ReAct: synergizing reasoning and acting in language models[C]//International Conference on Learning Representations. 2023. https://arxiv.org/abs/2210.03629.</w:t>
      </w:r>
    </w:p>
    <w:bookmarkEnd w:id="6"/>
    <w:p w14:paraId="57F048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7" w:name="_Ref30318"/>
      <w:r>
        <w:rPr>
          <w:rFonts w:ascii="Times New Roman" w:hAnsi="Times New Roman" w:eastAsia="宋体" w:cs="Times New Roman"/>
          <w:b w:val="0"/>
          <w:i w:val="0"/>
          <w:kern w:val="0"/>
          <w:sz w:val="16"/>
          <w:szCs w:val="21"/>
          <w:lang w:eastAsia="en-US"/>
        </w:rPr>
        <w:t>Rebedea T, Dinu R, Sreedhar M, et al. NeMo Guardrails: a toolkit for controllable and safe LLM applications with programmable rails[C]//Proceedings of the 2023 Conference on Empirical Methods in Natural Language Processing: System Demonstrations. 2023: 431-445. https://doi.org/10.18653/v1/2023.emnlp-demo.40.</w:t>
      </w:r>
    </w:p>
    <w:p w14:paraId="3C8A027C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Qwen Team. Qwen2.5 technical report[EB/OL]. 2024. https://arxiv.org/abs/2412.15115.</w:t>
      </w:r>
      <w:bookmarkEnd w:id="7"/>
    </w:p>
    <w:p w14:paraId="1655E22F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bookmarkStart w:id="8" w:name="_Ref29537"/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Hu E J, Shen Y, Wallis P, et al. LoRA: low-rank adaptation of large language models[C]//International Conference on Learning Representations. 2022. https://arxiv.org/abs/2106.09685.</w:t>
      </w:r>
      <w:bookmarkEnd w:id="8"/>
    </w:p>
    <w:p w14:paraId="2AC97BFB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bookmarkStart w:id="9" w:name="_Ref29554"/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Li Y, Yu Y, Liang C, et al. LoftQ: LoRA-fine-tuning-aware quantization for large language models[C]//The Twelfth International Conference on Learning Representations. 2024. https://arxiv.org/abs/2310.08659.</w:t>
      </w:r>
    </w:p>
    <w:p w14:paraId="280081E4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16"/>
          <w:szCs w:val="21"/>
        </w:rPr>
        <w:t>Zheng Y, Zhang R, Zhang J, et al. LlamaFactory: unified efficient fine-tuning of 100+ language models[C]//Proceedings of the 62nd Annual Meeting of the Association for Computational Linguistics: System Demonstrations. 2024: 400-410. https://doi.org/10.18653/v1/2024.acl-demos.38.</w:t>
      </w:r>
    </w:p>
    <w:bookmarkEnd w:id="9"/>
    <w:p w14:paraId="3A1885FC">
      <w:pPr>
        <w:numPr>
          <w:ilvl w:val="0"/>
          <w:numId w:val="0"/>
        </w:numPr>
        <w:spacing w:after="0" w:line="240" w:lineRule="auto"/>
        <w:ind w:leftChars="0"/>
        <w:jc w:val="both"/>
        <w:rPr>
          <w:sz w:val="21"/>
          <w:szCs w:val="21"/>
        </w:rPr>
      </w:pPr>
    </w:p>
    <w:sectPr>
      <w:pgSz w:w="11906" w:h="16838"/>
      <w:pgMar w:top="1084" w:right="896" w:bottom="1440" w:left="896" w:header="851" w:footer="992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ECEB373-8ECF-4E9D-B5CC-1A9FACF761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B76EEE0-230B-4ABF-969B-DA14847FBF3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8B3532C-B708-4AF7-8762-8B723F2370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08725C96-B773-4530-8FDD-5F0721A1F64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BCBC4C6-42DD-4573-957D-E829C5E40C0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410F9A9C-0E0B-4382-BF05-A3A4F3076A4E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DF7DC7F6-2BCA-41CB-831B-26C7EB0A0804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B2B4F508-44F7-4B86-B3D0-18743033B647}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1EEE1A64-4716-4DE7-B3B4-71E2E731E828}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  <w:embedRegular r:id="rId10" w:fontKey="{60A4FBBC-440A-4361-B06A-70DEAA8897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0C3DD5"/>
    <w:multiLevelType w:val="singleLevel"/>
    <w:tmpl w:val="280C3DD5"/>
    <w:lvl w:ilvl="0" w:tentative="0">
      <w:start w:val="1"/>
      <w:numFmt w:val="decimal"/>
      <w:lvlText w:val="[%1]"/>
      <w:lvlJc w:val="left"/>
      <w:pPr>
        <w:tabs>
          <w:tab w:val="left" w:pos="454"/>
        </w:tabs>
        <w:ind w:left="454" w:leftChars="0" w:hanging="454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C7E65"/>
    <w:rsid w:val="0896012D"/>
    <w:rsid w:val="3D385C00"/>
    <w:rsid w:val="42E17B8B"/>
    <w:rsid w:val="4A640BB4"/>
    <w:rsid w:val="51937451"/>
    <w:rsid w:val="6627459B"/>
    <w:rsid w:val="68E04751"/>
    <w:rsid w:val="73602E23"/>
    <w:rsid w:val="76D35657"/>
    <w:rsid w:val="7C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9009</Words>
  <Characters>12020</Characters>
  <Lines>0</Lines>
  <Paragraphs>0</Paragraphs>
  <TotalTime>51</TotalTime>
  <ScaleCrop>false</ScaleCrop>
  <LinksUpToDate>false</LinksUpToDate>
  <CharactersWithSpaces>12641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2026-10-21T14:31:27Z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B42509B5202646E4B388EA3D4848C8A7_13</vt:lpwstr>
  </property>
</Properties>
</file>