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sz w:val="34"/>
        </w:rPr>
        <w:t>规则增强的变电运维个性化培训智能体设计与实现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〔作者一〕　〔作者二〕　〔作者三〕</w:t>
      </w:r>
    </w:p>
    <w:p>
      <w:pPr>
        <w:spacing w:after="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（〔单位〕　〔城市〕　〔邮编〕）</w:t>
      </w:r>
    </w:p>
    <w:p>
      <w:pPr>
        <w:spacing w:after="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通信作者：〔邮箱〕</w:t>
      </w:r>
    </w:p>
    <w:p>
      <w:pPr>
        <w:spacing w:before="160"/>
        <w:jc w:val="both"/>
      </w:pPr>
      <w:r>
        <w:rPr>
          <w:rFonts w:ascii="Times New Roman" w:hAnsi="Times New Roman" w:eastAsia="黑体"/>
          <w:b/>
          <w:i w:val="0"/>
          <w:sz w:val="19"/>
        </w:rPr>
        <w:t>摘要：</w:t>
      </w:r>
      <w:r>
        <w:rPr>
          <w:rFonts w:ascii="Times New Roman" w:hAnsi="Times New Roman" w:eastAsia="宋体"/>
          <w:b w:val="0"/>
          <w:i w:val="0"/>
          <w:sz w:val="19"/>
        </w:rPr>
        <w:t>变电运维岗位培训既受安全规程约束，又受人员个体能力差异制约。通用大模型存在规程幻觉与结论不可追溯的问题，仅以检索文本作为生成上下文亦不能保证输出满足业务阈值。本文提出一种规则增强的个性化培训智能体，把安全与业务阈值的判定权交由声明式规则引擎，模型只承担叙述性表达，两者由四道防线衔接：结构契约、数值对账、输入端授权与安全处置，其中结构类不合格整份回退规则结论，数值类无出处者留痕并压低置信度。一次执行由同一执行编号串联命中规则、建议与人工决定。模型以 Qwen2.5-3B-Instruct 为基座，在单张 8 GB 显卡上完成 4-bit QLoRA 微调。在 150 份按因子设计生成的结构化档案上回放 450 次规则执行，档案级覆盖 150/150，考试不合格与证书等级不足两类负例的漏报均为 0；200 组参数网格上定档、关键词补充与严重度合并的正确率均为 100%，重复执行结果逐字节一致，进程内单次求值平均 0.012 ms。26 条测试样本的模型输出首次即通过硬校验，未触发回退；另以 16 例错误注入检验校验器，结构类 11 例全部拦截、数值类 2 例全部留痕，语义类 3 例未被检出，构成当前实现的覆盖边界。该架构适用于岗位能力可分级、业务阈值可枚举且建议须经人工确认的工业培训场景。</w:t>
      </w:r>
    </w:p>
    <w:p>
      <w:pPr>
        <w:spacing w:after="120"/>
      </w:pPr>
      <w:r>
        <w:rPr>
          <w:rFonts w:ascii="Times New Roman" w:hAnsi="Times New Roman" w:eastAsia="黑体"/>
          <w:b/>
          <w:i w:val="0"/>
          <w:sz w:val="19"/>
        </w:rPr>
        <w:t>关键词：</w:t>
      </w:r>
      <w:r>
        <w:rPr>
          <w:rFonts w:ascii="Times New Roman" w:hAnsi="Times New Roman" w:eastAsia="宋体"/>
          <w:b w:val="0"/>
          <w:i w:val="0"/>
          <w:sz w:val="19"/>
        </w:rPr>
        <w:t>变电运维；个性化培训；大语言模型；声明式规则引擎；输出契约；参数高效微调</w:t>
      </w: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4"/>
        </w:rPr>
        <w:t>1　引言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变电运维涵盖设备巡视、倒闸操作、异常处置等高风险作业，作业行为受安全规程约束。运维人员在资格等级、实操表现、考试成绩与安全记录上差异显著，数据分散于人事、培训与安全三套台账，统一推送课程的传统做法难以生成个体化建议。本文把「个性化」落在四个维度：补哪些能力项、每项差几级、按什么顺序补、用什么话说明原因；前两项由业务规则决定，后两项才是语言模型可发挥的空间。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大语言模型为案例生成、规程问答与学习建议提供了新途径[8]，在电网调度知识嵌入与辅助决策中已有应用[12]，但用于安全攸关场景存在三类风险：规程幻觉，模型可能以确定语气生成不存在的条款或阈值[7]；结论不可追溯，建议中的合格线、人数与金额无法对应到数据来源；输出不稳定，同一输入多次调用可能结论不同。已有研究系统评估了大模型在电力领域的能力边界，结论同样指向「需要外部判定」[13]。指令微调与基于反馈的对齐可降低幻觉比例[5]，但难以完全消除；检索增强生成缓解了第一类问题[1][9]，然而仅以检索到的文本作为生成上下文时，输出是否满足业务阈值仍无保证。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本文的思路是把判定权与表达权分开：安全与业务阈值的判定交由可审计的声明式规则引擎，模型只承担叙述性表达，两者由四道防线衔接，结构类不合格即回退规则结论。本文不主张规则引擎、参数高效微调或输出校验各自的原创性，主张的是一项面向该场景的架构与治理贡献：一是给出规则配置、规则计算与决策治理三层架构，规则路径与模型路径以来源标记隔离，更替模型不影响接口与前端；二是设计 JSON 声明式规则，支持分组收敛、事实引用与热更新，阈值一律引用事实而不写入字面量；三是把校验拆成结构、数值、授权与安全四条通道，分别对应回退、留痕、拒绝与规则处置，并给出覆盖边界。在此基础上重建与线上提示词同形的语料完成微调，以规则回放、语义网格、模型实测与错误注入四组实验检验。</w:t>
      </w: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4"/>
        </w:rPr>
        <w:t>2　现有方法与问题定位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按「约束在何处执行」这一维度，现有路线可分为五类，见表 1。固定课件把约束放在编制环节，课程一旦成形即与个体无关；通用大模型与工具调用型智能体把约束留在提示词里[4]，而提示词只影响生成倾向，不构成可验证的判定；检索增强生成把约束降级为上下文，检索到的规程不等于生成内容符合规程；知识图谱长于描述联系而短于触发阈值；规则引擎把约束落在运行期条件匹配上，确定性与可审计性最好，代价是表达固定，且规则库维护中易出现口径脱节与规则相互遮蔽，这类退化不引发报错，只表现为命中率下降。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 xml:space="preserve">表 1　</w:t>
      </w:r>
      <w:r>
        <w:rPr>
          <w:rFonts w:ascii="Times New Roman" w:hAnsi="Times New Roman" w:eastAsia="宋体"/>
          <w:b w:val="0"/>
          <w:i w:val="0"/>
          <w:sz w:val="18"/>
        </w:rPr>
        <w:t>现有技术路线把约束放在何处，以及在本场景下的主要不足</w:t>
      </w:r>
    </w:p>
    <w:tbl>
      <w:tblPr>
        <w:tblStyle w:val="TableGrid"/>
        <w:tblW w:w="9620" w:type="dxa"/>
        <w:jc w:val="center"/>
        <w:tblLayout w:type="fixed"/>
        <w:tblCellMar>
          <w:left w:w="57" w:type="dxa"/>
          <w:right w:w="57" w:type="dxa"/>
          <w:top w:w="14" w:type="dxa"/>
          <w:bottom w:w="14" w:type="dxa"/>
        </w:tblCellMar>
        <w:tblLook w:firstColumn="1" w:firstRow="1" w:lastColumn="0" w:lastRow="0" w:noHBand="0" w:noVBand="1" w:val="04A0"/>
      </w:tblPr>
      <w:tblGrid>
        <w:gridCol w:w="2025"/>
        <w:gridCol w:w="2785"/>
        <w:gridCol w:w="4810"/>
      </w:tblGrid>
      <w:tr>
        <w:trPr>
          <w:tblHeader w:val="true"/>
          <w:cantSplit w:val="true"/>
        </w:trPr>
        <w:tc>
          <w:tcPr>
            <w:tcW w:type="dxa" w:w="2025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技术路线</w:t>
            </w:r>
          </w:p>
        </w:tc>
        <w:tc>
          <w:tcPr>
            <w:tcW w:type="dxa" w:w="2785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约束在何处执行</w:t>
            </w:r>
          </w:p>
        </w:tc>
        <w:tc>
          <w:tcPr>
            <w:tcW w:type="dxa" w:w="4810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本场景下的主要不足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固定课件培训系统</w:t>
            </w:r>
          </w:p>
        </w:tc>
        <w:tc>
          <w:tcPr>
            <w:tcW w:type="dxa" w:w="278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课程编制环节人工把关</w:t>
            </w:r>
          </w:p>
        </w:tc>
        <w:tc>
          <w:tcPr>
            <w:tcW w:type="dxa" w:w="48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无法适配个体差异，规程修订后维护成本高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通用大模型智能体</w:t>
            </w:r>
          </w:p>
        </w:tc>
        <w:tc>
          <w:tcPr>
            <w:tcW w:type="dxa" w:w="278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提示词与解码策略</w:t>
            </w:r>
          </w:p>
        </w:tc>
        <w:tc>
          <w:tcPr>
            <w:tcW w:type="dxa" w:w="48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规程幻觉、结论不可追溯、多次调用不一致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检索增强生成</w:t>
            </w:r>
          </w:p>
        </w:tc>
        <w:tc>
          <w:tcPr>
            <w:tcW w:type="dxa" w:w="278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检索结果作为生成上下文</w:t>
            </w:r>
          </w:p>
        </w:tc>
        <w:tc>
          <w:tcPr>
            <w:tcW w:type="dxa" w:w="48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只提供依据，不对建议本身作出判定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知识图谱增强</w:t>
            </w:r>
          </w:p>
        </w:tc>
        <w:tc>
          <w:tcPr>
            <w:tcW w:type="dxa" w:w="278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本体与关系约束</w:t>
            </w:r>
          </w:p>
        </w:tc>
        <w:tc>
          <w:tcPr>
            <w:tcW w:type="dxa" w:w="48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依赖本体构建，缺少阈值触发的判定逻辑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业务规则引擎</w:t>
            </w:r>
          </w:p>
        </w:tc>
        <w:tc>
          <w:tcPr>
            <w:tcW w:type="dxa" w:w="278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运行期条件匹配</w:t>
            </w:r>
          </w:p>
        </w:tc>
        <w:tc>
          <w:tcPr>
            <w:tcW w:type="dxa" w:w="48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确定性强，但表达固定、规则库维护负担重</w:t>
            </w:r>
          </w:p>
        </w:tc>
      </w:tr>
    </w:tbl>
    <w:p>
      <w:pPr>
        <w:spacing w:after="40" w:line="80" w:lineRule="exact"/>
      </w:pP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与本文最接近的是可编程护栏[6]，差别有三：护栏以专用语言在对话层设定输入输出边界，判定对象是对话行为；本文把判定条件放进业务规则库，判定对象是岗位标准、课程合格线与安全记录，规则由业务方维护；护栏通常拦截或改写文本，本文在拦截之外保留一条完整的规则结论作为回退产物，使失败时仍有可交付的结果。上述路线并非互斥，缺的是分工与失败处置：判定须由可审计的载体承担，表达可以交给模型，两者之间需要一层能够拒绝、能够回退并留下证据的机制。</w:t>
      </w: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4"/>
        </w:rPr>
        <w:t>3　系统架构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系统受三条工程约束：角色间存在数据边界，安全类判定优先于一般业务判定，只允许单库部署且不引入外部规则框架。据此规则以 JSON 列存储于 MySQL 8，服务端直接读写、不设对象关系映射层。整体分规则配置、规则计算与决策治理三层（图 1）：配置层负责规则的增删改与启停，修改即时生效；计算层按场景装配事实并求值；治理层负责校验、回退与人工确认。两条不变量贯穿全链：规则引擎只写中间结果、不改写业务原始数据；对外输出的 need_human_confirm 恒为真。一次执行由同一执行编号串联命中规则、建议与最终决定，使结论可回溯到规则编号与数据点。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68000" cy="2695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_z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269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 xml:space="preserve">图 1　</w:t>
      </w:r>
      <w:r>
        <w:rPr>
          <w:rFonts w:ascii="Times New Roman" w:hAnsi="Times New Roman" w:eastAsia="宋体"/>
          <w:b w:val="0"/>
          <w:i w:val="0"/>
          <w:sz w:val="18"/>
        </w:rPr>
        <w:t>系统总体架构。规则层负责判定，模型层负责表达，治理层负责取舍与回退，执行编号串联全链。</w:t>
      </w: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1"/>
        </w:rPr>
        <w:t>3.1　声明式规则引擎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规则以 JSON 条件树描述，算子取白名单，禁用表达式求值与字符串拼接，从机制上排除注入风险。条件求值取三值语义：满足、不满足、不可判定；后者（事实缺失、类型不符、算子越界）只跳过该条规则并记录原因。当一个场景的全部规则均不可判定时，未命中原因标注为「不可判定」而非「无风险」，避免把证据不足误读为结论正常。为支持「定档」与「关键词补充」并存，引入三个机制：rule_group 分组收敛，命中即关闭本组而不影响他组；max_hits 限制组内命中上限；星号_from 使动作字段引用其他事实的取值，一条规则因而可服务多类对象。求值前按优先级降序、再按编号升序排序，结果与物理行序无关；多组命中后按严重度去重合并取最严重者。以考试判定为例，条件体只声明「成绩低于合格线」，比较两侧的取值都来自事实，换课程只需换数据。</w:t>
      </w: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1"/>
        </w:rPr>
        <w:t>3.2　校验与失败处置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模型输出进入治理层后依次通过四道防线，判定对象、处置方式与实现位置见表 2。四道防线并非同质的「校验」：结构契约是硬判定，不合格即整份作废并回退规则结论，系统不设自动重写环节——重写会把一次失败变成两次模型调用，且无法保证第二次更好，而规则结论已经可用；数值对账是软判定，只留痕并把置信度封顶；输入端授权发生在装配事实之前，越权请求连数据都取不到，因而不存在「越权数据已进入上下文、再裁剪输出」的情形；安全处置不在校验器里，而在规则层由 SAFETY 分组硬处置，事实清单第 8 组固定给出安全记录，提示词同时约束「一票否决须作为最高优先级点名」。失败路径与来源标记见图 2，对外来源标记只取 rule 与 model 两值，替换模型服务不改动业务接口与前端。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 xml:space="preserve">表 2　</w:t>
      </w:r>
      <w:r>
        <w:rPr>
          <w:rFonts w:ascii="Times New Roman" w:hAnsi="Times New Roman" w:eastAsia="宋体"/>
          <w:b w:val="0"/>
          <w:i w:val="0"/>
          <w:sz w:val="18"/>
        </w:rPr>
        <w:t>四道防线的判定对象、处置方式与实现位置</w:t>
      </w:r>
    </w:p>
    <w:tbl>
      <w:tblPr>
        <w:tblStyle w:val="TableGrid"/>
        <w:tblW w:w="9620" w:type="dxa"/>
        <w:jc w:val="center"/>
        <w:tblLayout w:type="fixed"/>
        <w:tblCellMar>
          <w:left w:w="57" w:type="dxa"/>
          <w:right w:w="57" w:type="dxa"/>
          <w:top w:w="14" w:type="dxa"/>
          <w:bottom w:w="14" w:type="dxa"/>
        </w:tblCellMar>
        <w:tblLook w:firstColumn="1" w:firstRow="1" w:lastColumn="0" w:lastRow="0" w:noHBand="0" w:noVBand="1" w:val="04A0"/>
      </w:tblPr>
      <w:tblGrid>
        <w:gridCol w:w="970"/>
        <w:gridCol w:w="2827"/>
        <w:gridCol w:w="2848"/>
        <w:gridCol w:w="2974"/>
      </w:tblGrid>
      <w:tr>
        <w:trPr>
          <w:tblHeader w:val="true"/>
          <w:cantSplit w:val="true"/>
        </w:trPr>
        <w:tc>
          <w:tcPr>
            <w:tcW w:type="dxa" w:w="970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防线</w:t>
            </w:r>
          </w:p>
        </w:tc>
        <w:tc>
          <w:tcPr>
            <w:tcW w:type="dxa" w:w="2827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判定对象与依据</w:t>
            </w:r>
          </w:p>
        </w:tc>
        <w:tc>
          <w:tcPr>
            <w:tcW w:type="dxa" w:w="2848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不通过时的处置</w:t>
            </w:r>
          </w:p>
        </w:tc>
        <w:tc>
          <w:tcPr>
            <w:tcW w:type="dxa" w:w="2974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实现位置</w:t>
            </w:r>
          </w:p>
        </w:tc>
      </w:tr>
      <w:tr>
        <w:trPr>
          <w:cantSplit w:val="true"/>
        </w:trPr>
        <w:tc>
          <w:tcPr>
            <w:tcW w:type="dxa" w:w="97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结构契约</w:t>
            </w:r>
          </w:p>
        </w:tc>
        <w:tc>
          <w:tcPr>
            <w:tcW w:type="dxa" w:w="282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六键字段完整性、枚举取值、等级区间、技能不重复、日期格式</w:t>
            </w:r>
          </w:p>
        </w:tc>
        <w:tc>
          <w:tcPr>
            <w:tcW w:type="dxa" w:w="28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整份结论作废，回退规则结论并写入 fallback_note；不重试</w:t>
            </w:r>
          </w:p>
        </w:tc>
        <w:tc>
          <w:tcPr>
            <w:tcW w:type="dxa" w:w="29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DiagnosisContract.validatePersonal</w:t>
            </w:r>
          </w:p>
        </w:tc>
      </w:tr>
      <w:tr>
        <w:trPr>
          <w:cantSplit w:val="true"/>
        </w:trPr>
        <w:tc>
          <w:tcPr>
            <w:tcW w:type="dxa" w:w="97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数值对账</w:t>
            </w:r>
          </w:p>
        </w:tc>
        <w:tc>
          <w:tcPr>
            <w:tcW w:type="dxa" w:w="282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总述、结论理由与计划理由中出现的数字，须落在事实清单的数字集合内</w:t>
            </w:r>
          </w:p>
        </w:tc>
        <w:tc>
          <w:tcPr>
            <w:tcW w:type="dxa" w:w="28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不拦截结论，记入 unverified_numbers，置信度封顶 0.6</w:t>
            </w:r>
          </w:p>
        </w:tc>
        <w:tc>
          <w:tcPr>
            <w:tcW w:type="dxa" w:w="29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DiagnosisPipeline.finish</w:t>
            </w:r>
          </w:p>
        </w:tc>
      </w:tr>
      <w:tr>
        <w:trPr>
          <w:cantSplit w:val="true"/>
        </w:trPr>
        <w:tc>
          <w:tcPr>
            <w:tcW w:type="dxa" w:w="97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输入端授权</w:t>
            </w:r>
          </w:p>
        </w:tc>
        <w:tc>
          <w:tcPr>
            <w:tcW w:type="dxa" w:w="282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令牌投影出的角色与接口路径前缀白名单（员工／组长／老总／管理员）</w:t>
            </w:r>
          </w:p>
        </w:tc>
        <w:tc>
          <w:tcPr>
            <w:tcW w:type="dxa" w:w="28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直接返回 403，请求不进入事实装配，也不进入模型上下文</w:t>
            </w:r>
          </w:p>
        </w:tc>
        <w:tc>
          <w:tcPr>
            <w:tcW w:type="dxa" w:w="29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rbac/RoleInterceptor</w:t>
            </w:r>
          </w:p>
        </w:tc>
      </w:tr>
      <w:tr>
        <w:trPr>
          <w:cantSplit w:val="true"/>
        </w:trPr>
        <w:tc>
          <w:tcPr>
            <w:tcW w:type="dxa" w:w="97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安全处置</w:t>
            </w:r>
          </w:p>
        </w:tc>
        <w:tc>
          <w:tcPr>
            <w:tcW w:type="dxa" w:w="282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safety_record 的一票否决标志与风险等级</w:t>
            </w:r>
          </w:p>
        </w:tc>
        <w:tc>
          <w:tcPr>
            <w:tcW w:type="dxa" w:w="28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由 SAFETY 规则组硬处置，结论须点名；第 8 组事实固定给出</w:t>
            </w:r>
          </w:p>
        </w:tc>
        <w:tc>
          <w:tcPr>
            <w:tcW w:type="dxa" w:w="29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规则层 SAFETY 分组</w:t>
            </w:r>
          </w:p>
        </w:tc>
      </w:tr>
    </w:tbl>
    <w:p>
      <w:pPr>
        <w:spacing w:after="40" w:line="80" w:lineRule="exact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11999" cy="22759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uardrail_z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2275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 xml:space="preserve">图 2　</w:t>
      </w:r>
      <w:r>
        <w:rPr>
          <w:rFonts w:ascii="Times New Roman" w:hAnsi="Times New Roman" w:eastAsia="宋体"/>
          <w:b w:val="0"/>
          <w:i w:val="0"/>
          <w:sz w:val="18"/>
        </w:rPr>
        <w:t>四道防线与失败处置。结构类不合格回退规则结论，数值类只留痕，越权请求在事实装配前即被拒绝。</w:t>
      </w: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4"/>
        </w:rPr>
        <w:t>4　关键实现</w:t>
      </w: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1"/>
        </w:rPr>
        <w:t>4.1　规则集与事实适配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规则库共 22 条，覆盖五个业务场景，其中 20 条参与求值，2 条为历史版本保留以便回溯既有结论，分布见表 3。建模遵循两条原则。其一，阈值引用事实而非写入字面量：课程合格线取自课程表，岗位要求等级取自岗位表，同一条规则因此可适配 80 分与 85 分、L2 至 L4 等不同口径，业务口径变更时只改数据不改规则。其二，组合优于枚举：气体归因的结论与处置措施经星号_from 从气体配置取值，五条定档规则即服务全部气体类型，否则规则数将随气体种类线性增长。需要区分两类输入：人员等级、成绩、耗时比属观测事实，由台账查询得到；合格线、要求等级、气体阈值属业务配置，由岗位标准与规程给定并随规则版本一同发布，二者在事实清单中以来源标签区分。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 xml:space="preserve">表 3　</w:t>
      </w:r>
      <w:r>
        <w:rPr>
          <w:rFonts w:ascii="Times New Roman" w:hAnsi="Times New Roman" w:eastAsia="宋体"/>
          <w:b w:val="0"/>
          <w:i w:val="0"/>
          <w:sz w:val="18"/>
        </w:rPr>
        <w:t>规则集在五个业务场景上的分布</w:t>
      </w:r>
    </w:p>
    <w:tbl>
      <w:tblPr>
        <w:tblStyle w:val="TableGrid"/>
        <w:tblW w:w="9620" w:type="dxa"/>
        <w:jc w:val="center"/>
        <w:tblLayout w:type="fixed"/>
        <w:tblCellMar>
          <w:left w:w="57" w:type="dxa"/>
          <w:right w:w="57" w:type="dxa"/>
          <w:top w:w="14" w:type="dxa"/>
          <w:bottom w:w="14" w:type="dxa"/>
        </w:tblCellMar>
        <w:tblLook w:firstColumn="1" w:firstRow="1" w:lastColumn="0" w:lastRow="0" w:noHBand="0" w:noVBand="1" w:val="04A0"/>
      </w:tblPr>
      <w:tblGrid>
        <w:gridCol w:w="3121"/>
        <w:gridCol w:w="630"/>
        <w:gridCol w:w="621"/>
        <w:gridCol w:w="3262"/>
        <w:gridCol w:w="1986"/>
      </w:tblGrid>
      <w:tr>
        <w:trPr>
          <w:tblHeader w:val="true"/>
          <w:cantSplit w:val="true"/>
        </w:trPr>
        <w:tc>
          <w:tcPr>
            <w:tcW w:type="dxa" w:w="312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场景</w:t>
            </w:r>
          </w:p>
        </w:tc>
        <w:tc>
          <w:tcPr>
            <w:tcW w:type="dxa" w:w="630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规则数</w:t>
            </w:r>
          </w:p>
        </w:tc>
        <w:tc>
          <w:tcPr>
            <w:tcW w:type="dxa" w:w="62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启用</w:t>
            </w:r>
          </w:p>
        </w:tc>
        <w:tc>
          <w:tcPr>
            <w:tcW w:type="dxa" w:w="3262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判定对象</w:t>
            </w:r>
          </w:p>
        </w:tc>
        <w:tc>
          <w:tcPr>
            <w:tcW w:type="dxa" w:w="198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阈值来源</w:t>
            </w:r>
          </w:p>
        </w:tc>
      </w:tr>
      <w:tr>
        <w:trPr>
          <w:cantSplit w:val="true"/>
        </w:trPr>
        <w:tc>
          <w:tcPr>
            <w:tcW w:type="dxa" w:w="31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个人能力差距 PERSONAL_GAP</w:t>
            </w:r>
          </w:p>
        </w:tc>
        <w:tc>
          <w:tcPr>
            <w:tcW w:type="dxa" w:w="63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</w:t>
            </w:r>
          </w:p>
        </w:tc>
        <w:tc>
          <w:tcPr>
            <w:tcW w:type="dxa" w:w="6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</w:t>
            </w:r>
          </w:p>
        </w:tc>
        <w:tc>
          <w:tcPr>
            <w:tcW w:type="dxa" w:w="32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证书等级与岗位授权门槛、安全记录</w:t>
            </w:r>
          </w:p>
        </w:tc>
        <w:tc>
          <w:tcPr>
            <w:tcW w:type="dxa" w:w="19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岗位要求等级、安全记录类型</w:t>
            </w:r>
          </w:p>
        </w:tc>
      </w:tr>
      <w:tr>
        <w:trPr>
          <w:cantSplit w:val="true"/>
        </w:trPr>
        <w:tc>
          <w:tcPr>
            <w:tcW w:type="dxa" w:w="31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考试判定 EXAM_RESULT</w:t>
            </w:r>
          </w:p>
        </w:tc>
        <w:tc>
          <w:tcPr>
            <w:tcW w:type="dxa" w:w="63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6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</w:t>
            </w:r>
          </w:p>
        </w:tc>
        <w:tc>
          <w:tcPr>
            <w:tcW w:type="dxa" w:w="32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课程成绩与课程合格线</w:t>
            </w:r>
          </w:p>
        </w:tc>
        <w:tc>
          <w:tcPr>
            <w:tcW w:type="dxa" w:w="19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课程表 pass_score</w:t>
            </w:r>
          </w:p>
        </w:tc>
      </w:tr>
      <w:tr>
        <w:trPr>
          <w:cantSplit w:val="true"/>
        </w:trPr>
        <w:tc>
          <w:tcPr>
            <w:tcW w:type="dxa" w:w="31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人才缺口 TALENT_GAP</w:t>
            </w:r>
          </w:p>
        </w:tc>
        <w:tc>
          <w:tcPr>
            <w:tcW w:type="dxa" w:w="63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6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32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班组备份力量、未来需求缺口</w:t>
            </w:r>
          </w:p>
        </w:tc>
        <w:tc>
          <w:tcPr>
            <w:tcW w:type="dxa" w:w="19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班组编制、需求预测</w:t>
            </w:r>
          </w:p>
        </w:tc>
      </w:tr>
      <w:tr>
        <w:trPr>
          <w:cantSplit w:val="true"/>
        </w:trPr>
        <w:tc>
          <w:tcPr>
            <w:tcW w:type="dxa" w:w="31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实操报告归因 REPORT_ANALYSIS</w:t>
            </w:r>
          </w:p>
        </w:tc>
        <w:tc>
          <w:tcPr>
            <w:tcW w:type="dxa" w:w="63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6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32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耗时比与原因归属（技能类／人为类）</w:t>
            </w:r>
          </w:p>
        </w:tc>
        <w:tc>
          <w:tcPr>
            <w:tcW w:type="dxa" w:w="19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同类任务计划耗时</w:t>
            </w:r>
          </w:p>
        </w:tc>
      </w:tr>
      <w:tr>
        <w:trPr>
          <w:cantSplit w:val="true"/>
        </w:trPr>
        <w:tc>
          <w:tcPr>
            <w:tcW w:type="dxa" w:w="31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气体检测归因 REPORT_GAS</w:t>
            </w:r>
          </w:p>
        </w:tc>
        <w:tc>
          <w:tcPr>
            <w:tcW w:type="dxa" w:w="63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12</w:t>
            </w:r>
          </w:p>
        </w:tc>
        <w:tc>
          <w:tcPr>
            <w:tcW w:type="dxa" w:w="6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12</w:t>
            </w:r>
          </w:p>
        </w:tc>
        <w:tc>
          <w:tcPr>
            <w:tcW w:type="dxa" w:w="32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余量比定档（5 条）与七类异常关键词（7 条）</w:t>
            </w:r>
          </w:p>
        </w:tc>
        <w:tc>
          <w:tcPr>
            <w:tcW w:type="dxa" w:w="19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气体阈值与标准值</w:t>
            </w:r>
          </w:p>
        </w:tc>
      </w:tr>
      <w:tr>
        <w:trPr>
          <w:cantSplit w:val="true"/>
        </w:trPr>
        <w:tc>
          <w:tcPr>
            <w:tcW w:type="dxa" w:w="31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合计</w:t>
            </w:r>
          </w:p>
        </w:tc>
        <w:tc>
          <w:tcPr>
            <w:tcW w:type="dxa" w:w="63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22</w:t>
            </w:r>
          </w:p>
        </w:tc>
        <w:tc>
          <w:tcPr>
            <w:tcW w:type="dxa" w:w="6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</w:t>
            </w:r>
          </w:p>
        </w:tc>
        <w:tc>
          <w:tcPr>
            <w:tcW w:type="dxa" w:w="32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——</w:t>
            </w:r>
          </w:p>
        </w:tc>
        <w:tc>
          <w:tcPr>
            <w:tcW w:type="dxa" w:w="19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均为事实引用</w:t>
            </w:r>
          </w:p>
        </w:tc>
      </w:tr>
    </w:tbl>
    <w:p>
      <w:pPr>
        <w:spacing w:after="40" w:line="80" w:lineRule="exact"/>
      </w:pP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事实适配层只读人事、考试、实操与安全四类台账，把档案组装为带编号与来源标签的事实清单；每个场景只允许一个事实来源，且不读取历史诊断结论，以抑制结论回灌。这只能减少反馈污染，要让重复回放的输入一致，还须固定台账快照与规则版本，本文的回放实验即在这一前提下进行。技能差距清单由后端按技能雷达预先归并给定，模型只能引用不得增删，这一约束把「哪些技能构成缺口」从生成任务降为转述任务，是输出稳定的前提。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差距量化的口径如下：岗位差距取要求等级与现状等级之差，未来需求差距取未来需求与现状等级之差，均截断为非负；考试、实操、证书与安全四项偏差分别归一化到 [0, 1]。六项加权得到补强优先级，见式（1），权重由业务侧按管理侧重配置；再按式（2）映射为 P1 至 P3 三档，阈值 θ1 与 θ2 同样由业务侧给定。排期顺序因此与规则判定同源，不由模型自由决定。</w:t>
      </w:r>
    </w:p>
    <w:p>
      <w:pPr>
        <w:spacing w:before="120" w:after="120"/>
        <w:jc w:val="center"/>
      </w:pPr>
      <m:oMathPara>
        <m:oMath>
          <m:r>
            <m:rPr/>
            <w:t xml:space="preserve">Pr</w:t>
          </m:r>
          <m:sSub>
            <m:e>
              <m:r>
                <m:rPr/>
                <w:t xml:space="preserve"/>
              </m:r>
            </m:e>
            <m:sub>
              <m:r>
                <m:rPr/>
                <w:t xml:space="preserve">i</w:t>
              </m:r>
              <m:r>
                <m:rPr>
                  <m:sty m:val="p"/>
                </m:rPr>
                <w:t xml:space="preserve">,</w:t>
              </m:r>
              <m:r>
                <m:rPr/>
                <w:t xml:space="preserve">k</w:t>
              </m:r>
            </m:sub>
          </m:sSub>
          <m:r>
            <m:rPr>
              <m:sty m:val="p"/>
            </m:rPr>
            <w:t xml:space="preserve"> = </w:t>
          </m:r>
          <m:r>
            <m:rPr/>
            <w:t xml:space="preserve">w</w:t>
          </m:r>
          <m:sSub>
            <m:e>
              <m:r>
                <m:rPr/>
                <w:t xml:space="preserve"/>
              </m:r>
            </m:e>
            <m:sub>
              <m:r>
                <m:rPr>
                  <m:sty m:val="p"/>
                </m:rPr>
                <w:t xml:space="preserve">1</w:t>
              </m:r>
            </m:sub>
          </m:sSub>
          <m:r>
            <m:rPr/>
            <w:t xml:space="preserve">G</w:t>
          </m:r>
          <m:sSub>
            <m:e>
              <m:r>
                <m:rPr/>
                <w:t xml:space="preserve"/>
              </m:r>
            </m:e>
            <m:sub>
              <m:r>
                <m:rPr/>
                <w:t xml:space="preserve">i</w:t>
              </m:r>
              <m:r>
                <m:rPr>
                  <m:sty m:val="p"/>
                </m:rPr>
                <w:t xml:space="preserve">,</w:t>
              </m:r>
              <m:r>
                <m:rPr/>
                <w:t xml:space="preserve">k</w:t>
              </m:r>
            </m:sub>
          </m:sSub>
          <m:r>
            <m:rPr>
              <m:sty m:val="p"/>
            </m:rPr>
            <w:t xml:space="preserve"> + </w:t>
          </m:r>
          <m:r>
            <m:rPr/>
            <w:t xml:space="preserve">w</w:t>
          </m:r>
          <m:sSub>
            <m:e>
              <m:r>
                <m:rPr/>
                <w:t xml:space="preserve"/>
              </m:r>
            </m:e>
            <m:sub>
              <m:r>
                <m:rPr>
                  <m:sty m:val="p"/>
                </m:rPr>
                <w:t xml:space="preserve">2</w:t>
              </m:r>
            </m:sub>
          </m:sSub>
          <m:r>
            <m:rPr/>
            <w:t xml:space="preserve">F</w:t>
          </m:r>
          <m:sSub>
            <m:e>
              <m:r>
                <m:rPr/>
                <w:t xml:space="preserve"/>
              </m:r>
            </m:e>
            <m:sub>
              <m:r>
                <m:rPr/>
                <w:t xml:space="preserve">i</w:t>
              </m:r>
              <m:r>
                <m:rPr>
                  <m:sty m:val="p"/>
                </m:rPr>
                <w:t xml:space="preserve">,</w:t>
              </m:r>
              <m:r>
                <m:rPr/>
                <w:t xml:space="preserve">k</w:t>
              </m:r>
            </m:sub>
          </m:sSub>
          <m:r>
            <m:rPr>
              <m:sty m:val="p"/>
            </m:rPr>
            <w:t xml:space="preserve"> + </w:t>
          </m:r>
          <m:r>
            <m:rPr/>
            <w:t xml:space="preserve">w</w:t>
          </m:r>
          <m:sSub>
            <m:e>
              <m:r>
                <m:rPr/>
                <w:t xml:space="preserve"/>
              </m:r>
            </m:e>
            <m:sub>
              <m:r>
                <m:rPr>
                  <m:sty m:val="p"/>
                </m:rPr>
                <w:t xml:space="preserve">3</w:t>
              </m:r>
            </m:sub>
          </m:sSub>
          <m:r>
            <m:rPr/>
            <w:t xml:space="preserve">E</w:t>
          </m:r>
          <m:sSub>
            <m:e>
              <m:r>
                <m:rPr/>
                <w:t xml:space="preserve"/>
              </m:r>
            </m:e>
            <m:sub>
              <m:r>
                <m:rPr/>
                <w:t xml:space="preserve">i</w:t>
              </m:r>
              <m:r>
                <m:rPr>
                  <m:sty m:val="p"/>
                </m:rPr>
                <w:t xml:space="preserve">,</w:t>
              </m:r>
              <m:r>
                <m:rPr/>
                <w:t xml:space="preserve">k</w:t>
              </m:r>
            </m:sub>
          </m:sSub>
          <m:r>
            <m:rPr>
              <m:sty m:val="p"/>
            </m:rPr>
            <w:t xml:space="preserve"> + </w:t>
          </m:r>
          <m:r>
            <m:rPr/>
            <w:t xml:space="preserve">w</w:t>
          </m:r>
          <m:sSub>
            <m:e>
              <m:r>
                <m:rPr/>
                <w:t xml:space="preserve"/>
              </m:r>
            </m:e>
            <m:sub>
              <m:r>
                <m:rPr>
                  <m:sty m:val="p"/>
                </m:rPr>
                <w:t xml:space="preserve">4</w:t>
              </m:r>
            </m:sub>
          </m:sSub>
          <m:r>
            <m:rPr/>
            <w:t xml:space="preserve">Q</w:t>
          </m:r>
          <m:sSub>
            <m:e>
              <m:r>
                <m:rPr/>
                <w:t xml:space="preserve"/>
              </m:r>
            </m:e>
            <m:sub>
              <m:r>
                <m:rPr/>
                <w:t xml:space="preserve">i</w:t>
              </m:r>
              <m:r>
                <m:rPr>
                  <m:sty m:val="p"/>
                </m:rPr>
                <w:t xml:space="preserve">,</w:t>
              </m:r>
              <m:r>
                <m:rPr/>
                <w:t xml:space="preserve">k</w:t>
              </m:r>
            </m:sub>
          </m:sSub>
          <m:r>
            <m:rPr>
              <m:sty m:val="p"/>
            </m:rPr>
            <w:t xml:space="preserve"> + </w:t>
          </m:r>
          <m:r>
            <m:rPr/>
            <w:t xml:space="preserve">w</w:t>
          </m:r>
          <m:sSub>
            <m:e>
              <m:r>
                <m:rPr/>
                <w:t xml:space="preserve"/>
              </m:r>
            </m:e>
            <m:sub>
              <m:r>
                <m:rPr>
                  <m:sty m:val="p"/>
                </m:rPr>
                <w:t xml:space="preserve">5</w:t>
              </m:r>
            </m:sub>
          </m:sSub>
          <m:r>
            <m:rPr/>
            <w:t xml:space="preserve">C</w:t>
          </m:r>
          <m:sSub>
            <m:e>
              <m:r>
                <m:rPr/>
                <w:t xml:space="preserve"/>
              </m:r>
            </m:e>
            <m:sub>
              <m:r>
                <m:rPr/>
                <w:t xml:space="preserve">i</w:t>
              </m:r>
              <m:r>
                <m:rPr>
                  <m:sty m:val="p"/>
                </m:rPr>
                <w:t xml:space="preserve">,</w:t>
              </m:r>
              <m:r>
                <m:rPr/>
                <w:t xml:space="preserve">k</w:t>
              </m:r>
            </m:sub>
          </m:sSub>
          <m:r>
            <m:rPr>
              <m:sty m:val="p"/>
            </m:rPr>
            <w:t xml:space="preserve"> + </w:t>
          </m:r>
          <m:r>
            <m:rPr/>
            <w:t xml:space="preserve">w</w:t>
          </m:r>
          <m:sSub>
            <m:e>
              <m:r>
                <m:rPr/>
                <w:t xml:space="preserve"/>
              </m:r>
            </m:e>
            <m:sub>
              <m:r>
                <m:rPr>
                  <m:sty m:val="p"/>
                </m:rPr>
                <w:t xml:space="preserve">6</w:t>
              </m:r>
            </m:sub>
          </m:sSub>
          <m:r>
            <m:rPr/>
            <w:t xml:space="preserve">A</w:t>
          </m:r>
          <m:sSub>
            <m:e>
              <m:r>
                <m:rPr/>
                <w:t xml:space="preserve"/>
              </m:r>
            </m:e>
            <m:sub>
              <m:r>
                <m:rPr/>
                <w:t xml:space="preserve">i</w:t>
              </m:r>
              <m:r>
                <m:rPr>
                  <m:sty m:val="p"/>
                </m:rPr>
                <w:t xml:space="preserve">,</w:t>
              </m:r>
              <m:r>
                <m:rPr/>
                <w:t xml:space="preserve">k</w:t>
              </m:r>
            </m:sub>
          </m:sSub>
        </m:oMath>
      </m:oMathPara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spacing w:before="120" w:after="120"/>
        <w:jc w:val="center"/>
      </w:pPr>
      <m:oMathPara>
        <m:oMath>
          <m:r>
            <m:rPr/>
            <w:t xml:space="preserve">p</w:t>
          </m:r>
          <m:sSub>
            <m:e>
              <m:r>
                <m:rPr/>
                <w:t xml:space="preserve"/>
              </m:r>
            </m:e>
            <m:sub>
              <m:r>
                <m:rPr/>
                <w:t xml:space="preserve">i</w:t>
              </m:r>
              <m:r>
                <m:rPr>
                  <m:sty m:val="p"/>
                </m:rPr>
                <w:t xml:space="preserve">,</w:t>
              </m:r>
              <m:r>
                <m:rPr/>
                <w:t xml:space="preserve">k</w:t>
              </m:r>
            </m:sub>
          </m:sSub>
          <m:r>
            <m:rPr>
              <m:sty m:val="p"/>
            </m:rPr>
            <w:t xml:space="preserve"> = </w:t>
          </m:r>
          <m:r>
            <m:rPr/>
            <w:t xml:space="preserve">P1</w:t>
          </m:r>
          <m:r>
            <m:rPr>
              <m:sty m:val="p"/>
            </m:rPr>
            <w:t xml:space="preserve">  if </w:t>
          </m:r>
          <m:r>
            <m:rPr/>
            <w:t xml:space="preserve">Pr</w:t>
          </m:r>
          <m:sSub>
            <m:e>
              <m:r>
                <m:rPr/>
                <w:t xml:space="preserve"/>
              </m:r>
            </m:e>
            <m:sub>
              <m:r>
                <m:rPr/>
                <w:t xml:space="preserve">i</w:t>
              </m:r>
              <m:r>
                <m:rPr>
                  <m:sty m:val="p"/>
                </m:rPr>
                <w:t xml:space="preserve">,</w:t>
              </m:r>
              <m:r>
                <m:rPr/>
                <w:t xml:space="preserve">k</w:t>
              </m:r>
            </m:sub>
          </m:sSub>
          <m:r>
            <m:rPr>
              <m:sty m:val="p"/>
            </m:rPr>
            <w:t xml:space="preserve"> ≥ </w:t>
          </m:r>
          <m:r>
            <m:rPr/>
            <w:t xml:space="preserve">θ</w:t>
          </m:r>
          <m:sSub>
            <m:e>
              <m:r>
                <m:rPr/>
                <w:t xml:space="preserve"/>
              </m:r>
            </m:e>
            <m:sub>
              <m:r>
                <m:rPr>
                  <m:sty m:val="p"/>
                </m:rPr>
                <w:t xml:space="preserve">1</w:t>
              </m:r>
            </m:sub>
          </m:sSub>
          <m:r>
            <m:rPr>
              <m:sty m:val="p"/>
            </m:rPr>
            <w:t xml:space="preserve">;   </w:t>
          </m:r>
          <m:r>
            <m:rPr/>
            <w:t xml:space="preserve">P2</w:t>
          </m:r>
          <m:r>
            <m:rPr>
              <m:sty m:val="p"/>
            </m:rPr>
            <w:t xml:space="preserve">  if </w:t>
          </m:r>
          <m:r>
            <m:rPr/>
            <w:t xml:space="preserve">θ</w:t>
          </m:r>
          <m:sSub>
            <m:e>
              <m:r>
                <m:rPr/>
                <w:t xml:space="preserve"/>
              </m:r>
            </m:e>
            <m:sub>
              <m:r>
                <m:rPr>
                  <m:sty m:val="p"/>
                </m:rPr>
                <w:t xml:space="preserve">2</w:t>
              </m:r>
            </m:sub>
          </m:sSub>
          <m:r>
            <m:rPr>
              <m:sty m:val="p"/>
            </m:rPr>
            <w:t xml:space="preserve"> ≤ </w:t>
          </m:r>
          <m:r>
            <m:rPr/>
            <w:t xml:space="preserve">Pr</w:t>
          </m:r>
          <m:sSub>
            <m:e>
              <m:r>
                <m:rPr/>
                <w:t xml:space="preserve"/>
              </m:r>
            </m:e>
            <m:sub>
              <m:r>
                <m:rPr/>
                <w:t xml:space="preserve">i</w:t>
              </m:r>
              <m:r>
                <m:rPr>
                  <m:sty m:val="p"/>
                </m:rPr>
                <w:t xml:space="preserve">,</w:t>
              </m:r>
              <m:r>
                <m:rPr/>
                <w:t xml:space="preserve">k</w:t>
              </m:r>
            </m:sub>
          </m:sSub>
          <m:r>
            <m:rPr>
              <m:sty m:val="p"/>
            </m:rPr>
            <w:t xml:space="preserve"> &lt; </w:t>
          </m:r>
          <m:r>
            <m:rPr/>
            <w:t xml:space="preserve">θ</w:t>
          </m:r>
          <m:sSub>
            <m:e>
              <m:r>
                <m:rPr/>
                <w:t xml:space="preserve"/>
              </m:r>
            </m:e>
            <m:sub>
              <m:r>
                <m:rPr>
                  <m:sty m:val="p"/>
                </m:rPr>
                <w:t xml:space="preserve">1</w:t>
              </m:r>
            </m:sub>
          </m:sSub>
          <m:r>
            <m:rPr>
              <m:sty m:val="p"/>
            </m:rPr>
            <w:t xml:space="preserve">;   </w:t>
          </m:r>
          <m:r>
            <m:rPr/>
            <w:t xml:space="preserve">P3</w:t>
          </m:r>
          <m:r>
            <m:rPr>
              <m:sty m:val="p"/>
            </m:rPr>
            <w:t xml:space="preserve">  otherwise</w:t>
          </m:r>
        </m:oMath>
      </m:oMathPara>
      <w:r>
        <w:rPr>
          <w:rFonts w:ascii="Times New Roman" w:hAnsi="Times New Roman" w:eastAsia="宋体"/>
          <w:b w:val="0"/>
          <w:i w:val="0"/>
          <w:sz w:val="21"/>
        </w:rPr>
        <w:tab/>
        <w:t>（2）</w:t>
      </w: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1"/>
        </w:rPr>
        <w:t>4.2　输出契约、语料与微调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模型按六键契约输出：summary 为总述，confidence 为置信度，verdict 含结论标题与理由，gaps 为差距项（技能、现状、要求、未来、影响、severity、priority），plan 为学习计划（类型、目标技能、目标等级、完成日期、理由），compound_path 为跨技能复合路径。诊断编号、运行时间、来源标记、证据条数与人工确认标志均由后端补写，模型不参与生成。该分工是四道防线得以实施的前提：结构字段由代码负责，模型只写叙述字段。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第一版语料按「固定指令、档案散文、十一键目标输出」组织，共 150 条，接入线上服务时暴露三处不匹配：提示词不同形，线上为日期、事实清单、缺口清单与输出模板四段式，该版按档案分段拼接；契约不同形，六键与十一键仅差距项同名，150 条目标答案全部无法通过校验；答案不完整，答案长度中位 1795 token 而首轮窗口为 1024，约 78% 的答案 token 被截断。第二版据此构建为 500 条：生成器照后端源码逐字复刻四段式提示词，档案只作事实来源；每条样本重新采样事实组合，差距项为 1、2、3 项的样本分别为 124、232、144 条，覆盖 49 个岗位，提示词互不重复。窗口取 4096，依据是单条长度中位 3432 token、95 分位 3806、最大 3924；第一版总长中位仅 2368 token 却在 1024 下被截断，说明制约因素是答案占比而非总长。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微调以 Qwen2.5-3B-Instruct[10] 为基座，采用低秩适配[2]与 4-bit 量化[3]，只训练注意力与全连接层的七个投影矩阵，秩取 16、缩放系数 32，批大小 1 并累积 8 步，学习率 1e-4 余弦退火，共 5 轮 300 步。可训练参数 2994 万，占全量的 0.96%，产物为 120 MB 的适配器。部署形态为 Spring Boot 与 MySQL 8 后端、Vue 3 前端，推理服务以 LLaMA-Factory[11] 的 api 模式对外提供 OpenAI 兼容接口，采样温度固定 0.2，输出强制为 JSON 对象。由于模型路径端到端为百秒级，实际部署宜按「规则结论先行、模型叙述补入后提示复核」的方式使用，两者以来源标记区分，最终仍由人工确认。</w:t>
      </w: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4"/>
        </w:rPr>
        <w:t>5　实验与结果分析</w:t>
      </w: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1"/>
        </w:rPr>
        <w:t>5.1　实验设置与数据关系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训练、推理与评测在同一台设备上完成：RTX 5060 Laptop 8 GB 显卡、32 GB 内存，OpenJDK 17、MySQL 8 与 LLaMA-Factory，后端与推理服务共用一张显卡。实验数据不是真实业务采集样本，而是按因子设计生成的结构化档案：六类安全记录各 25 条、25 个考试分数各 6 条、30 个岗位匹配度各 5 条，五组数据与两组回放的规模、构造与关系见表 4。需要指出，训练语料、留出样本与评测档案同源：三者由同一批 150 份档案经同一生成器展开，留出样本只换随机种子与事实组合。因此模型实测反映的是「未见提示词上的输出合规性」，不能据此推断跨单位泛化能力。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 xml:space="preserve">表 4　</w:t>
      </w:r>
      <w:r>
        <w:rPr>
          <w:rFonts w:ascii="Times New Roman" w:hAnsi="Times New Roman" w:eastAsia="宋体"/>
          <w:b w:val="0"/>
          <w:i w:val="0"/>
          <w:sz w:val="18"/>
        </w:rPr>
        <w:t>五组数据与两组回放的规模、构造方式及其相互关系</w:t>
      </w:r>
    </w:p>
    <w:tbl>
      <w:tblPr>
        <w:tblStyle w:val="TableGrid"/>
        <w:tblW w:w="9620" w:type="dxa"/>
        <w:jc w:val="center"/>
        <w:tblLayout w:type="fixed"/>
        <w:tblCellMar>
          <w:left w:w="57" w:type="dxa"/>
          <w:right w:w="57" w:type="dxa"/>
          <w:top w:w="14" w:type="dxa"/>
          <w:bottom w:w="14" w:type="dxa"/>
        </w:tblCellMar>
        <w:tblLook w:firstColumn="1" w:firstRow="1" w:lastColumn="0" w:lastRow="0" w:noHBand="0" w:noVBand="1" w:val="04A0"/>
      </w:tblPr>
      <w:tblGrid>
        <w:gridCol w:w="1140"/>
        <w:gridCol w:w="1820"/>
        <w:gridCol w:w="3993"/>
        <w:gridCol w:w="2667"/>
      </w:tblGrid>
      <w:tr>
        <w:trPr>
          <w:tblHeader w:val="true"/>
          <w:cantSplit w:val="true"/>
        </w:trPr>
        <w:tc>
          <w:tcPr>
            <w:tcW w:type="dxa" w:w="1140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数据与回放</w:t>
            </w:r>
          </w:p>
        </w:tc>
        <w:tc>
          <w:tcPr>
            <w:tcW w:type="dxa" w:w="1820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规模</w:t>
            </w:r>
          </w:p>
        </w:tc>
        <w:tc>
          <w:tcPr>
            <w:tcW w:type="dxa" w:w="3993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构造方式</w:t>
            </w:r>
          </w:p>
        </w:tc>
        <w:tc>
          <w:tcPr>
            <w:tcW w:type="dxa" w:w="2667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在实验中的作用</w:t>
            </w:r>
          </w:p>
        </w:tc>
      </w:tr>
      <w:tr>
        <w:trPr>
          <w:cantSplit w:val="true"/>
        </w:trPr>
        <w:tc>
          <w:tcPr>
            <w:tcW w:type="dxa" w:w="114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结构化档案</w:t>
            </w:r>
          </w:p>
        </w:tc>
        <w:tc>
          <w:tcPr>
            <w:tcW w:type="dxa" w:w="18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 份</w:t>
            </w:r>
          </w:p>
        </w:tc>
        <w:tc>
          <w:tcPr>
            <w:tcW w:type="dxa" w:w="399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六类安全记录各 25 条、25 个分数各 6 条、30 个岗位匹配各 5 条</w:t>
            </w:r>
          </w:p>
        </w:tc>
        <w:tc>
          <w:tcPr>
            <w:tcW w:type="dxa" w:w="266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数据的源头，规则回放的主体</w:t>
            </w:r>
          </w:p>
        </w:tc>
      </w:tr>
      <w:tr>
        <w:trPr>
          <w:cantSplit w:val="true"/>
        </w:trPr>
        <w:tc>
          <w:tcPr>
            <w:tcW w:type="dxa" w:w="114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训练语料</w:t>
            </w:r>
          </w:p>
        </w:tc>
        <w:tc>
          <w:tcPr>
            <w:tcW w:type="dxa" w:w="18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500 条（475／25）</w:t>
            </w:r>
          </w:p>
        </w:tc>
        <w:tc>
          <w:tcPr>
            <w:tcW w:type="dxa" w:w="399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同一生成器重采样事实组合，逐字复刻线上四段式提示词</w:t>
            </w:r>
          </w:p>
        </w:tc>
        <w:tc>
          <w:tcPr>
            <w:tcW w:type="dxa" w:w="266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微调；与档案同源，提示词不重复</w:t>
            </w:r>
          </w:p>
        </w:tc>
      </w:tr>
      <w:tr>
        <w:trPr>
          <w:cantSplit w:val="true"/>
        </w:trPr>
        <w:tc>
          <w:tcPr>
            <w:tcW w:type="dxa" w:w="114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留出测试样本</w:t>
            </w:r>
          </w:p>
        </w:tc>
        <w:tc>
          <w:tcPr>
            <w:tcW w:type="dxa" w:w="18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 条</w:t>
            </w:r>
          </w:p>
        </w:tc>
        <w:tc>
          <w:tcPr>
            <w:tcW w:type="dxa" w:w="399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同一生成器换种子生成，输入与训练集不重合</w:t>
            </w:r>
          </w:p>
        </w:tc>
        <w:tc>
          <w:tcPr>
            <w:tcW w:type="dxa" w:w="266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模型实测；与训练同源同模板</w:t>
            </w:r>
          </w:p>
        </w:tc>
      </w:tr>
      <w:tr>
        <w:trPr>
          <w:cantSplit w:val="true"/>
        </w:trPr>
        <w:tc>
          <w:tcPr>
            <w:tcW w:type="dxa" w:w="114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记忆性对照</w:t>
            </w:r>
          </w:p>
        </w:tc>
        <w:tc>
          <w:tcPr>
            <w:tcW w:type="dxa" w:w="18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 条</w:t>
            </w:r>
          </w:p>
        </w:tc>
        <w:tc>
          <w:tcPr>
            <w:tcW w:type="dxa" w:w="399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从训练集等距抽取原样样本</w:t>
            </w:r>
          </w:p>
        </w:tc>
        <w:tc>
          <w:tcPr>
            <w:tcW w:type="dxa" w:w="266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查提示词记忆，属训练子集，不作泛化证据</w:t>
            </w:r>
          </w:p>
        </w:tc>
      </w:tr>
      <w:tr>
        <w:trPr>
          <w:cantSplit w:val="true"/>
        </w:trPr>
        <w:tc>
          <w:tcPr>
            <w:tcW w:type="dxa" w:w="114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气体参数网格</w:t>
            </w:r>
          </w:p>
        </w:tc>
        <w:tc>
          <w:tcPr>
            <w:tcW w:type="dxa" w:w="18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200 组</w:t>
            </w:r>
          </w:p>
        </w:tc>
        <w:tc>
          <w:tcPr>
            <w:tcW w:type="dxa" w:w="399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人工构造的余量比与关键词组合</w:t>
            </w:r>
          </w:p>
        </w:tc>
        <w:tc>
          <w:tcPr>
            <w:tcW w:type="dxa" w:w="266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规则语义验证，独立于前四组</w:t>
            </w:r>
          </w:p>
        </w:tc>
      </w:tr>
      <w:tr>
        <w:trPr>
          <w:cantSplit w:val="true"/>
        </w:trPr>
        <w:tc>
          <w:tcPr>
            <w:tcW w:type="dxa" w:w="114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规则回放</w:t>
            </w:r>
          </w:p>
        </w:tc>
        <w:tc>
          <w:tcPr>
            <w:tcW w:type="dxa" w:w="18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450 次</w:t>
            </w:r>
          </w:p>
        </w:tc>
        <w:tc>
          <w:tcPr>
            <w:tcW w:type="dxa" w:w="399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 份档案在 3 个场景各执行一次</w:t>
            </w:r>
          </w:p>
        </w:tc>
        <w:tc>
          <w:tcPr>
            <w:tcW w:type="dxa" w:w="266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规则层有效性；非重复执行</w:t>
            </w:r>
          </w:p>
        </w:tc>
      </w:tr>
    </w:tbl>
    <w:p>
      <w:pPr>
        <w:spacing w:after="40" w:line="80" w:lineRule="exact"/>
      </w:pP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1"/>
        </w:rPr>
        <w:t>5.2　规则层的有效性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档案覆盖率定义为至少命中一条规则的档案所占比例，如式（3）所示。该指标只说明规则对每份档案都有输出，不等于判定正确：一条总命中的兜底规则也能得到 100%。为此，本文另在有独立判据的两项上统计误报与漏报，判据取自档案字段与课程表的直接比较，与被测规则的条件体分开实现，从而排除实现层面的循环；但两者的设计假设同源，结果反映的是规则与业务口径的一致性，而非规则发现了新知识。</w:t>
      </w:r>
    </w:p>
    <w:p>
      <w:pPr>
        <w:spacing w:before="120" w:after="120"/>
        <w:jc w:val="center"/>
      </w:pPr>
      <m:oMathPara>
        <m:oMath>
          <m:r>
            <m:rPr/>
            <w:t xml:space="preserve">C</w:t>
          </m:r>
          <m:r>
            <m:rPr>
              <m:sty m:val="p"/>
            </m:rPr>
            <w:t xml:space="preserve"> = </w:t>
          </m:r>
          <m:f>
            <m:num>
              <m:r>
                <m:rPr>
                  <m:sty m:val="p"/>
                </m:rPr>
                <w:t xml:space="preserve">|{ </w:t>
              </m:r>
              <m:r>
                <m:rPr/>
                <w:t xml:space="preserve">i</w:t>
              </m:r>
              <m:r>
                <m:rPr>
                  <m:sty m:val="p"/>
                </m:rPr>
                <w:t xml:space="preserve"> | ∃ </w:t>
              </m:r>
              <m:r>
                <m:rPr/>
                <w:t xml:space="preserve">r</w:t>
              </m:r>
              <m:r>
                <m:rPr>
                  <m:sty m:val="p"/>
                </m:rPr>
                <w:t xml:space="preserve"> ∈ </w:t>
              </m:r>
              <m:r>
                <m:rPr/>
                <w:t xml:space="preserve">R</w:t>
              </m:r>
              <m:r>
                <m:rPr>
                  <m:sty m:val="p"/>
                </m:rPr>
                <w:t xml:space="preserve">，</w:t>
              </m:r>
              <m:r>
                <m:rPr/>
                <w:t xml:space="preserve">fired</w:t>
              </m:r>
              <m:r>
                <m:rPr>
                  <m:sty m:val="p"/>
                </m:rPr>
                <w:t xml:space="preserve">(</w:t>
              </m:r>
              <m:r>
                <m:rPr/>
                <w:t xml:space="preserve">i</w:t>
              </m:r>
              <m:r>
                <m:rPr>
                  <m:sty m:val="p"/>
                </m:rPr>
                <w:t xml:space="preserve">, </w:t>
              </m:r>
              <m:r>
                <m:rPr/>
                <w:t xml:space="preserve">r</w:t>
              </m:r>
              <m:r>
                <m:rPr>
                  <m:sty m:val="p"/>
                </m:rPr>
                <w:t xml:space="preserve">) }|</w:t>
              </m:r>
            </m:num>
            <m:den>
              <m:r>
                <m:rPr/>
                <w:t xml:space="preserve">N</w:t>
              </m:r>
            </m:den>
          </m:f>
        </m:oMath>
      </m:oMathPara>
      <w:r>
        <w:rPr>
          <w:rFonts w:ascii="Times New Roman" w:hAnsi="Times New Roman" w:eastAsia="宋体"/>
          <w:b w:val="0"/>
          <w:i w:val="0"/>
          <w:sz w:val="21"/>
        </w:rPr>
        <w:tab/>
        <w:t>（3）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450 次回放的结果见表 5。低于课程合格线的 132 份档案全部命中，误报与漏报均为 0；证书等级低于授权门槛的 120 份亦全部命中，另有 25 份因安全记录单独触发安全组规则，合计 145 次。150 份档案中 125 份带安全负例，其中授权类违规 75 份，全部由安全组处置，未被消费的安全记录为 0 份。实操归因缺少独立判据，只报命中率。上述比率的适用范围限于本测试集。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 xml:space="preserve">表 5　</w:t>
      </w:r>
      <w:r>
        <w:rPr>
          <w:rFonts w:ascii="Times New Roman" w:hAnsi="Times New Roman" w:eastAsia="宋体"/>
          <w:b w:val="0"/>
          <w:i w:val="0"/>
          <w:sz w:val="18"/>
        </w:rPr>
        <w:t>450 次规则回放的分场景结果（误报与漏报只在有独立判据的两项上统计）</w:t>
      </w:r>
    </w:p>
    <w:tbl>
      <w:tblPr>
        <w:tblStyle w:val="TableGrid"/>
        <w:tblW w:w="9620" w:type="dxa"/>
        <w:jc w:val="center"/>
        <w:tblLayout w:type="fixed"/>
        <w:tblCellMar>
          <w:left w:w="57" w:type="dxa"/>
          <w:right w:w="57" w:type="dxa"/>
          <w:top w:w="14" w:type="dxa"/>
          <w:bottom w:w="14" w:type="dxa"/>
        </w:tblCellMar>
        <w:tblLook w:firstColumn="1" w:firstRow="1" w:lastColumn="0" w:lastRow="0" w:noHBand="0" w:noVBand="1" w:val="04A0"/>
      </w:tblPr>
      <w:tblGrid>
        <w:gridCol w:w="2889"/>
        <w:gridCol w:w="575"/>
        <w:gridCol w:w="575"/>
        <w:gridCol w:w="657"/>
        <w:gridCol w:w="575"/>
        <w:gridCol w:w="575"/>
        <w:gridCol w:w="3776"/>
      </w:tblGrid>
      <w:tr>
        <w:trPr>
          <w:tblHeader w:val="true"/>
          <w:cantSplit w:val="true"/>
        </w:trPr>
        <w:tc>
          <w:tcPr>
            <w:tcW w:type="dxa" w:w="2889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场景</w:t>
            </w:r>
          </w:p>
        </w:tc>
        <w:tc>
          <w:tcPr>
            <w:tcW w:type="dxa" w:w="575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执行</w:t>
            </w:r>
          </w:p>
        </w:tc>
        <w:tc>
          <w:tcPr>
            <w:tcW w:type="dxa" w:w="575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命中</w:t>
            </w:r>
          </w:p>
        </w:tc>
        <w:tc>
          <w:tcPr>
            <w:tcW w:type="dxa" w:w="657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命中率</w:t>
            </w:r>
          </w:p>
        </w:tc>
        <w:tc>
          <w:tcPr>
            <w:tcW w:type="dxa" w:w="575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误报</w:t>
            </w:r>
          </w:p>
        </w:tc>
        <w:tc>
          <w:tcPr>
            <w:tcW w:type="dxa" w:w="575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漏报</w:t>
            </w:r>
          </w:p>
        </w:tc>
        <w:tc>
          <w:tcPr>
            <w:tcW w:type="dxa" w:w="377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主要命中规则（条次）</w:t>
            </w:r>
          </w:p>
        </w:tc>
      </w:tr>
      <w:tr>
        <w:trPr>
          <w:cantSplit w:val="true"/>
        </w:trPr>
        <w:tc>
          <w:tcPr>
            <w:tcW w:type="dxa" w:w="288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个人诊断 PERSONAL_GAP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145</w:t>
            </w:r>
          </w:p>
        </w:tc>
        <w:tc>
          <w:tcPr>
            <w:tcW w:type="dxa" w:w="65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96.7%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377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SKILL_BELOW_REQUIRED 120、SAFETY_VETO_VIOLATION 75、SAFETY_DEDUCTION 50</w:t>
            </w:r>
          </w:p>
        </w:tc>
      </w:tr>
      <w:tr>
        <w:trPr>
          <w:cantSplit w:val="true"/>
        </w:trPr>
        <w:tc>
          <w:tcPr>
            <w:tcW w:type="dxa" w:w="288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考试判定 EXAM_RESULT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132</w:t>
            </w:r>
          </w:p>
        </w:tc>
        <w:tc>
          <w:tcPr>
            <w:tcW w:type="dxa" w:w="65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88.0%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377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EXAM_BELOW_PASS 132</w:t>
            </w:r>
          </w:p>
        </w:tc>
      </w:tr>
      <w:tr>
        <w:trPr>
          <w:cantSplit w:val="true"/>
        </w:trPr>
        <w:tc>
          <w:tcPr>
            <w:tcW w:type="dxa" w:w="288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实操报告归因 REPORT_ANALYSIS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127</w:t>
            </w:r>
          </w:p>
        </w:tc>
        <w:tc>
          <w:tcPr>
            <w:tcW w:type="dxa" w:w="65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84.7%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77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PRACTICE_HUMAN_CAUSE 75、SKILL_CAUSE 52</w:t>
            </w:r>
          </w:p>
        </w:tc>
      </w:tr>
      <w:tr>
        <w:trPr>
          <w:cantSplit w:val="true"/>
        </w:trPr>
        <w:tc>
          <w:tcPr>
            <w:tcW w:type="dxa" w:w="288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档案级覆盖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</w:t>
            </w:r>
          </w:p>
        </w:tc>
        <w:tc>
          <w:tcPr>
            <w:tcW w:type="dxa" w:w="65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100%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77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 条规则参与求值</w:t>
            </w:r>
          </w:p>
        </w:tc>
      </w:tr>
      <w:tr>
        <w:trPr>
          <w:cantSplit w:val="true"/>
        </w:trPr>
        <w:tc>
          <w:tcPr>
            <w:tcW w:type="dxa" w:w="288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合计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450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404</w:t>
            </w:r>
          </w:p>
        </w:tc>
        <w:tc>
          <w:tcPr>
            <w:tcW w:type="dxa" w:w="65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89.8%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5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377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——</w:t>
            </w:r>
          </w:p>
        </w:tc>
      </w:tr>
    </w:tbl>
    <w:p>
      <w:pPr>
        <w:spacing w:after="40" w:line="80" w:lineRule="exact"/>
      </w:pP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200 组气体参数网格用于验证规则语义：五档定档在两种比例口径下均为 200/200，组内命中上限、严重度合并与事实引用解析分别为 200/200、200/200、120/120；余量高于阈值 10% 却被误升为「中」的用例为 0 组，终端规则在 40 组余量充足用例上均可达。22 条规则在网格或回放中均至少命中一次，即在本文构造的测试范围内未发现不可达规则；这属于有限抽样下的观察，不构成对规则集全局可达性的证明，规则间遮蔽的自动化检测留待后续工作。</w:t>
      </w: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1"/>
        </w:rPr>
        <w:t>5.3　确定性与时延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450 次执行重复运行结果逐字节一致；规则物理顺序完全颠倒后结论不变，因排序按优先级与编号归一化。进程内单次求值平均 0.0122 ms、中位 0.0105 ms、95 分位 0.0194 ms、最大 0.0609 ms，计时仅含条件求值与结论合并，不含数据库访问、事实装配、序列化与网络往返，不能视为端到端时延。模型路径在 20 条留出样本上为中位 105.4 s、均值 124.3 s、最大 324.7 s，统计对象是一次完整请求到完整 JSON，与前者不同质，两者不构成同一链路的对照，本文不据此比较快慢。该数值来自单卡、单请求、无并发测量；批处理与量化推理能否压缩时延，本文未做实测。</w:t>
      </w: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1"/>
        </w:rPr>
        <w:t>5.4　微调收敛与模型输出质量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模型输出的前提是训练收敛。图 3 给出训练与验证损失：首个记录点在第 5 步，为 11.57，与词表均匀熵 ln 151936 = 11.93 相差 3%，说明起点尚未学到偏好；第 25 步降至 1.01，此后缓慢下降，第 105 至 200 步与第 205 至 300 步的均值分别为 0.086 与 0.074，末步 0.063，全程平均 0.577。验证损失由 0.0198 降至 0.0106，第 200 步后仅再降 1.9%，最优点落在末步，说明在 5 轮、4096 窗口下已收敛，增加轮数的收益有限；单卡训练耗时 27 428 s。验证损失低于训练末步，源于口径不同——训练损失按 5 步窗口平均且随机失活生效，验证关闭随机失活、样本固定 25 条；加之两者同源同模板，该数值只说明拟合良好，不能作为泛化证据。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1514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rain_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514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 xml:space="preserve">图 3　</w:t>
      </w:r>
      <w:r>
        <w:rPr>
          <w:rFonts w:ascii="Times New Roman" w:hAnsi="Times New Roman" w:eastAsia="宋体"/>
          <w:b w:val="0"/>
          <w:i w:val="0"/>
          <w:sz w:val="18"/>
        </w:rPr>
        <w:t>微调过程的损失曲线。左为训练损失（对数轴），虚线为词表均匀熵；右为验证损失，第 200 步后仅再降 1.9%。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26 条测试样本由 20 条留出样本与 6 条训练原样样本组成，结果见表 6，按样本数计。留出样本的输出均为合法 JSON 且满足六键契约；差距项集合与后端清单一致；等级与事实清单逐项对应；影响等级与雷达优先级一致；排期晚于当期且严格递增；理由均带有效事实编号，平均引用 4.75 个；数值可溯源。就处置阶段而言，26 条均在首次输出即通过硬校验、未触发回退，故回退路径在本次实测中未被走到，其行为只能由代码路径与 5.5 节的注入测试间接检验。训练原样样本结果与留出样本一致，说明模型未依赖提示词记忆；但两组同源同模板，一致性本身也说明任务难度有限，不足以支撑泛化结论。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 xml:space="preserve">表 6　</w:t>
      </w:r>
      <w:r>
        <w:rPr>
          <w:rFonts w:ascii="Times New Roman" w:hAnsi="Times New Roman" w:eastAsia="宋体"/>
          <w:b w:val="0"/>
          <w:i w:val="0"/>
          <w:sz w:val="18"/>
        </w:rPr>
        <w:t>微调模型的输出实测结果（按样本数计，右列为记忆性对照）</w:t>
      </w:r>
    </w:p>
    <w:tbl>
      <w:tblPr>
        <w:tblStyle w:val="TableGrid"/>
        <w:tblW w:w="9620" w:type="dxa"/>
        <w:jc w:val="center"/>
        <w:tblLayout w:type="fixed"/>
        <w:tblCellMar>
          <w:left w:w="57" w:type="dxa"/>
          <w:right w:w="57" w:type="dxa"/>
          <w:top w:w="14" w:type="dxa"/>
          <w:bottom w:w="14" w:type="dxa"/>
        </w:tblCellMar>
        <w:tblLook w:firstColumn="1" w:firstRow="1" w:lastColumn="0" w:lastRow="0" w:noHBand="0" w:noVBand="1" w:val="04A0"/>
      </w:tblPr>
      <w:tblGrid>
        <w:gridCol w:w="5631"/>
        <w:gridCol w:w="2112"/>
        <w:gridCol w:w="1877"/>
      </w:tblGrid>
      <w:tr>
        <w:trPr>
          <w:tblHeader w:val="true"/>
          <w:cantSplit w:val="true"/>
        </w:trPr>
        <w:tc>
          <w:tcPr>
            <w:tcW w:type="dxa" w:w="563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评测项（判据为与事实清单的逐项比对）</w:t>
            </w:r>
          </w:p>
        </w:tc>
        <w:tc>
          <w:tcPr>
            <w:tcW w:type="dxa" w:w="2112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留出样本 20 条</w:t>
            </w:r>
          </w:p>
        </w:tc>
        <w:tc>
          <w:tcPr>
            <w:tcW w:type="dxa" w:w="1877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训练原样 6 条</w:t>
            </w:r>
          </w:p>
        </w:tc>
      </w:tr>
      <w:tr>
        <w:trPr>
          <w:cantSplit w:val="true"/>
        </w:trPr>
        <w:tc>
          <w:tcPr>
            <w:tcW w:type="dxa" w:w="563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输出为合法 JSON 且满足六键契约</w:t>
            </w:r>
          </w:p>
        </w:tc>
        <w:tc>
          <w:tcPr>
            <w:tcW w:type="dxa" w:w="211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type="dxa" w:w="187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>
        <w:trPr>
          <w:cantSplit w:val="true"/>
        </w:trPr>
        <w:tc>
          <w:tcPr>
            <w:tcW w:type="dxa" w:w="563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差距项集合与后端给定清单一致</w:t>
            </w:r>
          </w:p>
        </w:tc>
        <w:tc>
          <w:tcPr>
            <w:tcW w:type="dxa" w:w="211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type="dxa" w:w="187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>
        <w:trPr>
          <w:cantSplit w:val="true"/>
        </w:trPr>
        <w:tc>
          <w:tcPr>
            <w:tcW w:type="dxa" w:w="563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技能等级、影响等级分别与事实清单、雷达优先级一致</w:t>
            </w:r>
          </w:p>
        </w:tc>
        <w:tc>
          <w:tcPr>
            <w:tcW w:type="dxa" w:w="211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type="dxa" w:w="187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>
        <w:trPr>
          <w:cantSplit w:val="true"/>
        </w:trPr>
        <w:tc>
          <w:tcPr>
            <w:tcW w:type="dxa" w:w="563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学习排期晚于当期且严格递增</w:t>
            </w:r>
          </w:p>
        </w:tc>
        <w:tc>
          <w:tcPr>
            <w:tcW w:type="dxa" w:w="211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type="dxa" w:w="187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>
        <w:trPr>
          <w:cantSplit w:val="true"/>
        </w:trPr>
        <w:tc>
          <w:tcPr>
            <w:tcW w:type="dxa" w:w="563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理由引用有效事实编号（均值 4.75 个）</w:t>
            </w:r>
          </w:p>
        </w:tc>
        <w:tc>
          <w:tcPr>
            <w:tcW w:type="dxa" w:w="211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type="dxa" w:w="187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>
        <w:trPr>
          <w:cantSplit w:val="true"/>
        </w:trPr>
        <w:tc>
          <w:tcPr>
            <w:tcW w:type="dxa" w:w="563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数值可溯源，安全边界出现在输出中</w:t>
            </w:r>
          </w:p>
        </w:tc>
        <w:tc>
          <w:tcPr>
            <w:tcW w:type="dxa" w:w="211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type="dxa" w:w="187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>
        <w:trPr>
          <w:cantSplit w:val="true"/>
        </w:trPr>
        <w:tc>
          <w:tcPr>
            <w:tcW w:type="dxa" w:w="563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首次输出即通过硬校验、未触发回退</w:t>
            </w:r>
          </w:p>
        </w:tc>
        <w:tc>
          <w:tcPr>
            <w:tcW w:type="dxa" w:w="211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type="dxa" w:w="187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</w:tbl>
    <w:p>
      <w:pPr>
        <w:spacing w:after="40" w:line="80" w:lineRule="exact"/>
      </w:pP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1"/>
        </w:rPr>
        <w:t>5.5　校验器的错误注入测试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「输出全部合格」只说明模型表现，未检验校验器本身。为此以一份合格结论为基线，逐项注入 16 例错误，调用后端真实的校验代码，结果见表 7。结构类 11 例全部被硬校验拒绝并回退；数值类 2 例被留痕但未拦截，符合软判定的设计。语义类 3 例（把等级改成另一个合法值、事实编号指向不存在的条目、删去安全陈述）均未被检出：契约只检查字段与枚举，不检查字段取值是否与事实一致，也不检查事实编号是否存在。这构成当前实现的覆盖边界：等级一致性与事实编号有效性目前依靠离线评测发现，线上未纳入硬校验。可补充的改进是在结构契约中增加两项检查：等级须等于事实清单中同名技能的值，事实编号须存在于当次清单；改动集中在单条校验函数内。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 xml:space="preserve">表 7　</w:t>
      </w:r>
      <w:r>
        <w:rPr>
          <w:rFonts w:ascii="Times New Roman" w:hAnsi="Times New Roman" w:eastAsia="宋体"/>
          <w:b w:val="0"/>
          <w:i w:val="0"/>
          <w:sz w:val="18"/>
        </w:rPr>
        <w:t>校验器的错误注入测试（以一份合格结论为基线，逐项注入后调用真实校验代码）</w:t>
      </w:r>
    </w:p>
    <w:tbl>
      <w:tblPr>
        <w:tblStyle w:val="TableGrid"/>
        <w:tblW w:w="9620" w:type="dxa"/>
        <w:jc w:val="center"/>
        <w:tblLayout w:type="fixed"/>
        <w:tblCellMar>
          <w:left w:w="57" w:type="dxa"/>
          <w:right w:w="57" w:type="dxa"/>
          <w:top w:w="14" w:type="dxa"/>
          <w:bottom w:w="14" w:type="dxa"/>
        </w:tblCellMar>
        <w:tblLook w:firstColumn="1" w:firstRow="1" w:lastColumn="0" w:lastRow="0" w:noHBand="0" w:noVBand="1" w:val="04A0"/>
      </w:tblPr>
      <w:tblGrid>
        <w:gridCol w:w="739"/>
        <w:gridCol w:w="4817"/>
        <w:gridCol w:w="737"/>
        <w:gridCol w:w="843"/>
        <w:gridCol w:w="800"/>
        <w:gridCol w:w="1685"/>
      </w:tblGrid>
      <w:tr>
        <w:trPr>
          <w:tblHeader w:val="true"/>
          <w:cantSplit w:val="true"/>
        </w:trPr>
        <w:tc>
          <w:tcPr>
            <w:tcW w:type="dxa" w:w="739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类别</w:t>
            </w:r>
          </w:p>
        </w:tc>
        <w:tc>
          <w:tcPr>
            <w:tcW w:type="dxa" w:w="4817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注入的错误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例数</w:t>
            </w:r>
          </w:p>
        </w:tc>
        <w:tc>
          <w:tcPr>
            <w:tcW w:type="dxa" w:w="843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硬校验</w:t>
            </w:r>
          </w:p>
        </w:tc>
        <w:tc>
          <w:tcPr>
            <w:tcW w:type="dxa" w:w="800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数值对账</w:t>
            </w:r>
          </w:p>
        </w:tc>
        <w:tc>
          <w:tcPr>
            <w:tcW w:type="dxa" w:w="1685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73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结构类</w:t>
            </w:r>
          </w:p>
        </w:tc>
        <w:tc>
          <w:tcPr>
            <w:tcW w:type="dxa" w:w="481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缺字段、空串、类型不符、枚举与等级越界、技能重名、日期格式、缺复合路径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11</w:t>
            </w:r>
          </w:p>
        </w:tc>
        <w:tc>
          <w:tcPr>
            <w:tcW w:type="dxa" w:w="8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11 拒绝</w:t>
            </w:r>
          </w:p>
        </w:tc>
        <w:tc>
          <w:tcPr>
            <w:tcW w:type="dxa" w:w="80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8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回退规则结论</w:t>
            </w:r>
          </w:p>
        </w:tc>
      </w:tr>
      <w:tr>
        <w:trPr>
          <w:cantSplit w:val="true"/>
        </w:trPr>
        <w:tc>
          <w:tcPr>
            <w:tcW w:type="dxa" w:w="73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数值类</w:t>
            </w:r>
          </w:p>
        </w:tc>
        <w:tc>
          <w:tcPr>
            <w:tcW w:type="dxa" w:w="481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总述与理由中写入事实外的数值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8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通过</w:t>
            </w:r>
          </w:p>
        </w:tc>
        <w:tc>
          <w:tcPr>
            <w:tcW w:type="dxa" w:w="80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 留痕</w:t>
            </w:r>
          </w:p>
        </w:tc>
        <w:tc>
          <w:tcPr>
            <w:tcW w:type="dxa" w:w="168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保留结论，置信度封顶</w:t>
            </w:r>
          </w:p>
        </w:tc>
      </w:tr>
      <w:tr>
        <w:trPr>
          <w:cantSplit w:val="true"/>
        </w:trPr>
        <w:tc>
          <w:tcPr>
            <w:tcW w:type="dxa" w:w="73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语义类</w:t>
            </w:r>
          </w:p>
        </w:tc>
        <w:tc>
          <w:tcPr>
            <w:tcW w:type="dxa" w:w="481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等级改为另一合法值、事实编号不存在、删去安全陈述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</w:t>
            </w:r>
          </w:p>
        </w:tc>
        <w:tc>
          <w:tcPr>
            <w:tcW w:type="dxa" w:w="8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通过</w:t>
            </w:r>
          </w:p>
        </w:tc>
        <w:tc>
          <w:tcPr>
            <w:tcW w:type="dxa" w:w="80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未留痕</w:t>
            </w:r>
          </w:p>
        </w:tc>
        <w:tc>
          <w:tcPr>
            <w:tcW w:type="dxa" w:w="168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未检出，属覆盖边界</w:t>
            </w:r>
          </w:p>
        </w:tc>
      </w:tr>
    </w:tbl>
    <w:p>
      <w:pPr>
        <w:spacing w:after="40" w:line="80" w:lineRule="exact"/>
      </w:pP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4"/>
        </w:rPr>
        <w:t>6　讨论</w:t>
      </w: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1"/>
        </w:rPr>
        <w:t>6.1　适用条件与不适用情形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该架构成立需同时满足四个条件：岗位能力可分级，能力项能映射到有序等级，使「当前低于要求」可判定；业务阈值可枚举，量化要求能写成条件并维护为独立事实；档案已结构化，四类记录可按人汇总为事实清单；建议须经人工确认。满足上述条件的规程驱动岗位，如调度、高压试验与继电保护，原则上可沿用同一架构，但规则集与适配层须重构并验证，本文未做跨岗位实验。四类情形不宜采用：开放域问答，判定条件无法枚举，宜以检索增强生成为主；缺乏结构化档案，规则路径将大面积进入跳过通道；实时闭环控制，模型路径为百秒级，无法满足在线控制与联锁要求；无人工确认的自动化执行，直接下发操作指令须重新评估安全责任边界。</w:t>
      </w: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1"/>
        </w:rPr>
        <w:t>6.2　局限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其一，语料同源：训练、留出与评测数据由同一批 150 份档案展开，规则库仅 22 条，跨单位与跨岗位泛化未验证。其二，缺少基线对照：未与「规则加固定模板」「未微调基座加同样校验」对比，微调的增量与模型表达相对模板的价值尚未定量，这是后续首要补充的实验。其三，样本量偏小：26 条单次采样，比例分辨率约 4%，20 次全部通过对应的双侧 95% 置信下界约 83.2%，不足以支撑强可靠性结论。其四，校验器只覆盖结构与数值两维。其五，未开展专家盲评与现场采纳统计，不对学习效果作因果结论。其六，时延为单卡单请求测量，未测并发与吞吐。后续将补做基线对照与消融、扩充留出样本多次采样、纳入语义一致性校验，并在真实班组数据上开展专家评估。</w:t>
      </w:r>
    </w:p>
    <w:p>
      <w:pPr>
        <w:keepNext/>
        <w:spacing w:before="120" w:after="40"/>
      </w:pPr>
      <w:r>
        <w:rPr>
          <w:rFonts w:ascii="Times New Roman" w:hAnsi="Times New Roman" w:eastAsia="黑体"/>
          <w:b/>
          <w:i w:val="0"/>
          <w:sz w:val="24"/>
        </w:rPr>
        <w:t>7　结论</w:t>
      </w:r>
    </w:p>
    <w:p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本文把安全与业务判定交给声明式规则引擎，把叙述表达交给微调模型，以结构、数值、授权与安全四道防线衔接两者。在 150 份仿真档案上回放 450 次，档案级覆盖为 150/150，考试不合格与证书等级不足两类负例的漏报为 0，200 组网格上规则语义正确，重复执行结果一致；26 条样本的模型输出首次即通过硬校验。错误注入实验同时表明，校验器能拦住结构与数值问题，却拦不住语义层面的篡改，这一边界比「全部合规」更接近实际情况。该分工使判定可审计、表达可迭代，为电力安全攸关岗位的智能培训提供了一种可实施方案；其培训效果尚需专家评价与现场试点检验。</w:t>
      </w:r>
    </w:p>
    <w:p>
      <w:pPr>
        <w:spacing w:before="240"/>
      </w:pPr>
      <w:r>
        <w:rPr>
          <w:rFonts w:ascii="Times New Roman" w:hAnsi="Times New Roman" w:eastAsia="黑体"/>
          <w:b/>
          <w:i w:val="0"/>
          <w:sz w:val="24"/>
        </w:rPr>
        <w:t>参考文献</w:t>
      </w:r>
    </w:p>
    <w:p>
      <w:pPr>
        <w:spacing w:line="240" w:lineRule="auto" w:after="0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 xml:space="preserve">[1] </w:t>
      </w:r>
      <w:r>
        <w:rPr>
          <w:rFonts w:ascii="Times New Roman" w:hAnsi="Times New Roman" w:eastAsia="宋体"/>
          <w:b w:val="0"/>
          <w:i w:val="0"/>
          <w:sz w:val="14"/>
        </w:rPr>
        <w:t>Lewis P, Perez E, Piktus A, et al. Retrieval-augmented generation for knowledge-intensive NLP tasks. NeurIPS, 2020, 33: 9459-9474. arXiv:2005.11401.</w:t>
      </w:r>
    </w:p>
    <w:p>
      <w:pPr>
        <w:spacing w:line="240" w:lineRule="auto" w:after="0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 xml:space="preserve">[2] </w:t>
      </w:r>
      <w:r>
        <w:rPr>
          <w:rFonts w:ascii="Times New Roman" w:hAnsi="Times New Roman" w:eastAsia="宋体"/>
          <w:b w:val="0"/>
          <w:i w:val="0"/>
          <w:sz w:val="14"/>
        </w:rPr>
        <w:t>Hu E J, Shen Y, Wallis P, et al. LoRA: low-rank adaptation of large language models. ICLR, 2022. arXiv:2106.09685.</w:t>
      </w:r>
    </w:p>
    <w:p>
      <w:pPr>
        <w:spacing w:line="240" w:lineRule="auto" w:after="0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 xml:space="preserve">[3] </w:t>
      </w:r>
      <w:r>
        <w:rPr>
          <w:rFonts w:ascii="Times New Roman" w:hAnsi="Times New Roman" w:eastAsia="宋体"/>
          <w:b w:val="0"/>
          <w:i w:val="0"/>
          <w:sz w:val="14"/>
        </w:rPr>
        <w:t>Dettmers T, Pagnoni A, Holtzman A, et al. QLoRA: efficient finetuning of quantized LLMs. arXiv:2305.14314, 2023.</w:t>
      </w:r>
    </w:p>
    <w:p>
      <w:pPr>
        <w:spacing w:line="240" w:lineRule="auto" w:after="0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 xml:space="preserve">[4] </w:t>
      </w:r>
      <w:r>
        <w:rPr>
          <w:rFonts w:ascii="Times New Roman" w:hAnsi="Times New Roman" w:eastAsia="宋体"/>
          <w:b w:val="0"/>
          <w:i w:val="0"/>
          <w:sz w:val="14"/>
        </w:rPr>
        <w:t>Yao S, Zhao J, Yu D, et al. ReAct: synergizing reasoning and acting in language models. ICLR, 2023. arXiv:2210.03629.</w:t>
      </w:r>
    </w:p>
    <w:p>
      <w:pPr>
        <w:spacing w:line="240" w:lineRule="auto" w:after="0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 xml:space="preserve">[5] </w:t>
      </w:r>
      <w:r>
        <w:rPr>
          <w:rFonts w:ascii="Times New Roman" w:hAnsi="Times New Roman" w:eastAsia="宋体"/>
          <w:b w:val="0"/>
          <w:i w:val="0"/>
          <w:sz w:val="14"/>
        </w:rPr>
        <w:t>Ouyang L, Wu J, Jiang X, et al. Training language models to follow instructions with human feedback. NeurIPS, 2022, 35: 27730-27744. arXiv:2203.02155.</w:t>
      </w:r>
    </w:p>
    <w:p>
      <w:pPr>
        <w:spacing w:line="240" w:lineRule="auto" w:after="0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 xml:space="preserve">[6] </w:t>
      </w:r>
      <w:r>
        <w:rPr>
          <w:rFonts w:ascii="Times New Roman" w:hAnsi="Times New Roman" w:eastAsia="宋体"/>
          <w:b w:val="0"/>
          <w:i w:val="0"/>
          <w:sz w:val="14"/>
        </w:rPr>
        <w:t>Rebedea T, Dinu R, Sreedhar M, et al. NeMo Guardrails: a toolkit for controllable and safe LLM applications with programmable rails. Proc. EMNLP 2023 (Demo), 2023: 431-445. https://doi.org/10.18653/v1/2023.emnlp-demo.40</w:t>
      </w:r>
    </w:p>
    <w:p>
      <w:pPr>
        <w:spacing w:line="240" w:lineRule="auto" w:after="0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 xml:space="preserve">[7] </w:t>
      </w:r>
      <w:r>
        <w:rPr>
          <w:rFonts w:ascii="Times New Roman" w:hAnsi="Times New Roman" w:eastAsia="宋体"/>
          <w:b w:val="0"/>
          <w:i w:val="0"/>
          <w:sz w:val="14"/>
        </w:rPr>
        <w:t>Ji Z, Lee N, Frieske R, et al. Survey of hallucination in natural language generation. ACM Computing Surveys, 2023, 55(12): 1-38. https://doi.org/10.1145/3571730</w:t>
      </w:r>
    </w:p>
    <w:p>
      <w:pPr>
        <w:spacing w:line="240" w:lineRule="auto" w:after="0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 xml:space="preserve">[8] </w:t>
      </w:r>
      <w:r>
        <w:rPr>
          <w:rFonts w:ascii="Times New Roman" w:hAnsi="Times New Roman" w:eastAsia="宋体"/>
          <w:b w:val="0"/>
          <w:i w:val="0"/>
          <w:sz w:val="14"/>
        </w:rPr>
        <w:t>Zhao W X, Zhou K, Li J, et al. A survey of large language models. arXiv:2303.18223, 2023.</w:t>
      </w:r>
    </w:p>
    <w:p>
      <w:pPr>
        <w:spacing w:line="240" w:lineRule="auto" w:after="0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 xml:space="preserve">[9] </w:t>
      </w:r>
      <w:r>
        <w:rPr>
          <w:rFonts w:ascii="Times New Roman" w:hAnsi="Times New Roman" w:eastAsia="宋体"/>
          <w:b w:val="0"/>
          <w:i w:val="0"/>
          <w:sz w:val="14"/>
        </w:rPr>
        <w:t>Gao Y, Xiong Y, Gao X, et al. Retrieval-augmented generation for large language models: a survey. arXiv:2312.10997, 2023.</w:t>
      </w:r>
    </w:p>
    <w:p>
      <w:pPr>
        <w:spacing w:line="240" w:lineRule="auto" w:after="0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 xml:space="preserve">[10] </w:t>
      </w:r>
      <w:r>
        <w:rPr>
          <w:rFonts w:ascii="Times New Roman" w:hAnsi="Times New Roman" w:eastAsia="宋体"/>
          <w:b w:val="0"/>
          <w:i w:val="0"/>
          <w:sz w:val="14"/>
        </w:rPr>
        <w:t>Qwen Team. Qwen2.5 technical report. arXiv:2412.15115, 2024.</w:t>
      </w:r>
    </w:p>
    <w:p>
      <w:pPr>
        <w:spacing w:line="240" w:lineRule="auto" w:after="0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 xml:space="preserve">[11] </w:t>
      </w:r>
      <w:r>
        <w:rPr>
          <w:rFonts w:ascii="Times New Roman" w:hAnsi="Times New Roman" w:eastAsia="宋体"/>
          <w:b w:val="0"/>
          <w:i w:val="0"/>
          <w:sz w:val="14"/>
        </w:rPr>
        <w:t>Zheng Y, Zhang R, Zhang J, et al. LlamaFactory: unified efficient fine-tuning of 100+ language models. Proc. ACL 2024 (System Demonstrations), 2024: 400-410.</w:t>
      </w:r>
    </w:p>
    <w:p>
      <w:pPr>
        <w:spacing w:line="240" w:lineRule="auto" w:after="0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 xml:space="preserve">[12] </w:t>
      </w:r>
      <w:r>
        <w:rPr>
          <w:rFonts w:ascii="Times New Roman" w:hAnsi="Times New Roman" w:eastAsia="宋体"/>
          <w:b w:val="0"/>
          <w:i w:val="0"/>
          <w:sz w:val="14"/>
        </w:rPr>
        <w:t>杨清波, 朱署光, 刘东, 等. 电网调控大语言模型能力提升关键技术研究[J]. 发电技术, 2026, 47(4): 697-708. DOI:10.12096/j.2096-4528.pgt.260402.</w:t>
      </w:r>
    </w:p>
    <w:p>
      <w:pPr>
        <w:spacing w:line="240" w:lineRule="auto" w:after="0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 xml:space="preserve">[13] </w:t>
      </w:r>
      <w:r>
        <w:rPr>
          <w:rFonts w:ascii="Times New Roman" w:hAnsi="Times New Roman" w:eastAsia="宋体"/>
          <w:b w:val="0"/>
          <w:i w:val="0"/>
          <w:sz w:val="14"/>
        </w:rPr>
        <w:t>Majumder S, Dong L, Doudi F, et al. Exploring the capabilities and limitations of large language models in the electric energy sector. Joule, 2024, 8(6): 1599-1608. https://doi.org/10.1016/j.joule.2024.05.009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