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511A7">
      <w:pPr>
        <w:spacing w:after="160"/>
        <w:jc w:val="center"/>
        <w:rPr>
          <w:sz w:val="30"/>
          <w:szCs w:val="30"/>
        </w:rPr>
      </w:pPr>
      <w:r>
        <w:rPr>
          <w:rFonts w:ascii="Times New Roman" w:hAnsi="Times New Roman" w:eastAsia="黑体"/>
          <w:b/>
          <w:i w:val="0"/>
          <w:sz w:val="30"/>
          <w:szCs w:val="30"/>
        </w:rPr>
        <w:t>规则增强的变电运维个性化培训智能体设计与实现</w:t>
      </w:r>
    </w:p>
    <w:p w14:paraId="444A796D">
      <w:pPr>
        <w:spacing w:after="40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  <w:szCs w:val="21"/>
        </w:rPr>
        <w:t>〔作者一〕〔作者二〕〔作者三〕</w:t>
      </w:r>
    </w:p>
    <w:p w14:paraId="31662DE2">
      <w:pPr>
        <w:spacing w:after="0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  <w:szCs w:val="21"/>
        </w:rPr>
        <w:t>（〔单位〕〔城市〕〔邮编〕）</w:t>
      </w:r>
    </w:p>
    <w:p w14:paraId="6454C095">
      <w:pPr>
        <w:spacing w:after="0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  <w:szCs w:val="21"/>
        </w:rPr>
        <w:t>通信作者：〔邮箱〕</w:t>
      </w:r>
    </w:p>
    <w:p w14:paraId="2935841A">
      <w:pPr>
        <w:spacing w:before="160"/>
        <w:jc w:val="both"/>
        <w:rPr>
          <w:sz w:val="24"/>
          <w:szCs w:val="24"/>
        </w:rPr>
      </w:pPr>
      <w:r>
        <w:rPr>
          <w:rFonts w:hint="eastAsia" w:eastAsia="黑体"/>
          <w:i w:val="0"/>
          <w:sz w:val="28"/>
          <w:szCs w:val="28"/>
          <w:lang w:val="en-US" w:eastAsia="zh-CN"/>
        </w:rPr>
        <w:t>摘要：</w:t>
      </w:r>
      <w:bookmarkStart w:id="10" w:name="_GoBack"/>
      <w:bookmarkEnd w:id="10"/>
      <w:r>
        <w:rPr>
          <w:rFonts w:ascii="Times New Roman" w:hAnsi="Times New Roman" w:eastAsia="黑体"/>
          <w:i w:val="0"/>
          <w:sz w:val="28"/>
          <w:szCs w:val="28"/>
        </w:rPr>
        <w:t>变电运维岗位的培训同时受到安全规程与人员能力差异的双重制约。直接用通用大模型生成培训建议，会出现规程幻觉、结论无法追溯等问题，仅把检索到的规程文本放进上下文，也保证不了输出落在业务阈值之内。针对这一问题，本文设计了一种规则增强的个性化培训智能体：安全与业务阈值的判定交给声明式规则引擎，模型只负责把结论讲清楚，两者之间靠四道防线衔接——结构契约、数值对账、输入端授权与安全处置。结构类不合格的输出整份回退到规则结论；数值类无出处的数字则留痕并压低置信度。一次执行由同一执行编号串联命中规则、建议与人工决定。模型以 Qwen2.5-3B-Instruct 为基座完成 4-bit QLoRA 微调。在 150 份按因子设计生成的结构化档案上回放 450 次规则执行，档案级覆盖 150/150，考试不合格与证书等级不足两类负例的漏报均为 0；在 200 组参数网格上，定档、关键词补充与严重度合并的正确率均为 100%，重复执行结果逐字节一致，进程内单次求值平均 0.012 ms。26 条测试样本的模型输出首次即通过硬校验，未触发回退；另以 16 例错误注入检验校验器，结构类 11 例全部拦截，数值类 2 例全部留痕，语义类 3 例未被检出，构成当前实现的覆盖边界。该架构适用于岗位能力可分级、业务阈值可枚举且建议须经人工确认的工业培训场景。</w:t>
      </w:r>
    </w:p>
    <w:p w14:paraId="06AACD83">
      <w:pPr>
        <w:spacing w:after="120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变电运维</w:t>
      </w:r>
      <w:r>
        <w:rPr>
          <w:rFonts w:hint="eastAsia"/>
          <w:b w:val="0"/>
          <w:i w:val="0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个性化培训</w:t>
      </w:r>
      <w:r>
        <w:rPr>
          <w:rFonts w:hint="eastAsia"/>
          <w:b w:val="0"/>
          <w:i w:val="0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大语言模型</w:t>
      </w:r>
      <w:r>
        <w:rPr>
          <w:rFonts w:hint="eastAsia"/>
          <w:b w:val="0"/>
          <w:i w:val="0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声明式规则引擎</w:t>
      </w:r>
      <w:r>
        <w:rPr>
          <w:rFonts w:hint="eastAsia"/>
          <w:b w:val="0"/>
          <w:i w:val="0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参数高效微调</w:t>
      </w:r>
    </w:p>
    <w:p w14:paraId="2E7063E9">
      <w:pPr>
        <w:spacing w:after="120"/>
        <w:rPr>
          <w:rFonts w:ascii="Times New Roman" w:hAnsi="Times New Roman" w:eastAsia="黑体"/>
          <w:b/>
          <w:i w:val="0"/>
          <w:sz w:val="28"/>
          <w:szCs w:val="28"/>
        </w:rPr>
      </w:pPr>
    </w:p>
    <w:p w14:paraId="5761CA28">
      <w:pPr>
        <w:spacing w:after="120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hint="eastAsia" w:eastAsia="黑体"/>
          <w:b/>
          <w:i w:val="0"/>
          <w:sz w:val="28"/>
          <w:szCs w:val="28"/>
          <w:lang w:val="en-US" w:eastAsia="zh-CN"/>
        </w:rPr>
        <w:t xml:space="preserve">1 </w:t>
      </w:r>
      <w:r>
        <w:rPr>
          <w:rFonts w:ascii="Times New Roman" w:hAnsi="Times New Roman" w:eastAsia="黑体"/>
          <w:b/>
          <w:i w:val="0"/>
          <w:sz w:val="28"/>
          <w:szCs w:val="28"/>
        </w:rPr>
        <w:t>引言</w:t>
      </w:r>
    </w:p>
    <w:p w14:paraId="19523EFE">
      <w:pPr>
        <w:spacing w:after="120"/>
        <w:rPr>
          <w:rFonts w:hint="default" w:ascii="Times New Roman" w:hAnsi="Times New Roman" w:eastAsia="黑体"/>
          <w:b/>
          <w:i w:val="0"/>
          <w:sz w:val="24"/>
          <w:szCs w:val="24"/>
          <w:lang w:val="en-US" w:eastAsia="zh-CN"/>
        </w:rPr>
      </w:pPr>
      <w:r>
        <w:rPr>
          <w:rFonts w:hint="eastAsia" w:eastAsia="黑体"/>
          <w:b/>
          <w:i w:val="0"/>
          <w:sz w:val="24"/>
          <w:szCs w:val="24"/>
          <w:lang w:val="en-US" w:eastAsia="zh-CN"/>
        </w:rPr>
        <w:t>1.1 研究背景</w:t>
      </w:r>
    </w:p>
    <w:p w14:paraId="1120072A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变电运维涵盖设备巡视、倒闸操作、异常处置等高风险作业，每一步都受安全规程约束。运维人员在资格等级、实操表现、考试成绩和安全记录上差别很大，相关数据又分散在人事、培训、安全三套台账里，靠统一推送课程的老办法很难给出个体化的建议。近年来大模型开始进入电力设备智能运维环节，其技术挑战与发展路径已有系统梳理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/>
          <w:i w:val="0"/>
          <w:sz w:val="24"/>
          <w:szCs w:val="24"/>
        </w:rPr>
        <w:t>，但落到培训这个具体场景，情况并无本质不同：大模型可以为案例生成、规程问答和学习建议提供新的途径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[2]</w:t>
      </w:r>
      <w:r>
        <w:rPr>
          <w:rFonts w:ascii="Times New Roman" w:hAnsi="Times New Roman" w:eastAsia="宋体"/>
          <w:i w:val="0"/>
          <w:sz w:val="24"/>
          <w:szCs w:val="24"/>
        </w:rPr>
        <w:t>，电网调度领域也已有知识嵌入与辅助决策的尝试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[3]</w:t>
      </w:r>
      <w:r>
        <w:rPr>
          <w:rFonts w:ascii="Times New Roman" w:hAnsi="Times New Roman" w:eastAsia="宋体"/>
          <w:i w:val="0"/>
          <w:sz w:val="24"/>
          <w:szCs w:val="24"/>
        </w:rPr>
        <w:t>，而安全攸关场景不能照搬。</w:t>
      </w:r>
    </w:p>
    <w:p w14:paraId="65A01B85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b/>
          <w:i w:val="0"/>
          <w:sz w:val="24"/>
          <w:szCs w:val="24"/>
        </w:rPr>
        <w:t>1.2 问题定位与研究思路</w:t>
      </w:r>
    </w:p>
    <w:p w14:paraId="0B8D113E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把大模型直接放进安全攸关的培训流程，风险集中在三处。</w:t>
      </w:r>
      <w:r>
        <w:rPr>
          <w:rFonts w:ascii="Times New Roman" w:hAnsi="Times New Roman" w:eastAsia="宋体"/>
          <w:b/>
          <w:i w:val="0"/>
          <w:sz w:val="24"/>
          <w:szCs w:val="24"/>
        </w:rPr>
        <w:t>规程幻觉</w:t>
      </w:r>
      <w:r>
        <w:rPr>
          <w:rFonts w:ascii="Times New Roman" w:hAnsi="Times New Roman" w:eastAsia="宋体"/>
          <w:i w:val="0"/>
          <w:sz w:val="24"/>
          <w:szCs w:val="24"/>
        </w:rPr>
        <w:t>首当其冲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[4]</w:t>
      </w:r>
      <w:r>
        <w:rPr>
          <w:rFonts w:ascii="Times New Roman" w:hAnsi="Times New Roman" w:eastAsia="宋体"/>
          <w:i w:val="0"/>
          <w:sz w:val="24"/>
          <w:szCs w:val="24"/>
        </w:rPr>
        <w:t>：模型可能用十分确定的语气，说出根本不存在的条款或阈值。其次是</w:t>
      </w:r>
      <w:r>
        <w:rPr>
          <w:rFonts w:ascii="Times New Roman" w:hAnsi="Times New Roman" w:eastAsia="宋体"/>
          <w:b/>
          <w:i w:val="0"/>
          <w:sz w:val="24"/>
          <w:szCs w:val="24"/>
        </w:rPr>
        <w:t>结论不可追溯</w:t>
      </w:r>
      <w:r>
        <w:rPr>
          <w:rFonts w:ascii="Times New Roman" w:hAnsi="Times New Roman" w:eastAsia="宋体"/>
          <w:i w:val="0"/>
          <w:sz w:val="24"/>
          <w:szCs w:val="24"/>
        </w:rPr>
        <w:t>——建议里出现的合格线、人数、金额，往往找不到对应的数据来源。再就是</w:t>
      </w:r>
      <w:r>
        <w:rPr>
          <w:rFonts w:ascii="Times New Roman" w:hAnsi="Times New Roman" w:eastAsia="宋体"/>
          <w:b/>
          <w:i w:val="0"/>
          <w:sz w:val="24"/>
          <w:szCs w:val="24"/>
        </w:rPr>
        <w:t>输出不稳定</w:t>
      </w:r>
      <w:r>
        <w:rPr>
          <w:rFonts w:ascii="Times New Roman" w:hAnsi="Times New Roman" w:eastAsia="宋体"/>
          <w:i w:val="0"/>
          <w:sz w:val="24"/>
          <w:szCs w:val="24"/>
        </w:rPr>
        <w:t>，同样的输入多调几次，结论可能不一致。针对电力能源行业的系统评估同样把结论指向“需要外部判定”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[5]</w:t>
      </w:r>
      <w:r>
        <w:rPr>
          <w:rFonts w:ascii="Times New Roman" w:hAnsi="Times New Roman" w:eastAsia="宋体"/>
          <w:i w:val="0"/>
          <w:sz w:val="24"/>
          <w:szCs w:val="24"/>
        </w:rPr>
        <w:t>。指令微调与基于人类反馈的对齐能压低幻觉比例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[6]</w:t>
      </w:r>
      <w:r>
        <w:rPr>
          <w:rFonts w:ascii="Times New Roman" w:hAnsi="Times New Roman" w:eastAsia="宋体"/>
          <w:i w:val="0"/>
          <w:sz w:val="24"/>
          <w:szCs w:val="24"/>
        </w:rPr>
        <w:t>，但消除不了；检索增强生成缓解了幻觉问题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[7][8]</w:t>
      </w:r>
      <w:r>
        <w:rPr>
          <w:rFonts w:ascii="Times New Roman" w:hAnsi="Times New Roman" w:eastAsia="宋体"/>
          <w:i w:val="0"/>
          <w:sz w:val="24"/>
          <w:szCs w:val="24"/>
        </w:rPr>
        <w:t>，可是检索到的规程并不等于生成内容符合规程，输出是否落在业务阈值之内，依然没有保证。</w:t>
      </w:r>
    </w:p>
    <w:p w14:paraId="1E66190A">
      <w:pPr>
        <w:spacing w:after="120"/>
        <w:rPr>
          <w:rFonts w:hint="default" w:eastAsia="黑体"/>
          <w:b/>
          <w:i w:val="0"/>
          <w:sz w:val="24"/>
          <w:szCs w:val="24"/>
          <w:lang w:val="en-US" w:eastAsia="zh-CN"/>
        </w:rPr>
      </w:pPr>
      <w:r>
        <w:rPr>
          <w:rFonts w:hint="eastAsia" w:eastAsia="黑体"/>
          <w:b/>
          <w:i w:val="0"/>
          <w:sz w:val="24"/>
          <w:szCs w:val="24"/>
          <w:lang w:val="en-US" w:eastAsia="zh-CN"/>
        </w:rPr>
        <w:t>1.3 本文贡献</w:t>
      </w:r>
    </w:p>
    <w:p w14:paraId="0B857C5B">
      <w:pPr>
        <w:ind w:firstLine="400"/>
        <w:jc w:val="both"/>
        <w:rPr>
          <w:rFonts w:hint="eastAsia"/>
          <w:b w:val="0"/>
          <w:i w:val="0"/>
          <w:sz w:val="24"/>
          <w:szCs w:val="24"/>
          <w:lang w:eastAsia="zh-CN"/>
        </w:rPr>
      </w:pPr>
      <w:r>
        <w:rPr>
          <w:rFonts w:ascii="Times New Roman" w:hAnsi="Times New Roman" w:eastAsia="宋体"/>
          <w:i w:val="0"/>
          <w:sz w:val="24"/>
          <w:szCs w:val="24"/>
        </w:rPr>
        <w:t>本文的思路是把</w:t>
      </w:r>
      <w:r>
        <w:rPr>
          <w:rFonts w:ascii="Times New Roman" w:hAnsi="Times New Roman" w:eastAsia="宋体"/>
          <w:b/>
          <w:i w:val="0"/>
          <w:sz w:val="24"/>
          <w:szCs w:val="24"/>
        </w:rPr>
        <w:t>判定权与表达权分开</w:t>
      </w:r>
      <w:r>
        <w:rPr>
          <w:rFonts w:ascii="Times New Roman" w:hAnsi="Times New Roman" w:eastAsia="宋体"/>
          <w:i w:val="0"/>
          <w:sz w:val="24"/>
          <w:szCs w:val="24"/>
        </w:rPr>
        <w:t>：安全与业务阈值的判定交给可审计的声明式规则引擎，模型只承担叙述性表达，两者之间用</w:t>
      </w:r>
      <w:r>
        <w:rPr>
          <w:rFonts w:ascii="Times New Roman" w:hAnsi="Times New Roman" w:eastAsia="宋体"/>
          <w:b/>
          <w:i w:val="0"/>
          <w:sz w:val="24"/>
          <w:szCs w:val="24"/>
        </w:rPr>
        <w:t>四道防线</w:t>
      </w:r>
      <w:r>
        <w:rPr>
          <w:rFonts w:ascii="Times New Roman" w:hAnsi="Times New Roman" w:eastAsia="宋体"/>
          <w:i w:val="0"/>
          <w:sz w:val="24"/>
          <w:szCs w:val="24"/>
        </w:rPr>
        <w:t>衔接，结构类不合格即整份回退规则结论。规则引擎、参数高效微调和输出校验都不是本文的原创，本文主张的是面向该场景的一项架构与治理贡献：给出规则配置、规则计算与决策治理三层架构，规则路径与模型路径以来源标记隔离，更换模型不动接口与前端；设计 JSON 声明式规则，支持分组收敛、事实引用与热更新，阈值一律引用事实而不写入字面量；把校验拆成结构、数值、授权、安全四条通道，分别对应回退、留痕、拒绝与规则处置，并给出覆盖边界。在此之上，按与线上提示词同形的原则重建语料完成微调，用规则回放、语义网格、模型实测与错误注入四组实验加以检验。</w:t>
      </w:r>
    </w:p>
    <w:p w14:paraId="32A30243">
      <w:pPr>
        <w:jc w:val="both"/>
        <w:rPr>
          <w:sz w:val="28"/>
          <w:szCs w:val="28"/>
        </w:rPr>
      </w:pPr>
      <w:r>
        <w:rPr>
          <w:rFonts w:hint="eastAsia" w:eastAsia="黑体"/>
          <w:b/>
          <w:i w:val="0"/>
          <w:sz w:val="28"/>
          <w:szCs w:val="28"/>
          <w:lang w:val="en-US" w:eastAsia="zh-CN"/>
        </w:rPr>
        <w:t>2 相关工作</w:t>
      </w:r>
    </w:p>
    <w:p w14:paraId="60D972E5">
      <w:pPr>
        <w:jc w:val="both"/>
        <w:rPr>
          <w:sz w:val="28"/>
          <w:szCs w:val="28"/>
        </w:rPr>
      </w:pPr>
      <w:r>
        <w:rPr>
          <w:rFonts w:hint="eastAsia" w:eastAsia="黑体"/>
          <w:b/>
          <w:i w:val="0"/>
          <w:sz w:val="28"/>
          <w:szCs w:val="28"/>
          <w:lang w:val="en-US" w:eastAsia="zh-CN"/>
        </w:rPr>
        <w:t>2.1 五类技术路线的约束位置</w:t>
      </w:r>
    </w:p>
    <w:p w14:paraId="2AE60446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按“约束在何处执行”来划分，现有路线大致有五类，见表 1。固定课件把约束放在编制环节，课程一旦成形就与个体无关。通用大模型与工具调用型智能体把约束留在提示词里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[9]</w:t>
      </w:r>
      <w:r>
        <w:rPr>
          <w:rFonts w:ascii="Times New Roman" w:hAnsi="Times New Roman" w:eastAsia="宋体"/>
          <w:i w:val="0"/>
          <w:sz w:val="24"/>
          <w:szCs w:val="24"/>
        </w:rPr>
        <w:t>，而提示词只影响生成倾向，算不上可验证的判定。检索增强生成把约束降级为上下文，检索到的规程不等于生成内容符合规程。知识图谱擅长描述概念之间的联系，却缺少由阈值触发的判定逻辑。相比之下，规则引擎把约束落在运行期的条件匹配上，确定性与可审计性最好，代价是表达固定，规则库维护中容易出现口径脱节与规则相互遮蔽——这类退化不报错，只表现为命中率悄悄下降。</w:t>
      </w:r>
    </w:p>
    <w:p w14:paraId="1E001B49">
      <w:pPr>
        <w:spacing w:after="160"/>
        <w:jc w:val="center"/>
        <w:rPr>
          <w:sz w:val="18"/>
          <w:szCs w:val="18"/>
        </w:rPr>
      </w:pPr>
      <w:r>
        <w:rPr>
          <w:rFonts w:ascii="Times New Roman" w:hAnsi="Times New Roman" w:eastAsia="宋体"/>
          <w:i w:val="0"/>
          <w:sz w:val="21"/>
          <w:szCs w:val="21"/>
        </w:rPr>
        <w:t>表1 五类技术路线的约束执行位置与主要不足</w:t>
      </w:r>
    </w:p>
    <w:tbl>
      <w:tblPr>
        <w:tblStyle w:val="33"/>
        <w:tblW w:w="9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594"/>
        <w:gridCol w:w="2192"/>
        <w:gridCol w:w="3786"/>
        <w:gridCol w:w="1606"/>
      </w:tblGrid>
      <w:tr w14:paraId="537B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76" w:hRule="atLeast"/>
          <w:tblHeader/>
          <w:jc w:val="center"/>
        </w:trPr>
        <w:tc>
          <w:tcPr>
            <w:tcW w:w="159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47AB9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技术路线</w:t>
            </w:r>
          </w:p>
        </w:tc>
        <w:tc>
          <w:tcPr>
            <w:tcW w:w="219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644FC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约束在何处执行</w:t>
            </w:r>
          </w:p>
        </w:tc>
        <w:tc>
          <w:tcPr>
            <w:tcW w:w="37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D235CF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本场景下的主要不足</w:t>
            </w:r>
          </w:p>
        </w:tc>
        <w:tc>
          <w:tcPr>
            <w:tcW w:w="160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97F5D3">
            <w:r>
              <w:t>关键技术与指标</w:t>
            </w:r>
          </w:p>
        </w:tc>
      </w:tr>
      <w:tr w14:paraId="118E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8" w:hRule="atLeast"/>
          <w:jc w:val="center"/>
        </w:trPr>
        <w:tc>
          <w:tcPr>
            <w:tcW w:w="15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DD3E2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固定课件培训系统</w:t>
            </w:r>
          </w:p>
        </w:tc>
        <w:tc>
          <w:tcPr>
            <w:tcW w:w="219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C1318D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课程编制环节人工把关</w:t>
            </w:r>
          </w:p>
        </w:tc>
        <w:tc>
          <w:tcPr>
            <w:tcW w:w="37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B1CE3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无法适配个体差异，规程修订后维护成本高</w:t>
            </w:r>
          </w:p>
        </w:tc>
        <w:tc>
          <w:tcPr>
            <w:tcW w:w="16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03C9766">
            <w:r>
              <w:t>统一课程包、集中排期、年度复训</w:t>
            </w:r>
          </w:p>
        </w:tc>
      </w:tr>
      <w:tr w14:paraId="0B2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BCE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通用大模型智能体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55F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提示词与解码策略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B8CB1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规程幻觉、结论不可追溯、多次调用不一致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34750">
            <w:r>
              <w:t>指令微调、提示词约束、温度采样</w:t>
            </w:r>
          </w:p>
        </w:tc>
      </w:tr>
      <w:tr w14:paraId="2B8D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754D1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检索增强生成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480B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检索结果作为生成上下文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8797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只提供依据，不对建议本身作出判定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18735">
            <w:r>
              <w:t>向量检索、Top-k 召回、上下文拼接</w:t>
            </w:r>
          </w:p>
        </w:tc>
      </w:tr>
      <w:tr w14:paraId="5D61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50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7F59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知识图谱增强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D826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本体与关系约束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9CF7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依赖本体构建，缺少阈值触发的判定逻辑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65E55">
            <w:r>
              <w:t>本体建模、实体关系、路径推理</w:t>
            </w:r>
          </w:p>
        </w:tc>
      </w:tr>
      <w:tr w14:paraId="512C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46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870AD3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业务规则引擎</w:t>
            </w:r>
          </w:p>
        </w:tc>
        <w:tc>
          <w:tcPr>
            <w:tcW w:w="219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B348323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运行期条件匹配</w:t>
            </w:r>
          </w:p>
        </w:tc>
        <w:tc>
          <w:tcPr>
            <w:tcW w:w="37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67D3A6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确定性强，但表达固定、规则库维护负担重</w:t>
            </w:r>
          </w:p>
        </w:tc>
        <w:tc>
          <w:tcPr>
            <w:tcW w:w="160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06CC32E">
            <w:r>
              <w:t>条件树、阈值命中、优先级排序</w:t>
            </w:r>
          </w:p>
        </w:tc>
      </w:tr>
    </w:tbl>
    <w:p w14:paraId="36FAD56B">
      <w:pPr>
        <w:spacing w:after="40" w:line="80" w:lineRule="exact"/>
        <w:rPr>
          <w:sz w:val="24"/>
          <w:szCs w:val="24"/>
        </w:rPr>
      </w:pPr>
    </w:p>
    <w:p w14:paraId="2D1AB8DC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b/>
          <w:i w:val="0"/>
          <w:sz w:val="24"/>
          <w:szCs w:val="24"/>
        </w:rPr>
        <w:t>2.2 与可编程护栏的区别及问题定位</w:t>
      </w:r>
    </w:p>
    <w:p w14:paraId="358ACF92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与本文最接近的是可编程护栏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[10]</w:t>
      </w:r>
      <w:r>
        <w:rPr>
          <w:rFonts w:ascii="Times New Roman" w:hAnsi="Times New Roman" w:eastAsia="宋体"/>
          <w:i w:val="0"/>
          <w:sz w:val="24"/>
          <w:szCs w:val="24"/>
        </w:rPr>
        <w:t>，差别有三：护栏以专用语言在对话层设定输入输出边界，判定对象是对话行为，本文则把判定条件放进业务规则库，判的是岗位标准、课程合格线与安全记录，规则由业务方维护；护栏通常拦截或改写文本，本文在拦截之外保留一条完整的规则结论作为回退产物，失败时仍有可交付的结果。上述路线并非互斥，真正缺的是分工与失败处置——判定须由可审计的载体承担，表达可以交给模型，两者之间需要一层能够拒绝、能够回退并留下证据的机制。</w:t>
      </w:r>
    </w:p>
    <w:p w14:paraId="5445C8A4">
      <w:pPr>
        <w:jc w:val="both"/>
        <w:rPr>
          <w:sz w:val="28"/>
          <w:szCs w:val="28"/>
        </w:rPr>
      </w:pPr>
      <w:r>
        <w:rPr>
          <w:rFonts w:ascii="Times New Roman" w:hAnsi="Times New Roman" w:eastAsia="黑体"/>
          <w:b/>
          <w:i w:val="0"/>
          <w:sz w:val="28"/>
          <w:szCs w:val="28"/>
        </w:rPr>
        <w:t>3</w:t>
      </w:r>
      <w:r>
        <w:rPr>
          <w:rFonts w:hint="eastAsia" w:eastAsia="黑体"/>
          <w:b/>
          <w:i w:val="0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8"/>
          <w:szCs w:val="28"/>
        </w:rPr>
        <w:t>系统架构</w:t>
      </w:r>
    </w:p>
    <w:p w14:paraId="4A643D79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系统受三条工程约束：角色之间有数据边界，安全类判定优先于一般业务判定，只允许单库部署且不引入外部规则框架。据此，规则以 JSON 列存入 MySQL 8，服务端直接读写，不设对象关系映射层。整体分三层（图 1）：规则配置层负责规则的增删改与启停，修改即时生效；规则计算层按场景装配事实并求值；决策治理层负责校验、回退与人工确认。两条不变量贯穿全链——规则引擎只写中间结果、不改写业务原始数据；对外输出的 need_human_confirm 恒为真。一次执行由同一执行编号串起命中规则、建议与最终决定，结论可以回溯到规则编号和数据点。</w:t>
      </w:r>
    </w:p>
    <w:p w14:paraId="4C101A79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267585" cy="2694940"/>
            <wp:effectExtent l="0" t="0" r="8890" b="635"/>
            <wp:docPr id="1" name="Picture 1" descr="C:/Users/admin/Desktop/论文图片_重绘/2.p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dmin/Desktop/论文图片_重绘/2.png2"/>
                    <pic:cNvPicPr>
                      <a:picLocks noChangeAspect="1"/>
                    </pic:cNvPicPr>
                  </pic:nvPicPr>
                  <pic:blipFill>
                    <a:blip r:embed="rId6"/>
                    <a:srcRect l="507" r="507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B36">
      <w:pPr>
        <w:spacing w:after="160"/>
        <w:jc w:val="center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1"/>
          <w:szCs w:val="21"/>
        </w:rPr>
        <w:t>图1 系统总体架构</w:t>
      </w:r>
    </w:p>
    <w:p w14:paraId="1F30962D">
      <w:pPr>
        <w:spacing w:after="160"/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3.1 声明式规则引擎</w:t>
      </w:r>
    </w:p>
    <w:p w14:paraId="3D976D9F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规则以 JSON 条件树描述，算子取白名单，禁用表达式求值与字符串拼接，从机制上排除注入风险。条件求值取三值语义：满足、不满足、不可判定。不可判定（事实缺失、类型不符、算子越界）只跳过该条规则并记录原因；当一个场景的全部规则都不可判定时，未命中原因标注为“可判定”而非“无风险”，避免把证据不足误读成结论正常。为支持“定档”与“关键词补充”并存，设计了三个机制：</w:t>
      </w:r>
      <w:r>
        <w:rPr>
          <w:rFonts w:ascii="Times New Roman" w:hAnsi="Times New Roman" w:eastAsia="宋体"/>
          <w:b/>
          <w:i w:val="0"/>
          <w:sz w:val="24"/>
          <w:szCs w:val="24"/>
        </w:rPr>
        <w:t>rule_group</w:t>
      </w:r>
      <w:r>
        <w:rPr>
          <w:rFonts w:ascii="Times New Roman" w:hAnsi="Times New Roman" w:eastAsia="宋体"/>
          <w:i w:val="0"/>
          <w:sz w:val="24"/>
          <w:szCs w:val="24"/>
        </w:rPr>
        <w:t xml:space="preserve"> 分组收敛，命中即关闭本组而不影响他组；</w:t>
      </w:r>
      <w:r>
        <w:rPr>
          <w:rFonts w:ascii="Times New Roman" w:hAnsi="Times New Roman" w:eastAsia="宋体"/>
          <w:b/>
          <w:i w:val="0"/>
          <w:sz w:val="24"/>
          <w:szCs w:val="24"/>
        </w:rPr>
        <w:t>max_hits</w:t>
      </w:r>
      <w:r>
        <w:rPr>
          <w:rFonts w:ascii="Times New Roman" w:hAnsi="Times New Roman" w:eastAsia="宋体"/>
          <w:i w:val="0"/>
          <w:sz w:val="24"/>
          <w:szCs w:val="24"/>
        </w:rPr>
        <w:t xml:space="preserve"> 限制组内命中上限；</w:t>
      </w:r>
      <w:r>
        <w:rPr>
          <w:rFonts w:ascii="Times New Roman" w:hAnsi="Times New Roman" w:eastAsia="宋体"/>
          <w:b/>
          <w:i w:val="0"/>
          <w:sz w:val="24"/>
          <w:szCs w:val="24"/>
        </w:rPr>
        <w:t>星号_from</w:t>
      </w:r>
      <w:r>
        <w:rPr>
          <w:rFonts w:ascii="Times New Roman" w:hAnsi="Times New Roman" w:eastAsia="宋体"/>
          <w:i w:val="0"/>
          <w:sz w:val="24"/>
          <w:szCs w:val="24"/>
        </w:rPr>
        <w:t xml:space="preserve"> 让动作字段引用其他事实的取值，一条规则因而可服务多类对象。求值前按优先级降序、再按编号升序排序，结果与物理行序无关；多组命中后按严重度去重合并，取最严重者。以考试判定为例，条件体只声明“成绩低于合格线”，比较两侧的取值都来自事实，换课程只需换数据。</w:t>
      </w:r>
    </w:p>
    <w:p w14:paraId="45BB2C6D">
      <w:pPr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3.2 校验与失败处置</w:t>
      </w:r>
    </w:p>
    <w:p w14:paraId="1A15CF92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模型输出进入治理层后依次经过四道防线，判定对象、处置方式与实现位置见表 2。这四道防线并不是同一种“校验”。</w:t>
      </w:r>
      <w:r>
        <w:rPr>
          <w:rFonts w:ascii="Times New Roman" w:hAnsi="Times New Roman" w:eastAsia="宋体"/>
          <w:b/>
          <w:i w:val="0"/>
          <w:sz w:val="24"/>
          <w:szCs w:val="24"/>
        </w:rPr>
        <w:t>结构契约</w:t>
      </w:r>
      <w:r>
        <w:rPr>
          <w:rFonts w:ascii="Times New Roman" w:hAnsi="Times New Roman" w:eastAsia="宋体"/>
          <w:i w:val="0"/>
          <w:sz w:val="24"/>
          <w:szCs w:val="24"/>
        </w:rPr>
        <w:t>是硬判定，不合格整份作废并回退规则结论，系统不设自动重写——重写会把一次失败变成两次模型调用，还不能保证第二次更好，而规则结论本来就可用了。</w:t>
      </w:r>
      <w:r>
        <w:rPr>
          <w:rFonts w:ascii="Times New Roman" w:hAnsi="Times New Roman" w:eastAsia="宋体"/>
          <w:b/>
          <w:i w:val="0"/>
          <w:sz w:val="24"/>
          <w:szCs w:val="24"/>
        </w:rPr>
        <w:t>数值对账</w:t>
      </w:r>
      <w:r>
        <w:rPr>
          <w:rFonts w:ascii="Times New Roman" w:hAnsi="Times New Roman" w:eastAsia="宋体"/>
          <w:i w:val="0"/>
          <w:sz w:val="24"/>
          <w:szCs w:val="24"/>
        </w:rPr>
        <w:t>是软判定，只留痕并把置信度封顶。</w:t>
      </w:r>
      <w:r>
        <w:rPr>
          <w:rFonts w:ascii="Times New Roman" w:hAnsi="Times New Roman" w:eastAsia="宋体"/>
          <w:b/>
          <w:i w:val="0"/>
          <w:sz w:val="24"/>
          <w:szCs w:val="24"/>
        </w:rPr>
        <w:t>输入端授权</w:t>
      </w:r>
      <w:r>
        <w:rPr>
          <w:rFonts w:ascii="Times New Roman" w:hAnsi="Times New Roman" w:eastAsia="宋体"/>
          <w:i w:val="0"/>
          <w:sz w:val="24"/>
          <w:szCs w:val="24"/>
        </w:rPr>
        <w:t>发生在装配事实之前，越权请求连数据都取不到，也就不存在“越权数据已进入上下文、再裁剪输出”的问题。</w:t>
      </w:r>
      <w:r>
        <w:rPr>
          <w:rFonts w:ascii="Times New Roman" w:hAnsi="Times New Roman" w:eastAsia="宋体"/>
          <w:b/>
          <w:i w:val="0"/>
          <w:sz w:val="24"/>
          <w:szCs w:val="24"/>
        </w:rPr>
        <w:t>安全处置</w:t>
      </w:r>
      <w:r>
        <w:rPr>
          <w:rFonts w:ascii="Times New Roman" w:hAnsi="Times New Roman" w:eastAsia="宋体"/>
          <w:i w:val="0"/>
          <w:sz w:val="24"/>
          <w:szCs w:val="24"/>
        </w:rPr>
        <w:t>不在校验器里，而在规则层由 SAFETY 分组硬处置，事实清单第 8 组固定给出安全记录，提示词同时要求“一票否决须作为最高优先级点名”。失败路径与来源标记见图 2，对外来源标记只取 rule 与 model 两值，更换模型服务不改业务接口与前端。</w:t>
      </w:r>
    </w:p>
    <w:p w14:paraId="30A16834">
      <w:pPr>
        <w:spacing w:after="160"/>
        <w:jc w:val="center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表2 四道防线的判定对象与处置方式</w:t>
      </w:r>
    </w:p>
    <w:tbl>
      <w:tblPr>
        <w:tblStyle w:val="33"/>
        <w:tblW w:w="96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970"/>
        <w:gridCol w:w="2827"/>
        <w:gridCol w:w="2848"/>
        <w:gridCol w:w="2974"/>
      </w:tblGrid>
      <w:tr w14:paraId="1167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97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FE386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防线</w:t>
            </w:r>
          </w:p>
        </w:tc>
        <w:tc>
          <w:tcPr>
            <w:tcW w:w="282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EC842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判定对象与依据</w:t>
            </w:r>
          </w:p>
        </w:tc>
        <w:tc>
          <w:tcPr>
            <w:tcW w:w="284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525DB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不通过时的处置</w:t>
            </w:r>
          </w:p>
        </w:tc>
        <w:tc>
          <w:tcPr>
            <w:tcW w:w="297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1A58B1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实现位置</w:t>
            </w:r>
          </w:p>
        </w:tc>
      </w:tr>
      <w:tr w14:paraId="3424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C8ED7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结构契约</w:t>
            </w:r>
          </w:p>
        </w:tc>
        <w:tc>
          <w:tcPr>
            <w:tcW w:w="282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81C55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六键字段完整性、枚举取值、等级区间、技能不重复、日期格式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6503D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整份结论作废，回退规则结论并写入fallback_note；不重试</w:t>
            </w:r>
          </w:p>
        </w:tc>
        <w:tc>
          <w:tcPr>
            <w:tcW w:w="29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E45774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DiagnosisContract.validatePersonal</w:t>
            </w:r>
          </w:p>
        </w:tc>
      </w:tr>
      <w:tr w14:paraId="1E7F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95AC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数值对账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D99DA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总述、结论理由与计划理由中出现的数字，须落在事实清单的数字集合内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3CE3D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不拦截结论，记入unverified_numbers，置信度封顶0.6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3D391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DiagnosisPipeline.finish</w:t>
            </w:r>
          </w:p>
        </w:tc>
      </w:tr>
      <w:tr w14:paraId="1D5B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49973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输入端授权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2FF1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令牌投影出的角色与接口路径前缀白名单（员工／组长／老总／管理员）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DD5F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直接返回403，请求不进入事实装配，也不进入模型上下文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E428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rbac/RoleInterceptor</w:t>
            </w:r>
          </w:p>
        </w:tc>
      </w:tr>
      <w:tr w14:paraId="5BD1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C4802CA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安全处置</w:t>
            </w:r>
          </w:p>
        </w:tc>
        <w:tc>
          <w:tcPr>
            <w:tcW w:w="282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B0AA18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safety_record的一票否决标志与风险等级</w:t>
            </w:r>
          </w:p>
        </w:tc>
        <w:tc>
          <w:tcPr>
            <w:tcW w:w="2848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FDAC2A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由SAFETY规则组硬处置，结论须点名；第8组事实固定给出</w:t>
            </w:r>
          </w:p>
        </w:tc>
        <w:tc>
          <w:tcPr>
            <w:tcW w:w="297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523DA10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规则层SAFETY分组</w:t>
            </w:r>
          </w:p>
        </w:tc>
      </w:tr>
    </w:tbl>
    <w:p w14:paraId="68AD7B8F">
      <w:pPr>
        <w:spacing w:after="40" w:line="80" w:lineRule="exact"/>
        <w:rPr>
          <w:sz w:val="24"/>
          <w:szCs w:val="24"/>
        </w:rPr>
      </w:pPr>
    </w:p>
    <w:p w14:paraId="3E4EA3D7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072130" cy="2095500"/>
            <wp:effectExtent l="0" t="0" r="4445" b="0"/>
            <wp:docPr id="2" name="Picture 2" descr="C:/Users/admin/Desktop/论文图片_重绘/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dmin/Desktop/论文图片_重绘/1.png1"/>
                    <pic:cNvPicPr>
                      <a:picLocks noChangeAspect="1"/>
                    </pic:cNvPicPr>
                  </pic:nvPicPr>
                  <pic:blipFill>
                    <a:blip r:embed="rId7"/>
                    <a:srcRect t="310" b="310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06B">
      <w:pPr>
        <w:spacing w:after="160"/>
        <w:jc w:val="center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图2 四道防线与失败处置</w:t>
      </w:r>
    </w:p>
    <w:p w14:paraId="2525570C">
      <w:pPr>
        <w:spacing w:after="160"/>
        <w:jc w:val="both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hint="eastAsia" w:eastAsia="黑体"/>
          <w:b/>
          <w:i w:val="0"/>
          <w:sz w:val="28"/>
          <w:szCs w:val="28"/>
          <w:lang w:val="en-US" w:eastAsia="zh-CN"/>
        </w:rPr>
        <w:t xml:space="preserve">4 </w:t>
      </w:r>
      <w:r>
        <w:rPr>
          <w:rFonts w:ascii="Times New Roman" w:hAnsi="Times New Roman" w:eastAsia="黑体"/>
          <w:b/>
          <w:i w:val="0"/>
          <w:sz w:val="28"/>
          <w:szCs w:val="28"/>
        </w:rPr>
        <w:t>关键实现</w:t>
      </w:r>
    </w:p>
    <w:p w14:paraId="05DBFDEC">
      <w:pPr>
        <w:spacing w:after="160"/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4.1 规则集与事实适配</w:t>
      </w:r>
    </w:p>
    <w:p w14:paraId="3E45F350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规则库共 22 条，覆盖五个业务场景，其中 20 条参与求值，2 条作为历史版本保留、用于回溯既有结论，分布见表 3。建模时遵循两条原则。一是</w:t>
      </w:r>
      <w:r>
        <w:rPr>
          <w:rFonts w:ascii="Times New Roman" w:hAnsi="Times New Roman" w:eastAsia="宋体"/>
          <w:b/>
          <w:i w:val="0"/>
          <w:sz w:val="24"/>
          <w:szCs w:val="24"/>
        </w:rPr>
        <w:t>阈值引用事实</w:t>
      </w:r>
      <w:r>
        <w:rPr>
          <w:rFonts w:ascii="Times New Roman" w:hAnsi="Times New Roman" w:eastAsia="宋体"/>
          <w:i w:val="0"/>
          <w:sz w:val="24"/>
          <w:szCs w:val="24"/>
        </w:rPr>
        <w:t>而非写入字面量：课程合格线取自课程表，岗位要求等级取自岗位表，同一条规则因此可适配 80 分与 85 分、L2 至 L4 等不同口径，业务口径变更时只改数据、不动规则。二是</w:t>
      </w:r>
      <w:r>
        <w:rPr>
          <w:rFonts w:ascii="Times New Roman" w:hAnsi="Times New Roman" w:eastAsia="宋体"/>
          <w:b/>
          <w:i w:val="0"/>
          <w:sz w:val="24"/>
          <w:szCs w:val="24"/>
        </w:rPr>
        <w:t>组合优于枚举</w:t>
      </w:r>
      <w:r>
        <w:rPr>
          <w:rFonts w:ascii="Times New Roman" w:hAnsi="Times New Roman" w:eastAsia="宋体"/>
          <w:i w:val="0"/>
          <w:sz w:val="24"/>
          <w:szCs w:val="24"/>
        </w:rPr>
        <w:t>：气体归因的结论与处置措施经星号_from 从气体配置取值，五条定档规则就能服务全部气体类型，否则规则数会随气体种类线性增长。另需区分两类输入：人员等级、成绩、耗时比属观测事实，由台账查询得到；合格线、要求等级、气体阈值属业务配置，由岗位标准与规程给定并随规则版本一同发布，二者在事实清单中以来源标签区分。</w:t>
      </w:r>
    </w:p>
    <w:p w14:paraId="7666A861">
      <w:pPr>
        <w:spacing w:after="160"/>
        <w:jc w:val="center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表3 规则集在五个业务场景上的分布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3121"/>
        <w:gridCol w:w="630"/>
        <w:gridCol w:w="621"/>
        <w:gridCol w:w="3262"/>
        <w:gridCol w:w="1986"/>
      </w:tblGrid>
      <w:tr w14:paraId="55C2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31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8366EF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场景</w:t>
            </w:r>
          </w:p>
        </w:tc>
        <w:tc>
          <w:tcPr>
            <w:tcW w:w="63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56B734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规则数</w:t>
            </w:r>
          </w:p>
        </w:tc>
        <w:tc>
          <w:tcPr>
            <w:tcW w:w="6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41DBD4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启用</w:t>
            </w:r>
          </w:p>
        </w:tc>
        <w:tc>
          <w:tcPr>
            <w:tcW w:w="32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03351C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判定对象</w:t>
            </w:r>
          </w:p>
        </w:tc>
        <w:tc>
          <w:tcPr>
            <w:tcW w:w="19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C7AA08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阈值来源</w:t>
            </w:r>
          </w:p>
        </w:tc>
      </w:tr>
      <w:tr w14:paraId="66EF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155FC9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个人能力差距PERSONAL_GAP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99627E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4</w:t>
            </w:r>
          </w:p>
        </w:tc>
        <w:tc>
          <w:tcPr>
            <w:tcW w:w="6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0DBE7B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B9776D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证书等级与岗位授权门槛、安全记录</w:t>
            </w:r>
          </w:p>
        </w:tc>
        <w:tc>
          <w:tcPr>
            <w:tcW w:w="19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00E34A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岗位要求等级、安全记录类型</w:t>
            </w:r>
          </w:p>
        </w:tc>
      </w:tr>
      <w:tr w14:paraId="4261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7A6B3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考试判定EXAM_RESULT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AEDE0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5C50D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1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7312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课程成绩与课程合格线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F8F8B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课程表pass_score</w:t>
            </w:r>
          </w:p>
        </w:tc>
      </w:tr>
      <w:tr w14:paraId="2F9D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85B40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人才缺口TALENT_GAP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FB5DC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AC863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DBCDB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班组备份力量、未来需求缺口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8E14C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班组编制、需求预测</w:t>
            </w:r>
          </w:p>
        </w:tc>
      </w:tr>
      <w:tr w14:paraId="6EC9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9ACF5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实操报告归因REPORT_ANALYSIS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929B5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363FF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7E9D3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耗时比与原因归属（技能类／人为类）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0CE34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同类任务计划耗时</w:t>
            </w:r>
          </w:p>
        </w:tc>
      </w:tr>
      <w:tr w14:paraId="009E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43B50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气体检测归因REPORT_GAS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16900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12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BEF32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12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8E4E4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余量比定档（5条）与七类异常关键词（7条）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E45B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气体阈值与标准值</w:t>
            </w:r>
          </w:p>
        </w:tc>
      </w:tr>
      <w:tr w14:paraId="7128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5D64125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合计</w:t>
            </w:r>
          </w:p>
        </w:tc>
        <w:tc>
          <w:tcPr>
            <w:tcW w:w="630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0845A7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22</w:t>
            </w:r>
          </w:p>
        </w:tc>
        <w:tc>
          <w:tcPr>
            <w:tcW w:w="6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C7EEAB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20</w:t>
            </w:r>
          </w:p>
        </w:tc>
        <w:tc>
          <w:tcPr>
            <w:tcW w:w="326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D8BFE5B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——</w:t>
            </w:r>
          </w:p>
        </w:tc>
        <w:tc>
          <w:tcPr>
            <w:tcW w:w="19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3D021A8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均为事实引用</w:t>
            </w:r>
          </w:p>
        </w:tc>
      </w:tr>
    </w:tbl>
    <w:p w14:paraId="3BCD1FCF">
      <w:pPr>
        <w:spacing w:after="40" w:line="80" w:lineRule="exact"/>
        <w:rPr>
          <w:sz w:val="24"/>
          <w:szCs w:val="24"/>
        </w:rPr>
      </w:pPr>
    </w:p>
    <w:p w14:paraId="25F907B9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事实适配层只读人事、考试、实操与安全四类台账，把档案组装为带编号与来源标签的事实清单。每个场景只允许一个事实来源，且不读取历史诊断结论，以抑制结论回灌。这只能减少反馈污染；要让重复回放的输入一致，还须固定台账快照与规则版本，本文的回放实验正是在这一前提下进行的。技能差距清单由后端按技能雷达预先归并给定，模型只能引用、不得增删——这一约束把“哪些技能构成缺口”从生成任务降为转述任务，是输出稳定的前提。</w:t>
      </w:r>
    </w:p>
    <w:p w14:paraId="4F0FF3FE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差距量化的口径如下：岗位差距取要求等级与现状等级之差，未来需求差距取未来需求与现状等级之差，均截断为非负；考试、实操、证书与安全四项偏差分别归一化到 [0,1]。六项加权得到补强优先级，见式（1），权重由业务侧按管理侧重配置；再按式（2）映射为 P1 至 P3 三档，阈值同样由业务侧给定。排期顺序因此与规则判定同源，不由模型自由决定。</w:t>
      </w:r>
    </w:p>
    <w:p w14:paraId="1E0B326B">
      <w:pPr>
        <w:spacing w:before="120" w:after="12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ascii="Times New Roman" w:hAnsi="Times New Roman" w:eastAsia="宋体"/>
            <w:position w:val="-14"/>
            <w:sz w:val="24"/>
            <w:szCs w:val="24"/>
          </w:rPr>
          <w:object>
            <v:shape id="_x0000_i1025" o:spt="75" type="#_x0000_t75" style="height:19pt;width:249pt;" o:ole="t" filled="f" o:preferrelative="t" stroked="f" coordsize="21600,21600">
              <v:path/>
              <v:fill on="f" focussize="0,0"/>
              <v:stroke on="f"/>
              <v:imagedata r:id="rId9" o:title=""/>
              <o:lock v:ext="edit" aspectratio="f"/>
              <w10:wrap type="none"/>
              <w10:anchorlock/>
            </v:shape>
            <o:OLEObject Type="Embed" ProgID="Equation.DSMT4" ShapeID="_x0000_i1025" DrawAspect="Content" ObjectID="_1468075725" r:id="rId8">
              <o:LockedField>false</o:LockedField>
            </o:OLEObject>
          </w:object>
        </m:r>
      </m:oMath>
      <w:r>
        <w:rPr>
          <w:rFonts w:ascii="Times New Roman" w:hAnsi="Times New Roman" w:eastAsia="宋体"/>
          <w:b w:val="0"/>
          <w:i w:val="0"/>
          <w:sz w:val="24"/>
          <w:szCs w:val="24"/>
        </w:rPr>
        <w:tab/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（1）</w:t>
      </w:r>
    </w:p>
    <w:p w14:paraId="461AC5BA">
      <w:pPr>
        <w:spacing w:before="120" w:after="120"/>
        <w:jc w:val="center"/>
        <w:rPr>
          <w:rFonts w:ascii="Times New Roman" w:hAnsi="Times New Roman" w:eastAsia="宋体"/>
          <w:b w:val="0"/>
          <w:i w:val="0"/>
          <w:sz w:val="24"/>
          <w:szCs w:val="24"/>
        </w:rPr>
      </w:pPr>
      <m:oMath>
        <m:r>
          <m:rPr>
            <m:sty m:val="p"/>
          </m:rPr>
          <w:rPr>
            <w:rFonts w:hint="default" w:ascii="Cambria Math" w:hAnsi="Cambria Math" w:eastAsia="宋体"/>
            <w:position w:val="-24"/>
            <w:sz w:val="24"/>
            <w:szCs w:val="24"/>
          </w:rPr>
          <w:object>
            <v:shape id="_x0000_i1026" o:spt="75" alt="" type="#_x0000_t75" style="height:31pt;width:123pt;" o:ole="t" filled="f" o:preferrelative="t" stroked="f" coordsize="21600,21600">
              <v:path/>
              <v:fill on="f" focussize="0,0"/>
              <v:stroke on="f"/>
              <v:imagedata r:id="rId11" o:title=""/>
              <o:lock v:ext="edit" aspectratio="f"/>
              <w10:wrap type="none"/>
              <w10:anchorlock/>
            </v:shape>
            <o:OLEObject Type="Embed" ProgID="Equation.DSMT4" ShapeID="_x0000_i1026" DrawAspect="Content" ObjectID="_1468075726" r:id="rId10">
              <o:LockedField>false</o:LockedField>
            </o:OLEObject>
          </w:object>
        </m:r>
      </m:oMath>
      <w:r>
        <w:rPr>
          <w:rFonts w:ascii="Times New Roman" w:hAnsi="Times New Roman" w:eastAsia="宋体"/>
          <w:b w:val="0"/>
          <w:i w:val="0"/>
          <w:sz w:val="24"/>
          <w:szCs w:val="24"/>
        </w:rPr>
        <w:tab/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（2）</w:t>
      </w:r>
    </w:p>
    <w:p w14:paraId="6D187769">
      <w:pPr>
        <w:spacing w:before="120" w:after="120"/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4.2 输出契约、语料与微调</w:t>
      </w:r>
    </w:p>
    <w:p w14:paraId="5B63B121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模型按六键契约输出：summary 为总述，confidence 为置信度，verdict 含结论标题与理由，gaps 为差距项（技能、现状、要求、未来、影响、severity、priority），plan 为学习计划（类型、目标技能、目标等级、完成日期、理由），compound_path 为跨技能复合路径。诊断编号、运行时间、来源标记、证据条数与人工确认标志均由后端补写，模型不参与生成。这一分工是四道防线得以实施的前提：结构字段归代码负责，模型只写叙述字段。</w:t>
      </w:r>
    </w:p>
    <w:p w14:paraId="6E972530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第一版语料按“固定指令、档案散文、十一键目标输出”组织，共 150 条，接入线上服务时暴露出三处不匹配：提示词不同形——线上是日期、事实清单、缺口清单与输出模板四段式，该版按档案分段拼接；契约不同形——六键与十一键仅差距项同名，150 条目标答案全部无法通过校验；答案不完整——答案长度中位 1795 token，而首轮窗口只有 1024，约 78% 的答案 token 被截断。第二版据此重建成 500 条：生成器照后端源码逐字复刻四段式提示词，档案只作事实来源；每条样本重新采样事实组合，差距项为 1、2、3 项的样本分别有 124、232、144 条，覆盖 49 个岗位，提示词互不重复。窗口取 4096，依据是单条长度中位 3432 token、95 分位 3806、最大 3924；第一版总长中位仅 2368 token 却在 1024 下被截断，说明制约因素是答案占比而非总长。</w:t>
      </w:r>
    </w:p>
    <w:p w14:paraId="29E03E8E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微调以 Qwen2.5-3B-Instruct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[11]</w:t>
      </w:r>
      <w:r>
        <w:rPr>
          <w:rFonts w:ascii="Times New Roman" w:hAnsi="Times New Roman" w:eastAsia="宋体"/>
          <w:i w:val="0"/>
          <w:sz w:val="24"/>
          <w:szCs w:val="24"/>
        </w:rPr>
        <w:t>为基座，采用低秩适配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[12]</w:t>
      </w:r>
      <w:r>
        <w:rPr>
          <w:rFonts w:ascii="Times New Roman" w:hAnsi="Times New Roman" w:eastAsia="宋体"/>
          <w:i w:val="0"/>
          <w:sz w:val="24"/>
          <w:szCs w:val="24"/>
        </w:rPr>
        <w:t>与 4-bit 量化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[13]</w:t>
      </w:r>
      <w:r>
        <w:rPr>
          <w:rFonts w:ascii="Times New Roman" w:hAnsi="Times New Roman" w:eastAsia="宋体"/>
          <w:i w:val="0"/>
          <w:sz w:val="24"/>
          <w:szCs w:val="24"/>
        </w:rPr>
        <w:t>，只训练注意力与全连接层的七个投影矩阵，秩取 16、缩放系数 32，批大小 1 并累积 8 步，学习率 1e-4 余弦退火，共 5 轮 300 步。可训练参数 2994 万，占全量的 0.96%，产物为 120 MB 的适配器。部署形态为 Spring Boot 与 MySQL 8 后端、Vue3 前端，推理服务以 LLaMA-Factory</w:t>
      </w:r>
      <w:r>
        <w:rPr>
          <w:rFonts w:ascii="Times New Roman" w:hAnsi="Times New Roman" w:eastAsia="宋体"/>
          <w:i w:val="0"/>
          <w:sz w:val="24"/>
          <w:szCs w:val="24"/>
          <w:vertAlign w:val="superscript"/>
        </w:rPr>
        <w:t>[14]</w:t>
      </w:r>
      <w:r>
        <w:rPr>
          <w:rFonts w:ascii="Times New Roman" w:hAnsi="Times New Roman" w:eastAsia="宋体"/>
          <w:i w:val="0"/>
          <w:sz w:val="24"/>
          <w:szCs w:val="24"/>
        </w:rPr>
        <w:t xml:space="preserve"> 的 api 模式对外提供 OpenAI 兼容接口，采样温度固定 0.2，输出强制为 JSON 对象。模型路径端到端为百秒级，实际部署宜按“规则结论先行、模型叙述补入后提示复核”的方式使用，两者以来源标记区分，最终仍由人工确认。</w:t>
      </w:r>
    </w:p>
    <w:p w14:paraId="7A43A9C4">
      <w:pPr>
        <w:jc w:val="both"/>
        <w:rPr>
          <w:rFonts w:ascii="Times New Roman" w:hAnsi="Times New Roman" w:eastAsia="黑体"/>
          <w:b/>
          <w:i w:val="0"/>
          <w:sz w:val="28"/>
          <w:szCs w:val="28"/>
        </w:rPr>
      </w:pPr>
    </w:p>
    <w:p w14:paraId="7430F26D">
      <w:pPr>
        <w:jc w:val="both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ascii="Times New Roman" w:hAnsi="Times New Roman" w:eastAsia="黑体"/>
          <w:b/>
          <w:i w:val="0"/>
          <w:sz w:val="28"/>
          <w:szCs w:val="28"/>
        </w:rPr>
        <w:t>5</w:t>
      </w:r>
      <w:r>
        <w:rPr>
          <w:rFonts w:hint="eastAsia" w:eastAsia="黑体"/>
          <w:b/>
          <w:i w:val="0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8"/>
          <w:szCs w:val="28"/>
        </w:rPr>
        <w:t>实验与结果分析</w:t>
      </w:r>
    </w:p>
    <w:p w14:paraId="38214C17">
      <w:pPr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5.1 实验设置与数据关系</w:t>
      </w:r>
    </w:p>
    <w:p w14:paraId="2956ABA0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训练、推理与评测在同一台设备上完成：RTX 5060 Laptop 8 GB 显卡、32 GB 内存，OpenJDK 17、MySQL 8 与 LLaMA-Factory，后端与推理服务共用一张显卡。实验数据不是真实业务采集样本，而是按因子设计生成的结构化档案：六类安全记录各 25 条、25 个考试分数各 6 条、30 个岗位匹配度各 5 条，五组数据与两组回放的规模、构造与关系见表 4。需要说明，训练语料、留出样本与评测档案同源：三者由同一批 150 份档案经同一生成器展开，留出样本只换随机种子与事实组合。因此模型实测反映的是“未见提示词上的输出合规性”，不能据此推断跨单位泛化能力。</w:t>
      </w:r>
    </w:p>
    <w:p w14:paraId="22A85F65">
      <w:pPr>
        <w:spacing w:before="160" w:after="40"/>
        <w:jc w:val="center"/>
        <w:rPr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表4 实验数据与回放的构成及用途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514"/>
        <w:gridCol w:w="1446"/>
        <w:gridCol w:w="3993"/>
        <w:gridCol w:w="2667"/>
      </w:tblGrid>
      <w:tr w14:paraId="6074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151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D0B663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数据与回放</w:t>
            </w:r>
          </w:p>
        </w:tc>
        <w:tc>
          <w:tcPr>
            <w:tcW w:w="144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5EEC1C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规模</w:t>
            </w:r>
          </w:p>
        </w:tc>
        <w:tc>
          <w:tcPr>
            <w:tcW w:w="399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8E670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构造方式</w:t>
            </w:r>
          </w:p>
        </w:tc>
        <w:tc>
          <w:tcPr>
            <w:tcW w:w="266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601FB3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在实验中的作用</w:t>
            </w:r>
          </w:p>
        </w:tc>
      </w:tr>
      <w:tr w14:paraId="5905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83B0B4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结构化档案</w:t>
            </w:r>
          </w:p>
        </w:tc>
        <w:tc>
          <w:tcPr>
            <w:tcW w:w="14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843533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150份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4BAAD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六类安全记录各25条、25个分数各6条、30个岗位匹配各5条</w:t>
            </w:r>
          </w:p>
        </w:tc>
        <w:tc>
          <w:tcPr>
            <w:tcW w:w="266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801291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数据的源头，规则回放的主体</w:t>
            </w:r>
          </w:p>
        </w:tc>
      </w:tr>
      <w:tr w14:paraId="7B60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F687A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训练语料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6B06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500条（475／25）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860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同一生成器重采样事实组合，逐字复刻线上四段式提示词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02F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微调；与档案同源，提示词不重复</w:t>
            </w:r>
          </w:p>
        </w:tc>
      </w:tr>
      <w:tr w14:paraId="067A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8F413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留出测试样本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4050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20条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2C5E4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同一生成器换种子生成，输入与训练集不重合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6AD9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模型实测；与训练同源同模板</w:t>
            </w:r>
          </w:p>
        </w:tc>
      </w:tr>
      <w:tr w14:paraId="41B6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292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记忆性对照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75733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6条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2ABA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从训练集等距抽取原样样本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04EB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查提示词记忆，属训练子集，不作泛化证据</w:t>
            </w:r>
          </w:p>
        </w:tc>
      </w:tr>
      <w:tr w14:paraId="51DB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E637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气体参数网格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D3DC9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200组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DD6C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人工构造的余量比与关键词组合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D918D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规则语义验证，独立于前四组</w:t>
            </w:r>
          </w:p>
        </w:tc>
      </w:tr>
      <w:tr w14:paraId="1729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5C0DC464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规则回放</w:t>
            </w:r>
          </w:p>
        </w:tc>
        <w:tc>
          <w:tcPr>
            <w:tcW w:w="144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9F6EF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450次</w:t>
            </w:r>
          </w:p>
        </w:tc>
        <w:tc>
          <w:tcPr>
            <w:tcW w:w="3993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D19FE4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150份档案在3个场景各执行一次</w:t>
            </w:r>
          </w:p>
        </w:tc>
        <w:tc>
          <w:tcPr>
            <w:tcW w:w="266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33D0D5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规则层有效性；非重复执行</w:t>
            </w:r>
          </w:p>
        </w:tc>
      </w:tr>
    </w:tbl>
    <w:p w14:paraId="33FCAC3C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</w:p>
    <w:p w14:paraId="2CFC1C3E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5.2 规则层的有效性</w:t>
      </w:r>
    </w:p>
    <w:p w14:paraId="03BB9818">
      <w:pPr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档案覆盖率定义为至少命中一条规则的档案所占比例，如式（3）所示。该指标只说明规则对每份档案都有输出，不等于判定正确：一条总命中的兜底规则同样能得到 100%。为此，本文另在有独立判据的两项上统计误报与漏报，判据取自档案字段与课程表的直接比较，与被测规则的条件体分开实现，从而排除实现层面的循环；但两者的设计假设同源，结果反映的是规则与业务口径的一致性，而非规则发现了新知识。</w:t>
      </w:r>
    </w:p>
    <w:p w14:paraId="47544867">
      <w:pPr>
        <w:spacing w:before="120" w:after="12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hint="default" w:ascii="Cambria Math" w:hAnsi="Cambria Math" w:eastAsia="宋体"/>
            <w:position w:val="-24"/>
            <w:sz w:val="24"/>
            <w:szCs w:val="24"/>
          </w:rPr>
          <w:object>
            <v:shape id="_x0000_i1027" o:spt="75" type="#_x0000_t75" style="height:31pt;width:123pt;" o:ole="t" filled="f" o:preferrelative="t" stroked="f" coordsize="21600,21600">
              <v:path/>
              <v:fill on="f" focussize="0,0"/>
              <v:stroke on="f"/>
              <v:imagedata r:id="rId13" o:title=""/>
              <o:lock v:ext="edit" aspectratio="f"/>
              <w10:wrap type="none"/>
              <w10:anchorlock/>
            </v:shape>
            <o:OLEObject Type="Embed" ProgID="Equation.DSMT4" ShapeID="_x0000_i1027" DrawAspect="Content" ObjectID="_1468075727" r:id="rId12">
              <o:LockedField>false</o:LockedField>
            </o:OLEObject>
          </w:object>
        </m:r>
      </m:oMath>
      <w:r>
        <w:rPr>
          <w:rFonts w:ascii="Times New Roman" w:hAnsi="Times New Roman" w:eastAsia="宋体"/>
          <w:b w:val="0"/>
          <w:i w:val="0"/>
          <w:sz w:val="24"/>
          <w:szCs w:val="24"/>
        </w:rPr>
        <w:tab/>
      </w:r>
      <w:r>
        <w:rPr>
          <w:rFonts w:ascii="Times New Roman" w:hAnsi="Times New Roman" w:eastAsia="宋体"/>
          <w:b w:val="0"/>
          <w:i w:val="0"/>
          <w:sz w:val="24"/>
          <w:szCs w:val="24"/>
        </w:rPr>
        <w:t>（3）</w:t>
      </w:r>
    </w:p>
    <w:p w14:paraId="3287C7C2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450 次回放的结果见表 5。低于课程合格线的 132 份档案全部命中，误报与漏报均为 0。证书等级低于授权门槛的 120 份同样全部命中，另有 25 份因安全记录单独触发安全组规则，合计 145 次。150 份档案中 125 份带安全负例，其中授权类违规 75 份，全部由安全组处置，未被消费的安全记录为 0 份。实操归因缺少独立判据，只报命中率。上述比率的适用范围限于本测试集。</w:t>
      </w:r>
    </w:p>
    <w:p w14:paraId="6F46EEA8">
      <w:pPr>
        <w:spacing w:before="160" w:after="40"/>
        <w:jc w:val="center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1"/>
          <w:szCs w:val="21"/>
        </w:rPr>
        <w:t>表5 450次规则回放的分场景结果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2889"/>
        <w:gridCol w:w="575"/>
        <w:gridCol w:w="575"/>
        <w:gridCol w:w="657"/>
        <w:gridCol w:w="575"/>
        <w:gridCol w:w="575"/>
        <w:gridCol w:w="3776"/>
      </w:tblGrid>
      <w:tr w14:paraId="65A4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28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A26F35D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场景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8BE4E4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执行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D6AC84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命中</w:t>
            </w:r>
          </w:p>
        </w:tc>
        <w:tc>
          <w:tcPr>
            <w:tcW w:w="65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30683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命中率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DA445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误报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DF023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漏报</w:t>
            </w:r>
          </w:p>
        </w:tc>
        <w:tc>
          <w:tcPr>
            <w:tcW w:w="377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5F118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主要命中规则（条次）</w:t>
            </w:r>
          </w:p>
        </w:tc>
      </w:tr>
      <w:tr w14:paraId="5F82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B1699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个人诊断PERSONAL_GAP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D7987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150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F938AA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145</w:t>
            </w:r>
          </w:p>
        </w:tc>
        <w:tc>
          <w:tcPr>
            <w:tcW w:w="6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AF6CC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96.7%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857C8C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B77E1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37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A4D1E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SKILL_BELOW_REQUIRED120、SAFETY_VETO_VIOLATION75、SAFETY_DEDUCTION50</w:t>
            </w:r>
          </w:p>
        </w:tc>
      </w:tr>
      <w:tr w14:paraId="5BA3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57F1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考试判定EXAM_RESULT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FBA0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9814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132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9CAEA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88.0%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0E89C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E856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CB0A4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EXAM_BELOW_PASS132</w:t>
            </w:r>
          </w:p>
        </w:tc>
      </w:tr>
      <w:tr w14:paraId="74A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B7DD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实操报告归因REPORT_ANALYSIS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F8CC9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DE21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127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A3F2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84.7%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2721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572A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86963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PRACTICE_HUMAN_CAUSE75、SKILL_CAUSE52</w:t>
            </w:r>
          </w:p>
        </w:tc>
      </w:tr>
      <w:tr w14:paraId="7EB9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6A39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档案级覆盖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05ECC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6ED34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150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62A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100%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4D3C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A510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E1FB1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20条规则参与求值</w:t>
            </w:r>
          </w:p>
        </w:tc>
      </w:tr>
      <w:tr w14:paraId="52B0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754AAD1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合计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6E267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450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20A1BE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404</w:t>
            </w:r>
          </w:p>
        </w:tc>
        <w:tc>
          <w:tcPr>
            <w:tcW w:w="65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57C689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89.8%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A72AEB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AA028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88B0D69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——</w:t>
            </w:r>
          </w:p>
        </w:tc>
      </w:tr>
    </w:tbl>
    <w:p w14:paraId="630B184E">
      <w:pPr>
        <w:spacing w:after="40" w:line="80" w:lineRule="exact"/>
        <w:rPr>
          <w:sz w:val="24"/>
          <w:szCs w:val="24"/>
        </w:rPr>
      </w:pPr>
    </w:p>
    <w:p w14:paraId="4E208055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200 组气体参数网格用于验证规则语义：五档定档在两种比例口径下均为 200/200，组内命中上限、严重度合并与事实引用解析分别为 200/200、200/200、120/120。余量高于阈值 10% 却被误升为“中”的用例为 0 组，终端规则在 40 组余量充足用例上均可达。22 条规则在网格或回放中均至少命中一次，即在本文构造的测试范围内未发现不可达规则；这属于有限抽样下的观察，不构成对规则集全局可达性的证明，规则间遮蔽的自动化检测留待后续工作。</w:t>
      </w:r>
    </w:p>
    <w:p w14:paraId="7C8E0F1F">
      <w:pPr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5.3 确定性与时延</w:t>
      </w:r>
    </w:p>
    <w:p w14:paraId="56A00DD8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450 次执行重复运行结果逐字节一致；把规则物理顺序完全颠倒，结论也不变，因为排序按优先级与编号归一化。进程内单次求值平均 0.0122 ms、中位 0.0105 ms、95 分位 0.0194 ms、最大 0.0609 ms，计时仅含条件求值与结论合并，不含数据库访问、事实装配、序列化与网络往返，不能视为端到端时延。模型路径在 20 条留出样本上为中位 105.4 s、均值 124.3 s、最大 324.7 s，统计对象是一次完整请求到完整 JSON，与前者不同质，两者不构成同一链路的对照，本文也不据此比较快慢。该数值来自单卡、单请求、无并发测量；批处理与量化推理能否压缩时延，未做实测。</w:t>
      </w:r>
    </w:p>
    <w:p w14:paraId="2694AE7E">
      <w:pPr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5.4 微调收敛与模型输出质量</w:t>
      </w:r>
    </w:p>
    <w:p w14:paraId="5A245AA2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模型输出的前提是训练收敛。图 3 给出训练与验证损失：首个记录点在第 5 步，为 11.57，与词表均匀熵 ln151936=11.93 相差 3%，说明起点尚未学到偏好；第 25 步降至 1.01，此后放缓，第 105 至 200 步与第 205 至 300 步的均值分别为 0.086 与 0.074，末步 0.063，全程平均 0.577。验证损失由 0.0198 降至 0.0106，第 200 步之后只再降 1.9%，最优点落在末步，说明在 5 轮、4096 窗口下已经收敛，增加轮数的收益有限。单卡训练耗时 27428 s。验证损失低于训练末步，原因是口径不同——训练损失按 5 步窗口平均且随机失活生效，验证关闭随机失活、样本固定 25 条；加之两者同源同模板，该数值只说明拟合良好，不能作为泛化证据。</w:t>
      </w:r>
    </w:p>
    <w:p w14:paraId="110A7919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023870" cy="151511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5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EBA6">
      <w:pPr>
        <w:spacing w:before="160" w:after="4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/>
          <w:i w:val="0"/>
          <w:sz w:val="21"/>
          <w:szCs w:val="21"/>
          <w:lang w:val="en-US" w:eastAsia="zh-CN"/>
        </w:rPr>
        <w:t>图3 微调过程的损失曲线</w:t>
      </w:r>
    </w:p>
    <w:p w14:paraId="27E81BF8">
      <w:pPr>
        <w:ind w:firstLine="400"/>
        <w:jc w:val="both"/>
        <w:rPr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26 条测试样本由 20 条留出样本与 6 条训练原样样本组成，结果见表 6，判据为与事实清单的逐项比对。留出样本的输出均为合法 JSON 且满足六键契约；差距项集合与后端清单一致；等级与事实清单逐项对应；影响等级与雷达优先级一致；排期晚于当期且严格递增；理由均带有效事实编号，平均引用 4.75 个；数值可溯源。就处置阶段而言，26 条均在首次输出即通过硬校验、未触发回退，回退路径在本次实测中未被走到，其行为只能由代码路径与 5.5 节的注入测试间接检验。训练原样样本的结果与留出样本一致，说明模型未依赖提示词记忆；但两组同源同模板，一致性本身也说明任务难度有限，不足以支撑泛化结论。</w:t>
      </w:r>
    </w:p>
    <w:p w14:paraId="6112CDEE">
      <w:pPr>
        <w:spacing w:before="160" w:after="40"/>
        <w:jc w:val="center"/>
        <w:rPr>
          <w:sz w:val="24"/>
          <w:szCs w:val="24"/>
        </w:rPr>
      </w:pPr>
      <w:r>
        <w:rPr>
          <w:rFonts w:hint="eastAsia"/>
          <w:i w:val="0"/>
          <w:sz w:val="21"/>
          <w:szCs w:val="21"/>
          <w:lang w:val="en-US" w:eastAsia="zh-CN"/>
        </w:rPr>
        <w:t>表6 微调模型输出的实测结果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5631"/>
        <w:gridCol w:w="2112"/>
        <w:gridCol w:w="1877"/>
      </w:tblGrid>
      <w:tr w14:paraId="0802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563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D093B2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评测项（判据为与事实清单的逐项比对）</w:t>
            </w:r>
          </w:p>
        </w:tc>
        <w:tc>
          <w:tcPr>
            <w:tcW w:w="211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D3E8FDE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留出样本20条</w:t>
            </w:r>
          </w:p>
        </w:tc>
        <w:tc>
          <w:tcPr>
            <w:tcW w:w="187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A36C4C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i w:val="0"/>
                <w:sz w:val="24"/>
                <w:szCs w:val="24"/>
              </w:rPr>
              <w:t>训练原样6条</w:t>
            </w:r>
          </w:p>
        </w:tc>
      </w:tr>
      <w:tr w14:paraId="4A61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4532FF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输出为合法JSON且满足六键契约</w:t>
            </w:r>
          </w:p>
        </w:tc>
        <w:tc>
          <w:tcPr>
            <w:tcW w:w="21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941DF7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通过</w:t>
            </w:r>
          </w:p>
        </w:tc>
        <w:tc>
          <w:tcPr>
            <w:tcW w:w="18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46CE1D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通过</w:t>
            </w:r>
          </w:p>
        </w:tc>
      </w:tr>
      <w:tr w14:paraId="3553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C14FB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差距项集合与后端给定清单一致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68617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一致，无增删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EA229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一致，无增删</w:t>
            </w:r>
          </w:p>
        </w:tc>
      </w:tr>
      <w:tr w14:paraId="35D6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57609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技能等级、影响等级分别与事实清单、雷达优先级一致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A957D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逐项一致，无偏差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B2FAC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逐项一致，无偏差</w:t>
            </w:r>
          </w:p>
        </w:tc>
      </w:tr>
      <w:tr w14:paraId="2F7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32F77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学习排期晚于当期且严格递增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5386E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晚于当期，严格递增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46227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晚于当期，严格递增</w:t>
            </w:r>
          </w:p>
        </w:tc>
      </w:tr>
      <w:tr w14:paraId="74B3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4BA08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理由引用有效事实编号（均值4.75个）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29F82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均有效，均值4.75个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B9EE6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均有效</w:t>
            </w:r>
          </w:p>
        </w:tc>
      </w:tr>
      <w:tr w14:paraId="0F83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2037F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数值可溯源，安全边界出现在输出中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3398F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全部可溯源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BEB23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全部可溯源</w:t>
            </w:r>
          </w:p>
        </w:tc>
      </w:tr>
      <w:tr w14:paraId="6E2D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9A50F36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4"/>
                <w:szCs w:val="24"/>
              </w:rPr>
              <w:t>首次输出即通过硬校验、未触发回退</w:t>
            </w:r>
          </w:p>
        </w:tc>
        <w:tc>
          <w:tcPr>
            <w:tcW w:w="211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4F20DC5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首次通过，未触发回退</w:t>
            </w:r>
          </w:p>
        </w:tc>
        <w:tc>
          <w:tcPr>
            <w:tcW w:w="187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579502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i w:val="0"/>
                <w:sz w:val="24"/>
                <w:szCs w:val="24"/>
              </w:rPr>
              <w:t>首次通过，未触发回退</w:t>
            </w:r>
          </w:p>
        </w:tc>
      </w:tr>
    </w:tbl>
    <w:p w14:paraId="50A9EE1F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568598F9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5.5 校验器的错误注入测试</w:t>
      </w:r>
    </w:p>
    <w:p w14:paraId="779644D7">
      <w:pPr>
        <w:ind w:firstLine="240" w:firstLineChars="100"/>
        <w:jc w:val="both"/>
        <w:rPr>
          <w:sz w:val="24"/>
          <w:szCs w:val="24"/>
        </w:rPr>
      </w:pPr>
      <w:r>
        <w:rPr>
          <w:rFonts w:hint="eastAsia"/>
          <w:i w:val="0"/>
          <w:sz w:val="24"/>
          <w:szCs w:val="24"/>
          <w:lang w:eastAsia="zh-CN"/>
        </w:rPr>
        <w:t>“输出全部合格”只说明模型表现，并未检验校验器本身。为此，以一份合格结论为基线逐项注入 16 例错误，调用后端真实的校验代码，结果见表 7。结构类 11 例全部被硬校验拒绝并回退；数值类 2 例被留痕但未拦截，符合软判定的设计；语义类 3 例（把等级改成另一个合法值、事实编号指向不存在的条目、删去安全陈述）均未被检出——契约只检查字段与枚举，不检查字段取值是否与事实一致，也不检查事实编号是否存在。这构成当前实现的覆盖边界：等级一致性与事实编号有效性目前依靠离线评测发现，线上未纳入硬校验。可行的改进是在结构契约中增加两项检查：等级须等于事实清单中同名技能的值，事实编号须存在于当次清单；改动集中在单条校验函数内。</w:t>
      </w:r>
    </w:p>
    <w:p w14:paraId="12B2C49A">
      <w:pPr>
        <w:spacing w:before="160" w:after="4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/>
          <w:i w:val="0"/>
          <w:sz w:val="21"/>
          <w:szCs w:val="21"/>
          <w:lang w:val="en-US" w:eastAsia="zh-CN"/>
        </w:rPr>
        <w:t>表7 校验器的错误注入测试结果</w:t>
      </w:r>
    </w:p>
    <w:tbl>
      <w:tblPr>
        <w:tblStyle w:val="33"/>
        <w:tblW w:w="96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739"/>
        <w:gridCol w:w="4817"/>
        <w:gridCol w:w="737"/>
        <w:gridCol w:w="843"/>
        <w:gridCol w:w="800"/>
        <w:gridCol w:w="1685"/>
      </w:tblGrid>
      <w:tr w14:paraId="12C4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73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CD2A9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类别</w:t>
            </w:r>
          </w:p>
        </w:tc>
        <w:tc>
          <w:tcPr>
            <w:tcW w:w="481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1171A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注入的错误</w:t>
            </w:r>
          </w:p>
        </w:tc>
        <w:tc>
          <w:tcPr>
            <w:tcW w:w="73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87D615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例数</w:t>
            </w:r>
          </w:p>
        </w:tc>
        <w:tc>
          <w:tcPr>
            <w:tcW w:w="84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4A079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硬校验</w:t>
            </w:r>
          </w:p>
        </w:tc>
        <w:tc>
          <w:tcPr>
            <w:tcW w:w="80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B9D04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数值对账</w:t>
            </w:r>
          </w:p>
        </w:tc>
        <w:tc>
          <w:tcPr>
            <w:tcW w:w="168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3B9BC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1"/>
              </w:rPr>
              <w:t>结果</w:t>
            </w:r>
          </w:p>
        </w:tc>
      </w:tr>
      <w:tr w14:paraId="798D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CB5F9A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结构类</w:t>
            </w:r>
          </w:p>
        </w:tc>
        <w:tc>
          <w:tcPr>
            <w:tcW w:w="48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27C1A1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缺字段、空串、类型不符、枚举与等级越界、技能重名、日期格式、缺复合路径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45EF40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11</w:t>
            </w:r>
          </w:p>
        </w:tc>
        <w:tc>
          <w:tcPr>
            <w:tcW w:w="8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0FEC11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11拒绝</w:t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3555FB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A18EFD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回退规则结论</w:t>
            </w:r>
          </w:p>
        </w:tc>
      </w:tr>
      <w:tr w14:paraId="1E98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A3C8C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数值类</w:t>
            </w:r>
          </w:p>
        </w:tc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21B0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总述与理由中写入事实外的数值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D8AC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C4B7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97E96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2留痕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8EE9F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保留结论，置信度封顶</w:t>
            </w:r>
          </w:p>
        </w:tc>
      </w:tr>
      <w:tr w14:paraId="11D2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DB9731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语义类</w:t>
            </w:r>
          </w:p>
        </w:tc>
        <w:tc>
          <w:tcPr>
            <w:tcW w:w="481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AE319D0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等级改为另一合法值、事实编号不存在、删去安全陈述</w:t>
            </w:r>
          </w:p>
        </w:tc>
        <w:tc>
          <w:tcPr>
            <w:tcW w:w="73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CE2A6E7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843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3868B8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682542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未留痕</w:t>
            </w:r>
          </w:p>
        </w:tc>
        <w:tc>
          <w:tcPr>
            <w:tcW w:w="168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1B8DCBD">
            <w:pPr>
              <w:spacing w:after="2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1"/>
              </w:rPr>
              <w:t>未检出，属覆盖边界</w:t>
            </w:r>
          </w:p>
        </w:tc>
      </w:tr>
    </w:tbl>
    <w:p w14:paraId="6E1CEB09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74903CF6">
      <w:pPr>
        <w:jc w:val="both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ascii="Times New Roman" w:hAnsi="Times New Roman" w:eastAsia="黑体"/>
          <w:b/>
          <w:i w:val="0"/>
          <w:sz w:val="28"/>
          <w:szCs w:val="28"/>
        </w:rPr>
        <w:t>6</w:t>
      </w:r>
      <w:r>
        <w:rPr>
          <w:rFonts w:hint="eastAsia" w:eastAsia="黑体"/>
          <w:b/>
          <w:i w:val="0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8"/>
          <w:szCs w:val="28"/>
        </w:rPr>
        <w:t>讨论</w:t>
      </w:r>
    </w:p>
    <w:p w14:paraId="23C6BE73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6.1 适用条件与不适用情形</w:t>
      </w:r>
    </w:p>
    <w:p w14:paraId="03CD839C">
      <w:pPr>
        <w:ind w:firstLine="240" w:firstLineChars="1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这套架构成立需同时满足四个条件：岗位能力可分级，能力项能映射到有序等级，“当前低于要求”才可判定；业务阈值可枚举，量化要求能写成条件并维护为独立事实；档案已结构化，四类记录能按人汇总为事实清单；建议须经人工确认。满足上述条件的规程驱动岗位，如调度、高压试验与继电保护，原则上可沿用同一架构，但规则集与适配层须重构并验证，本文未做跨岗位实验。四类情形不宜采用：开放域问答的判定条件无法枚举，宜以检索增强生成为主；缺乏结构化档案，规则路径将大面积进入跳过通道；实时闭环控制场景下模型路径为百秒级，满足不了在线控制与联锁要求；无人工确认的自动化执行，直接下发操作指令须重新评估安全责任边界。</w:t>
      </w:r>
    </w:p>
    <w:p w14:paraId="01A1EE49">
      <w:pPr>
        <w:jc w:val="both"/>
        <w:rPr>
          <w:sz w:val="24"/>
          <w:szCs w:val="24"/>
        </w:rPr>
      </w:pPr>
      <w:r>
        <w:rPr>
          <w:rFonts w:ascii="Times New Roman" w:hAnsi="Times New Roman" w:eastAsia="黑体"/>
          <w:b/>
          <w:i w:val="0"/>
          <w:sz w:val="24"/>
          <w:szCs w:val="24"/>
        </w:rPr>
        <w:t>6.2 局限</w:t>
      </w:r>
    </w:p>
    <w:p w14:paraId="564E44BD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本文的局限有六点。语料同源，训练、留出与评测数据由同一批 150 份档案展开，规则库仅 22 条，跨单位与跨岗位泛化未验证。缺少基线对照，未与“规则加固定模板”“未微调基座加同样校验”比较，微调的增量与模型表达相对模板的价值尚未定量，这是后续首要补充的实验。样本量偏小，26 条单次采样，比例分辨率约 4%，20 次全部通过对应的双侧 95% 置信下界约 83.2%，不足以支撑强可靠性结论。校验器只覆盖结构与数值两维。专家盲评与现场采纳统计尚未开展，不对学习效果作因果结论。时延为单卡单请求测量，未测并发与吞吐。后续将补做基线对照与消融，扩充留出样本并多次采样，纳入语义一致性校验，并在真实班组数据上开展专家评估。</w:t>
      </w:r>
    </w:p>
    <w:p w14:paraId="2B999EC0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23E51DC0">
      <w:pPr>
        <w:jc w:val="both"/>
        <w:rPr>
          <w:sz w:val="28"/>
          <w:szCs w:val="28"/>
        </w:rPr>
      </w:pPr>
      <w:r>
        <w:rPr>
          <w:rFonts w:ascii="Times New Roman" w:hAnsi="Times New Roman" w:eastAsia="黑体"/>
          <w:b/>
          <w:i w:val="0"/>
          <w:sz w:val="28"/>
          <w:szCs w:val="28"/>
        </w:rPr>
        <w:t>7</w:t>
      </w:r>
      <w:r>
        <w:rPr>
          <w:rFonts w:hint="eastAsia" w:eastAsia="黑体"/>
          <w:b/>
          <w:i w:val="0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8"/>
          <w:szCs w:val="28"/>
        </w:rPr>
        <w:t>结论</w:t>
      </w:r>
    </w:p>
    <w:p w14:paraId="026B6712">
      <w:pPr>
        <w:ind w:firstLine="4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/>
          <w:i w:val="0"/>
          <w:sz w:val="24"/>
          <w:szCs w:val="24"/>
        </w:rPr>
        <w:t>本文把安全与业务判定交给声明式规则引擎，把叙述表达交给微调后的模型，再以结构、数值、授权、安全四道防线衔接两者。150 份仿真档案上回放 450 次，档案级覆盖 150/150，考试不合格与证书等级不足两类负例的漏报为 0；200 组网格上规则语义正确，重复执行结果一致；26 条样本的模型输出首次即通过硬校验。错误注入实验同时说明，校验器拦得住结构与数值问题，拦不住语义层面的篡改——这一边界比“全部合规”更接近实际情况。这一分工使判定可审计、表达可迭代，为电力安全攸关岗位的智能培训提供了一种可实施方案；其培训效果尚需专家评价与现场试点检验。</w:t>
      </w:r>
    </w:p>
    <w:p w14:paraId="14E03C49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</w:p>
    <w:p w14:paraId="444459A4">
      <w:pPr>
        <w:jc w:val="both"/>
        <w:rPr>
          <w:sz w:val="28"/>
          <w:szCs w:val="28"/>
        </w:rPr>
      </w:pPr>
      <w:r>
        <w:rPr>
          <w:rFonts w:ascii="Times New Roman" w:hAnsi="Times New Roman" w:eastAsia="黑体"/>
          <w:b/>
          <w:i w:val="0"/>
          <w:sz w:val="28"/>
          <w:szCs w:val="28"/>
        </w:rPr>
        <w:t>参考文献</w:t>
      </w:r>
    </w:p>
    <w:p w14:paraId="5C123CC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0" w:name="_Ref31471"/>
      <w:r>
        <w:rPr>
          <w:rFonts w:ascii="Times New Roman" w:hAnsi="Times New Roman" w:eastAsia="宋体"/>
          <w:i w:val="0"/>
          <w:sz w:val="24"/>
          <w:szCs w:val="24"/>
        </w:rPr>
        <w:t>李元, 林金山, 边畅, 等. 电力设备智能运维大模型的技术挑战与发展路径[J]. 西安交通大学学报, 2026, 60(6): 1-10. https://inds3.cnki.net/kmobile/Journal/detail/DLKJ/XAJT20260623001.</w:t>
      </w:r>
      <w:bookmarkEnd w:id="0"/>
      <w:bookmarkStart w:id="1" w:name="_Ref30275"/>
    </w:p>
    <w:p w14:paraId="2B26F51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舒文韬, 李睿潇, 孙天祥, 等. 大型语言模型：原理、实现与发展[J]. 计算机研究与发展, 2024, 61(2): 351-361. DOI: 10.7544/issn1000-1239.202330303.</w:t>
      </w:r>
      <w:bookmarkEnd w:id="1"/>
    </w:p>
    <w:p w14:paraId="4078E69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2" w:name="_Ref29897"/>
      <w:r>
        <w:rPr>
          <w:rFonts w:ascii="Times New Roman" w:hAnsi="Times New Roman" w:eastAsia="宋体"/>
          <w:i w:val="0"/>
          <w:kern w:val="0"/>
          <w:sz w:val="21"/>
          <w:szCs w:val="21"/>
          <w:lang w:eastAsia="en-US"/>
        </w:rPr>
        <w:t>杨清波, 朱署光, 刘东, 等. 电网调控大语言模型能力提升关键技术研究[J]. 发电技术, 2026, 47(4): 697-708. DOI: 10.12096/j.2096-4528.pgt.260402.</w:t>
      </w:r>
    </w:p>
    <w:p w14:paraId="5640413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Ji Z, Lee N, Frieske R, et al. Survey of hallucination in natural language generation[J]. ACM Computing Surveys, 2023, 55(12): 1-38. https://doi.org/10.1145/3571730.</w:t>
      </w:r>
      <w:bookmarkEnd w:id="2"/>
    </w:p>
    <w:p w14:paraId="0A6765A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3" w:name="_Ref29831"/>
      <w:r>
        <w:rPr>
          <w:rFonts w:ascii="Times New Roman" w:hAnsi="Times New Roman" w:eastAsia="宋体"/>
          <w:i w:val="0"/>
          <w:sz w:val="21"/>
          <w:szCs w:val="21"/>
        </w:rPr>
        <w:t>Majumder S, Dong L, Doudi F, et al. Exploring the capabilities and limitations of large language models in the electric energy sector[J]. Joule, 2024, 8(6): 1544-1549. https://doi.org/10.1016/j.joule.2024.05.009.</w:t>
      </w:r>
      <w:bookmarkEnd w:id="3"/>
    </w:p>
    <w:p w14:paraId="52A95CC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4" w:name="_Ref29936"/>
      <w:r>
        <w:rPr>
          <w:rFonts w:ascii="Times New Roman" w:hAnsi="Times New Roman" w:eastAsia="宋体"/>
          <w:i w:val="0"/>
          <w:sz w:val="21"/>
          <w:szCs w:val="21"/>
        </w:rPr>
        <w:t>Ouyang L, Wu J, Jiang X, et al. Training language models to follow instructions with human feedback[C]//Advances in Neural Information Processing Systems 35. 2022: 27730-27744. https://arxiv.org/abs/2203.02155.</w:t>
      </w:r>
      <w:bookmarkEnd w:id="4"/>
    </w:p>
    <w:p w14:paraId="067029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5" w:name="_Ref29808"/>
      <w:r>
        <w:rPr>
          <w:rFonts w:ascii="Times New Roman" w:hAnsi="Times New Roman" w:eastAsia="宋体"/>
          <w:i w:val="0"/>
          <w:sz w:val="21"/>
          <w:szCs w:val="21"/>
        </w:rPr>
        <w:t>Lewis P, Perez E, Piktus A, et al. Retrieval-augmented generation for knowledge-intensive NLP tasks[C]//Advances in Neural Information Processing Systems 33. 2020: 9459-9474. https://arxiv.org/abs/2005.11401.</w:t>
      </w:r>
      <w:bookmarkEnd w:id="5"/>
    </w:p>
    <w:p w14:paraId="4690F4B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i w:val="0"/>
          <w:kern w:val="0"/>
          <w:sz w:val="21"/>
          <w:szCs w:val="21"/>
          <w:lang w:eastAsia="en-US"/>
        </w:rPr>
        <w:t>Karakurt E, Akbulut A. Retrieval-augmented generation (RAG) and large language models (LLMs) for enterprise knowledge management and document automation: a systematic literature review[J]. Applied Sciences, 2026, 16(1): 368. https://doi.org/10.3390/app16010368.</w:t>
      </w:r>
    </w:p>
    <w:p w14:paraId="308304E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6" w:name="_Ref30256"/>
      <w:r>
        <w:rPr>
          <w:rFonts w:ascii="Times New Roman" w:hAnsi="Times New Roman" w:eastAsia="宋体"/>
          <w:i w:val="0"/>
          <w:kern w:val="0"/>
          <w:sz w:val="21"/>
          <w:szCs w:val="21"/>
          <w:lang w:eastAsia="en-US"/>
        </w:rPr>
        <w:t>Yao S, Zhao J, Yu D, et al. ReAct: synergizing reasoning and acting in language models[C]//International Conference on Learning Representations. 2023. https://arxiv.org/abs/2210.03629.</w:t>
      </w:r>
    </w:p>
    <w:bookmarkEnd w:id="6"/>
    <w:p w14:paraId="57F048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7" w:name="_Ref30318"/>
      <w:r>
        <w:rPr>
          <w:rFonts w:ascii="Times New Roman" w:hAnsi="Times New Roman" w:eastAsia="宋体"/>
          <w:i w:val="0"/>
          <w:kern w:val="0"/>
          <w:sz w:val="21"/>
          <w:szCs w:val="21"/>
          <w:lang w:eastAsia="en-US"/>
        </w:rPr>
        <w:t>Rebedea T, Dinu R, Sreedhar M, et al. NeMo Guardrails: a toolkit for controllable and safe LLM applications with programmable rails[C]//Proceedings of the 2023 Conference on Empirical Methods in Natural Language Processing: System Demonstrations. 2023: 431-445. https://doi.org/10.18653/v1/2023.emnlp-demo.40.</w:t>
      </w:r>
    </w:p>
    <w:p w14:paraId="3C8A027C">
      <w:pPr>
        <w:numPr>
          <w:ilvl w:val="0"/>
          <w:numId w:val="7"/>
        </w:numPr>
        <w:spacing w:after="0" w:line="240" w:lineRule="auto"/>
        <w:ind w:left="454" w:leftChars="0" w:hanging="454" w:firstLineChars="0"/>
        <w:jc w:val="both"/>
        <w:rPr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Qwen Team. Qwen2.5 technical report[EB/OL]. 2024. https://arxiv.org/abs/2412.15115.</w:t>
      </w:r>
      <w:bookmarkEnd w:id="7"/>
    </w:p>
    <w:p w14:paraId="1655E22F">
      <w:pPr>
        <w:numPr>
          <w:ilvl w:val="0"/>
          <w:numId w:val="7"/>
        </w:numPr>
        <w:spacing w:after="0" w:line="240" w:lineRule="auto"/>
        <w:ind w:left="454" w:leftChars="0" w:hanging="454" w:firstLineChars="0"/>
        <w:jc w:val="both"/>
        <w:rPr>
          <w:sz w:val="21"/>
          <w:szCs w:val="21"/>
        </w:rPr>
      </w:pPr>
      <w:bookmarkStart w:id="8" w:name="_Ref29537"/>
      <w:r>
        <w:rPr>
          <w:rFonts w:ascii="Times New Roman" w:hAnsi="Times New Roman" w:eastAsia="宋体"/>
          <w:i w:val="0"/>
          <w:sz w:val="21"/>
          <w:szCs w:val="21"/>
        </w:rPr>
        <w:t>Hu E J, Shen Y, Wallis P, et al. LoRA: low-rank adaptation of large language models[C]//International Conference on Learning Representations. 2022. https://arxiv.org/abs/2106.09685.</w:t>
      </w:r>
      <w:bookmarkEnd w:id="8"/>
    </w:p>
    <w:p w14:paraId="2AC97BFB">
      <w:pPr>
        <w:numPr>
          <w:ilvl w:val="0"/>
          <w:numId w:val="7"/>
        </w:numPr>
        <w:spacing w:after="0" w:line="240" w:lineRule="auto"/>
        <w:ind w:left="454" w:leftChars="0" w:hanging="454" w:firstLineChars="0"/>
        <w:jc w:val="both"/>
        <w:rPr>
          <w:sz w:val="21"/>
          <w:szCs w:val="21"/>
        </w:rPr>
      </w:pPr>
      <w:bookmarkStart w:id="9" w:name="_Ref29554"/>
      <w:r>
        <w:rPr>
          <w:rFonts w:ascii="Times New Roman" w:hAnsi="Times New Roman" w:eastAsia="宋体"/>
          <w:i w:val="0"/>
          <w:sz w:val="21"/>
          <w:szCs w:val="21"/>
        </w:rPr>
        <w:t>Li Y, Yu Y, Liang C, et al. LoftQ: LoRA-fine-tuning-aware quantization for large language models[C]//The Twelfth International Conference on Learning Representations. 2024. https://arxiv.org/abs/2310.08659.</w:t>
      </w:r>
    </w:p>
    <w:p w14:paraId="280081E4">
      <w:pPr>
        <w:numPr>
          <w:ilvl w:val="0"/>
          <w:numId w:val="7"/>
        </w:numPr>
        <w:spacing w:after="0" w:line="240" w:lineRule="auto"/>
        <w:ind w:left="454" w:leftChars="0" w:hanging="454" w:firstLineChars="0"/>
        <w:jc w:val="both"/>
        <w:rPr>
          <w:sz w:val="21"/>
          <w:szCs w:val="21"/>
        </w:rPr>
      </w:pPr>
      <w:r>
        <w:rPr>
          <w:rFonts w:ascii="Times New Roman" w:hAnsi="Times New Roman" w:eastAsia="宋体"/>
          <w:i w:val="0"/>
          <w:sz w:val="21"/>
          <w:szCs w:val="21"/>
        </w:rPr>
        <w:t>Zheng Y, Zhang R, Zhang J, et al. LlamaFactory: unified efficient fine-tuning of 100+ language models[C]//Proceedings of the 62nd Annual Meeting of the Association for Computational Linguistics: System Demonstrations. 2024: 400-410. https://doi.org/10.18653/v1/2024.acl-demos.38.</w:t>
      </w:r>
    </w:p>
    <w:bookmarkEnd w:id="9"/>
    <w:p w14:paraId="3A1885FC">
      <w:pPr>
        <w:numPr>
          <w:ilvl w:val="0"/>
          <w:numId w:val="0"/>
        </w:numPr>
        <w:spacing w:after="0" w:line="240" w:lineRule="auto"/>
        <w:ind w:leftChars="0"/>
        <w:jc w:val="both"/>
        <w:rPr>
          <w:sz w:val="21"/>
          <w:szCs w:val="21"/>
        </w:rPr>
      </w:pP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D18DFF0-66AA-4C80-B556-73F9EEB1B82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7C5A4DC-CF19-4B7F-8ACF-8D6345B0542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6D24611-0462-457D-AB06-0FD4F11E40C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B40DFDA3-CD22-4689-99EF-00779FCD6AC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A888D36D-0983-4021-83B1-2CE796DE046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FCC9B061-72ED-43BA-8D9E-D08B8F424506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A2AAA5E8-337F-45C4-96B7-F0E4D5C29124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7E16EAE7-62BF-4335-B532-FB71BF92B7F9}"/>
  </w:font>
  <w:font w:name="ＭＳ 明朝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419E43C7-0D76-4A3F-BA97-8EB7BD956B4B}"/>
  </w:font>
  <w:font w:name="Everything wanted">
    <w:panose1 w:val="02000500000000000000"/>
    <w:charset w:val="00"/>
    <w:family w:val="auto"/>
    <w:pitch w:val="default"/>
    <w:sig w:usb0="A00000FF" w:usb1="10000042" w:usb2="00000000" w:usb3="00000000" w:csb0="00000011" w:csb1="00000000"/>
    <w:embedRegular r:id="rId10" w:fontKey="{BFF5D487-D638-4F10-84EF-513E31BAAE4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80C3DD5"/>
    <w:multiLevelType w:val="singleLevel"/>
    <w:tmpl w:val="280C3DD5"/>
    <w:lvl w:ilvl="0" w:tentative="0">
      <w:start w:val="1"/>
      <w:numFmt w:val="decimal"/>
      <w:lvlText w:val="[%1]"/>
      <w:lvlJc w:val="left"/>
      <w:pPr>
        <w:tabs>
          <w:tab w:val="left" w:pos="454"/>
        </w:tabs>
        <w:ind w:left="454" w:leftChars="0" w:hanging="454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C7E65"/>
    <w:rsid w:val="3D385C00"/>
    <w:rsid w:val="42E17B8B"/>
    <w:rsid w:val="4A640BB4"/>
    <w:rsid w:val="51937451"/>
    <w:rsid w:val="6627459B"/>
    <w:rsid w:val="68E04751"/>
    <w:rsid w:val="73602E23"/>
    <w:rsid w:val="76D35657"/>
    <w:rsid w:val="7C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8869</Words>
  <Characters>11879</Characters>
  <Lines>0</Lines>
  <Paragraphs>0</Paragraphs>
  <TotalTime>50</TotalTime>
  <ScaleCrop>false</ScaleCrop>
  <LinksUpToDate>false</LinksUpToDate>
  <CharactersWithSpaces>12501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順</cp:lastModifiedBy>
  <dcterms:modified xsi:type="dcterms:W3CDTF">2026-10-21T08:20:13Z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eyJoZGlkIjoiZTc2NTRjNDZmNjJkYzcyNTYyYjdkYTg0MGFkYzU1ODciLCJ1c2VySWQiOiI1NTA4MDA3MDMifQ==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B42509B5202646E4B388EA3D4848C8A7_13</vt:lpwstr>
  </property>
</Properties>
</file>