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AI-Powered Drug Discovery: A Novel Deep Learning</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Approach for Molecular Bioactivity Prediction</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 discovery is a time-consuming and expensive process, frequently limited by the requirement of significant laboratory experimentation. This work introduces a new deep learning method for predicting molecular bioactivity with SMILES (Simplified Molecular Input Line Entry System) sequences. Rather than depending on conventional chemical descriptors, the approach addresses SMILES as language-like data so that we can tokenize molecules into sequences and feed them into a 1D Convolutional Neural Network (CNN). Through a carefully curated dataset focusing on the EGFR protein, I trained the model to predict compounds as either bioactive or inactive. Accuracy/loss curves, confusion matrix, and ROC curves were utilized for assessment. The model attained validation accuracy of ~96.2% and test-time prediction confidence of 98.3%. This study illustrates the efficacy of NLP-motivated deep learning on molecular strings, providing a potential avenue in AI-based drug discovery.</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has over the past few years transformed drug discovery by making it possible to screen and evaluate molecular candidates at a fast pace. Conventional methods mainly rely on engineered features such as molecular fingerprints or physicochemical properties. But they frequently fail to recognize the rich sequential data available within SMILES representations of molecules. Through this project, I harnessed deep learning to identify insightful patterns directly out of tokenized SMILES strings. Drawing from natural language processing, I represented molecular bioactivity as a sequence classification problem. The main objective was to create a neural network that can predict with accuracy if a compound is bioactive, from raw molecular input, and to prove the performance of the model through state-of-the-art visual analytics.</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employed a publicly available dataset of molecules with 8,700+ SMILES entries against the EGFR protein. The dataset had molecular weight, LogP, TPSA, HBA, and HBD, but modeling was against the SMILES strings only. Every SMILES string was tokenized into a character sequence, and padded to ensure uniform input length. A 1D Convolutional Neural Network (CNN) with an embedding layer, convolutional filters, pooling layers, and fully connected output neurons was developed. The model was trained to classify molecules into two classes: active or inactive. Evaluation was performed with validation split (90/10), and performance was visualized with ROC curves, accuracy/loss plots, and confusion matrix.</w:t>
      </w:r>
    </w:p>
    <w:p w:rsidR="00000000" w:rsidDel="00000000" w:rsidP="00000000" w:rsidRDefault="00000000" w:rsidRPr="00000000" w14:paraId="0000000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Novelty Introduced</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novelty of the work is in interpreting molecular structures as language sequences instead of depending on engineered chemical descriptors. Conventional models rely heavily on feature extraction by domain knowledge (such as ECFP fingerprints), whereas this method directly applies deep learning over raw SMILES strings. Drawing on techniques in text classification, the work utilizes token-based CNNs to capture latent molecular patterns. This representation learning type avoids the need for manual features and takes advantage of convolutional networks' sequence modeling capability.</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Architectural Diagram</w:t>
      </w:r>
    </w:p>
    <w:p w:rsidR="00000000" w:rsidDel="00000000" w:rsidP="00000000" w:rsidRDefault="00000000" w:rsidRPr="00000000" w14:paraId="0000001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890963" cy="2790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0963"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trained for 10 epochs and tested with a 10% validation split. It had a validation accuracy of 96.2% and exhibited a prediction confidence of 98.3% on test input. Evaluation was done on:</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and Loss curves over training epochs</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which verified low misclassification</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 Curve with good separation between classes</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 real-time prediction functionality was created that accepts a new SMILES string as input and returns predicted class ("Active"/"Inactive") with confidence score.</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effectively illustrates that deep learning, specifically CNNs on SMILES sequences, can improve molecular activity prediction during drug discovery. By sidestepping descriptor-based input and employing an NLP-like sequence paradigm, I developed a more flexible, scalable pipeline. With validation accuracy over 96% and real-time inference possible, this model adds a new, data-driven approach to speed up early-stage drug screening.</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 Papers</w:t>
      </w:r>
    </w:p>
    <w:p w:rsidR="00000000" w:rsidDel="00000000" w:rsidP="00000000" w:rsidRDefault="00000000" w:rsidRPr="00000000" w14:paraId="00000027">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Zheng, S., Li, Y., Chen, S., Xu, J., Yang, Y., &amp; Yang, Y. (2020). Predicting drug–protein interaction using a quasi-visual question answering system. </w:t>
      </w:r>
      <w:r w:rsidDel="00000000" w:rsidR="00000000" w:rsidRPr="00000000">
        <w:rPr>
          <w:rFonts w:ascii="Times New Roman" w:cs="Times New Roman" w:eastAsia="Times New Roman" w:hAnsi="Times New Roman"/>
          <w:i w:val="1"/>
          <w:sz w:val="24"/>
          <w:szCs w:val="24"/>
          <w:rtl w:val="0"/>
        </w:rPr>
        <w:t xml:space="preserve">Nature Machine Intelligence, 2</w:t>
      </w:r>
      <w:r w:rsidDel="00000000" w:rsidR="00000000" w:rsidRPr="00000000">
        <w:rPr>
          <w:rFonts w:ascii="Times New Roman" w:cs="Times New Roman" w:eastAsia="Times New Roman" w:hAnsi="Times New Roman"/>
          <w:sz w:val="24"/>
          <w:szCs w:val="24"/>
          <w:rtl w:val="0"/>
        </w:rPr>
        <w:t xml:space="preserve">(2), 134–142. https://doi.org/10.1038/s42256-019-0131-6</w:t>
      </w:r>
    </w:p>
    <w:p w:rsidR="00000000" w:rsidDel="00000000" w:rsidP="00000000" w:rsidRDefault="00000000" w:rsidRPr="00000000" w14:paraId="00000028">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Stokes, J. M., Yang, K., Swanson, K., Jin, W., Cubillos-Ruiz, A., Donghia, N. M., ... &amp; Collins, J. J. (2020). A deep learning approach to antibiotic discovery. </w:t>
      </w:r>
      <w:r w:rsidDel="00000000" w:rsidR="00000000" w:rsidRPr="00000000">
        <w:rPr>
          <w:rFonts w:ascii="Times New Roman" w:cs="Times New Roman" w:eastAsia="Times New Roman" w:hAnsi="Times New Roman"/>
          <w:i w:val="1"/>
          <w:sz w:val="24"/>
          <w:szCs w:val="24"/>
          <w:rtl w:val="0"/>
        </w:rPr>
        <w:t xml:space="preserve">Cell, 180</w:t>
      </w:r>
      <w:r w:rsidDel="00000000" w:rsidR="00000000" w:rsidRPr="00000000">
        <w:rPr>
          <w:rFonts w:ascii="Times New Roman" w:cs="Times New Roman" w:eastAsia="Times New Roman" w:hAnsi="Times New Roman"/>
          <w:sz w:val="24"/>
          <w:szCs w:val="24"/>
          <w:rtl w:val="0"/>
        </w:rPr>
        <w:t xml:space="preserve">(4), 688–702.e13. https://doi.org/10.1016/j.cell.2020.01.021</w:t>
      </w:r>
    </w:p>
    <w:p w:rsidR="00000000" w:rsidDel="00000000" w:rsidP="00000000" w:rsidRDefault="00000000" w:rsidRPr="00000000" w14:paraId="00000029">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Öztürk, H., Özgür, A., &amp; Ozkirimli, E. (2018). DeepDTA: deep drug–target binding affinity prediction. </w:t>
      </w:r>
      <w:r w:rsidDel="00000000" w:rsidR="00000000" w:rsidRPr="00000000">
        <w:rPr>
          <w:rFonts w:ascii="Times New Roman" w:cs="Times New Roman" w:eastAsia="Times New Roman" w:hAnsi="Times New Roman"/>
          <w:i w:val="1"/>
          <w:sz w:val="24"/>
          <w:szCs w:val="24"/>
          <w:rtl w:val="0"/>
        </w:rPr>
        <w:t xml:space="preserve">Bioinformatics, 34</w:t>
      </w:r>
      <w:r w:rsidDel="00000000" w:rsidR="00000000" w:rsidRPr="00000000">
        <w:rPr>
          <w:rFonts w:ascii="Times New Roman" w:cs="Times New Roman" w:eastAsia="Times New Roman" w:hAnsi="Times New Roman"/>
          <w:sz w:val="24"/>
          <w:szCs w:val="24"/>
          <w:rtl w:val="0"/>
        </w:rPr>
        <w:t xml:space="preserve">(17), i821–i829. https://doi.org/10.1093/bioinformatics/bty593</w:t>
      </w:r>
    </w:p>
    <w:p w:rsidR="00000000" w:rsidDel="00000000" w:rsidP="00000000" w:rsidRDefault="00000000" w:rsidRPr="00000000" w14:paraId="0000002A">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Xiong, Z., Wang, D., Liu, X., Zhong, F., Wan, X., Li, X., ... &amp; Luo, X. (2020). Pushing the boundaries of molecular representation for drug discovery with the graph attention mechanism. </w:t>
      </w:r>
      <w:r w:rsidDel="00000000" w:rsidR="00000000" w:rsidRPr="00000000">
        <w:rPr>
          <w:rFonts w:ascii="Times New Roman" w:cs="Times New Roman" w:eastAsia="Times New Roman" w:hAnsi="Times New Roman"/>
          <w:i w:val="1"/>
          <w:sz w:val="24"/>
          <w:szCs w:val="24"/>
          <w:rtl w:val="0"/>
        </w:rPr>
        <w:t xml:space="preserve">Journal of Medicinal Chemistry, 63</w:t>
      </w:r>
      <w:r w:rsidDel="00000000" w:rsidR="00000000" w:rsidRPr="00000000">
        <w:rPr>
          <w:rFonts w:ascii="Times New Roman" w:cs="Times New Roman" w:eastAsia="Times New Roman" w:hAnsi="Times New Roman"/>
          <w:sz w:val="24"/>
          <w:szCs w:val="24"/>
          <w:rtl w:val="0"/>
        </w:rPr>
        <w:t xml:space="preserve">(16), 8749–8760. https://doi.org/10.1021/acs.jmedchem.9b00959</w:t>
      </w:r>
    </w:p>
    <w:p w:rsidR="00000000" w:rsidDel="00000000" w:rsidP="00000000" w:rsidRDefault="00000000" w:rsidRPr="00000000" w14:paraId="0000002B">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Jiménez-Luna, J., Grisoni, F., &amp; Schneider, G. (2020). Drug discovery with explainable artificial intelligence. </w:t>
      </w:r>
      <w:r w:rsidDel="00000000" w:rsidR="00000000" w:rsidRPr="00000000">
        <w:rPr>
          <w:rFonts w:ascii="Times New Roman" w:cs="Times New Roman" w:eastAsia="Times New Roman" w:hAnsi="Times New Roman"/>
          <w:i w:val="1"/>
          <w:sz w:val="24"/>
          <w:szCs w:val="24"/>
          <w:rtl w:val="0"/>
        </w:rPr>
        <w:t xml:space="preserve">Nature Machine Intelligence, 2</w:t>
      </w:r>
      <w:r w:rsidDel="00000000" w:rsidR="00000000" w:rsidRPr="00000000">
        <w:rPr>
          <w:rFonts w:ascii="Times New Roman" w:cs="Times New Roman" w:eastAsia="Times New Roman" w:hAnsi="Times New Roman"/>
          <w:sz w:val="24"/>
          <w:szCs w:val="24"/>
          <w:rtl w:val="0"/>
        </w:rPr>
        <w:t xml:space="preserve">(10), 573–584. https://doi.org/10.1038/s42256-020-00236-4</w:t>
      </w:r>
    </w:p>
    <w:p w:rsidR="00000000" w:rsidDel="00000000" w:rsidP="00000000" w:rsidRDefault="00000000" w:rsidRPr="00000000" w14:paraId="0000002C">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Karpov, P., Godin, G., &amp; Tetko, I. V. (2019). A transformer neural network for QSAR modeling. </w:t>
      </w:r>
      <w:r w:rsidDel="00000000" w:rsidR="00000000" w:rsidRPr="00000000">
        <w:rPr>
          <w:rFonts w:ascii="Times New Roman" w:cs="Times New Roman" w:eastAsia="Times New Roman" w:hAnsi="Times New Roman"/>
          <w:i w:val="1"/>
          <w:sz w:val="24"/>
          <w:szCs w:val="24"/>
          <w:rtl w:val="0"/>
        </w:rPr>
        <w:t xml:space="preserve">Journal of Chemical Information and Modeling, 60</w:t>
      </w:r>
      <w:r w:rsidDel="00000000" w:rsidR="00000000" w:rsidRPr="00000000">
        <w:rPr>
          <w:rFonts w:ascii="Times New Roman" w:cs="Times New Roman" w:eastAsia="Times New Roman" w:hAnsi="Times New Roman"/>
          <w:sz w:val="24"/>
          <w:szCs w:val="24"/>
          <w:rtl w:val="0"/>
        </w:rPr>
        <w:t xml:space="preserve">(6), 2652–2660. https://doi.org/10.1021/acs.jcim.0c00228</w:t>
      </w:r>
    </w:p>
    <w:p w:rsidR="00000000" w:rsidDel="00000000" w:rsidP="00000000" w:rsidRDefault="00000000" w:rsidRPr="00000000" w14:paraId="0000002D">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Gao, K., Nguyen, D. D., &amp; Wei, G. W. (2020). Generative network complex (GNC) for drug discovery. </w:t>
      </w:r>
      <w:r w:rsidDel="00000000" w:rsidR="00000000" w:rsidRPr="00000000">
        <w:rPr>
          <w:rFonts w:ascii="Times New Roman" w:cs="Times New Roman" w:eastAsia="Times New Roman" w:hAnsi="Times New Roman"/>
          <w:i w:val="1"/>
          <w:sz w:val="24"/>
          <w:szCs w:val="24"/>
          <w:rtl w:val="0"/>
        </w:rPr>
        <w:t xml:space="preserve">Communications in Information and Systems, 20</w:t>
      </w:r>
      <w:r w:rsidDel="00000000" w:rsidR="00000000" w:rsidRPr="00000000">
        <w:rPr>
          <w:rFonts w:ascii="Times New Roman" w:cs="Times New Roman" w:eastAsia="Times New Roman" w:hAnsi="Times New Roman"/>
          <w:sz w:val="24"/>
          <w:szCs w:val="24"/>
          <w:rtl w:val="0"/>
        </w:rPr>
        <w:t xml:space="preserve">(2), 83–103. https://doi.org/10.4310/CIS.2020.v20.n2.a1</w:t>
      </w:r>
    </w:p>
    <w:p w:rsidR="00000000" w:rsidDel="00000000" w:rsidP="00000000" w:rsidRDefault="00000000" w:rsidRPr="00000000" w14:paraId="0000002E">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Zhang, Y., Jiang, D., Zhang, L., &amp; Wang, S. (2020). Deep learning for drug–target interaction prediction. </w:t>
      </w:r>
      <w:r w:rsidDel="00000000" w:rsidR="00000000" w:rsidRPr="00000000">
        <w:rPr>
          <w:rFonts w:ascii="Times New Roman" w:cs="Times New Roman" w:eastAsia="Times New Roman" w:hAnsi="Times New Roman"/>
          <w:i w:val="1"/>
          <w:sz w:val="24"/>
          <w:szCs w:val="24"/>
          <w:rtl w:val="0"/>
        </w:rPr>
        <w:t xml:space="preserve">Frontiers in Pharmacology, 11</w:t>
      </w:r>
      <w:r w:rsidDel="00000000" w:rsidR="00000000" w:rsidRPr="00000000">
        <w:rPr>
          <w:rFonts w:ascii="Times New Roman" w:cs="Times New Roman" w:eastAsia="Times New Roman" w:hAnsi="Times New Roman"/>
          <w:sz w:val="24"/>
          <w:szCs w:val="24"/>
          <w:rtl w:val="0"/>
        </w:rPr>
        <w:t xml:space="preserve">, 587. https://doi.org/10.3389/fphar.2020.00587</w:t>
      </w:r>
    </w:p>
    <w:p w:rsidR="00000000" w:rsidDel="00000000" w:rsidP="00000000" w:rsidRDefault="00000000" w:rsidRPr="00000000" w14:paraId="0000002F">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Ragoza, M., Hochuli, J., Idrobo, E., Sunseri, J., &amp; Koes, D. R. (2017). Protein–ligand scoring with convolutional neural networks. </w:t>
      </w:r>
      <w:r w:rsidDel="00000000" w:rsidR="00000000" w:rsidRPr="00000000">
        <w:rPr>
          <w:rFonts w:ascii="Times New Roman" w:cs="Times New Roman" w:eastAsia="Times New Roman" w:hAnsi="Times New Roman"/>
          <w:i w:val="1"/>
          <w:sz w:val="24"/>
          <w:szCs w:val="24"/>
          <w:rtl w:val="0"/>
        </w:rPr>
        <w:t xml:space="preserve">Journal of Chemical Information and Modeling, 57</w:t>
      </w:r>
      <w:r w:rsidDel="00000000" w:rsidR="00000000" w:rsidRPr="00000000">
        <w:rPr>
          <w:rFonts w:ascii="Times New Roman" w:cs="Times New Roman" w:eastAsia="Times New Roman" w:hAnsi="Times New Roman"/>
          <w:sz w:val="24"/>
          <w:szCs w:val="24"/>
          <w:rtl w:val="0"/>
        </w:rPr>
        <w:t xml:space="preserve">(4), 942–957. https://doi.org/10.1021/acs.jcim.6b00740</w:t>
      </w:r>
    </w:p>
    <w:p w:rsidR="00000000" w:rsidDel="00000000" w:rsidP="00000000" w:rsidRDefault="00000000" w:rsidRPr="00000000" w14:paraId="00000030">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Tang, B., He, F., Liu, D., Fang, M., Wu, Z., &amp; Xu, D. (2019). AI-aided design of novel targeted covalent inhibitors against SARS-CoV-2. </w:t>
      </w:r>
      <w:r w:rsidDel="00000000" w:rsidR="00000000" w:rsidRPr="00000000">
        <w:rPr>
          <w:rFonts w:ascii="Times New Roman" w:cs="Times New Roman" w:eastAsia="Times New Roman" w:hAnsi="Times New Roman"/>
          <w:i w:val="1"/>
          <w:sz w:val="24"/>
          <w:szCs w:val="24"/>
          <w:rtl w:val="0"/>
        </w:rPr>
        <w:t xml:space="preserve">bioRxiv</w:t>
      </w:r>
      <w:r w:rsidDel="00000000" w:rsidR="00000000" w:rsidRPr="00000000">
        <w:rPr>
          <w:rFonts w:ascii="Times New Roman" w:cs="Times New Roman" w:eastAsia="Times New Roman" w:hAnsi="Times New Roman"/>
          <w:sz w:val="24"/>
          <w:szCs w:val="24"/>
          <w:rtl w:val="0"/>
        </w:rPr>
        <w:t xml:space="preserve">. https://doi.org/10.1101/2020.03.03.972133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