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sz w:val="48"/>
        </w:rPr>
        <w:t>RFM报告</w:t>
      </w:r>
    </w:p>
    <w:p>
      <w:pPr>
        <w:spacing w:after="240"/>
        <w:jc w:val="center"/>
      </w:pPr>
      <w:r>
        <w:rPr>
          <w:color w:val="888888"/>
          <w:sz w:val="20"/>
        </w:rPr>
        <w:t>生成时间：2026-05-09 00:24</w:t>
      </w:r>
    </w:p>
    <w:p>
      <w:pPr>
        <w:pBdr>
          <w:bottom w:val="single" w:sz="6" w:space="1" w:color="AAAAAA"/>
        </w:pBdr>
      </w:pPr>
    </w:p>
    <w:p>
      <w:pPr>
        <w:spacing w:before="240" w:after="120" w:line="468" w:lineRule="exact"/>
        <w:jc w:val="left"/>
      </w:pPr>
      <w:r>
        <w:rPr>
          <w:b/>
          <w:sz w:val="36"/>
        </w:rPr>
        <w:t>RFM 分析报告</w:t>
      </w:r>
    </w:p>
    <w:p>
      <w:pPr>
        <w:spacing w:before="160" w:after="80" w:line="364" w:lineRule="exact"/>
        <w:jc w:val="left"/>
      </w:pPr>
      <w:r>
        <w:rPr>
          <w:b/>
          <w:sz w:val="28"/>
        </w:rPr>
        <w:t>三、详细分析</w:t>
      </w:r>
    </w:p>
    <w:p>
      <w:pPr>
        <w:spacing w:before="120" w:after="80" w:line="312" w:lineRule="exact"/>
        <w:jc w:val="left"/>
      </w:pPr>
      <w:r>
        <w:rPr>
          <w:b/>
          <w:sz w:val="24"/>
        </w:rPr>
        <w:t>3.2 用户结构与贡献分析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图表1:2017年客户RFM分层分布（用户数）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2017年客户RFM分层分布（用户数）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图表解读:该柱状图展示了用户规模的金字塔结构，流失风险客户最多。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图表2:2017年各RFM分层客户贡献总金额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2017年各RFM分层客户贡献总金额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图表解读:一般价值客户贡献金额最高，远超用户数最多的流失风险客户。</w:t>
      </w:r>
    </w:p>
    <w:p>
      <w:pPr>
        <w:spacing w:before="120" w:after="80" w:line="312" w:lineRule="exact"/>
        <w:jc w:val="left"/>
      </w:pPr>
      <w:r>
        <w:rPr>
          <w:b/>
          <w:sz w:val="24"/>
        </w:rPr>
        <w:t>3.3 评分组合分布分析</w:t>
      </w:r>
    </w:p>
    <w:p>
      <w:pPr>
        <w:spacing w:before="80" w:after="40" w:line="286" w:lineRule="exact"/>
        <w:jc w:val="left"/>
      </w:pPr>
      <w:r>
        <w:rPr>
          <w:b w:val="0"/>
          <w:sz w:val="22"/>
        </w:rPr>
        <w:t>图表3:2017年RFM评分组合热力图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图: 2017年RFM评分组合热力图</w:t>
      </w:r>
    </w:p>
    <w:p>
      <w:pPr>
        <w:spacing w:before="0" w:after="60" w:line="260" w:lineRule="exact"/>
        <w:jc w:val="left"/>
      </w:pPr>
      <w:r>
        <w:rPr>
          <w:b w:val="0"/>
          <w:color w:val="4B5563"/>
          <w:sz w:val="20"/>
        </w:rPr>
        <w:t>图表解读:热力图显示各评分组合分布相对均匀。</w:t>
      </w:r>
    </w:p>
    <w:p>
      <w:pPr>
        <w:spacing w:before="160" w:after="80" w:line="364" w:lineRule="exact"/>
        <w:jc w:val="left"/>
      </w:pPr>
      <w:r>
        <w:rPr>
          <w:b/>
          <w:sz w:val="28"/>
        </w:rPr>
        <w:t>四、建议</w:t>
      </w:r>
    </w:p>
    <w:p>
      <w:pPr>
        <w:spacing w:before="0" w:after="80" w:line="286" w:lineRule="exact"/>
        <w:jc w:val="left"/>
      </w:pPr>
      <w:r>
        <w:rPr>
          <w:b w:val="0"/>
          <w:sz w:val="22"/>
        </w:rPr>
        <w:t>优先唤醒一般价值客户和重要挽留客户。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8"/>
      </w:rPr>
      <w:t>生成日期：2026-05-09</w:t>
    </w:r>
    <w:r>
      <w:tab/>
      <w:tab/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RFM报告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88888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