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b/>
          <w:sz w:val="48"/>
        </w:rPr>
        <w:t>RFM报告</w:t>
      </w:r>
    </w:p>
    <w:p>
      <w:pPr>
        <w:spacing w:after="240"/>
        <w:jc w:val="center"/>
      </w:pPr>
      <w:r>
        <w:rPr>
          <w:color w:val="888888"/>
          <w:sz w:val="20"/>
        </w:rPr>
        <w:t>生成时间：2026-05-09 00:29</w:t>
      </w:r>
    </w:p>
    <w:p>
      <w:pPr>
        <w:pBdr>
          <w:bottom w:val="single" w:sz="6" w:space="1" w:color="AAAAAA"/>
        </w:pBdr>
      </w:pPr>
    </w:p>
    <w:p>
      <w:pPr>
        <w:spacing w:before="240" w:after="120" w:line="468" w:lineRule="exact"/>
        <w:jc w:val="left"/>
      </w:pPr>
      <w:r>
        <w:rPr>
          <w:b/>
          <w:sz w:val="36"/>
        </w:rPr>
        <w:t>RFM 分析报告</w:t>
      </w:r>
    </w:p>
    <w:p>
      <w:pPr>
        <w:spacing w:before="160" w:after="80" w:line="364" w:lineRule="exact"/>
        <w:jc w:val="left"/>
      </w:pPr>
      <w:r>
        <w:rPr>
          <w:b/>
          <w:sz w:val="28"/>
        </w:rPr>
        <w:t>三、详细分析</w:t>
      </w:r>
    </w:p>
    <w:p>
      <w:pPr>
        <w:spacing w:before="80" w:after="40" w:line="286" w:lineRule="exact"/>
        <w:jc w:val="left"/>
      </w:pPr>
      <w:r>
        <w:rPr>
          <w:b w:val="0"/>
          <w:sz w:val="22"/>
        </w:rPr>
        <w:t>图表1:2017年客户RFM分层分布（用户数）</w:t>
      </w:r>
    </w:p>
    <w:p>
      <w:pPr>
        <w:spacing w:before="0" w:after="60" w:line="260" w:lineRule="exact"/>
        <w:jc w:val="left"/>
      </w:pPr>
      <w:r>
        <w:rPr>
          <w:b w:val="0"/>
          <w:color w:val="4B5563"/>
          <w:sz w:val="20"/>
        </w:rPr>
        <w:t>图表解读:该柱状图展示了金字塔结构。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图: 2017年客户RFM分层分布（用户数）</w:t>
      </w:r>
    </w:p>
    <w:p>
      <w:pPr>
        <w:spacing w:before="80" w:after="40" w:line="286" w:lineRule="exact"/>
        <w:jc w:val="left"/>
      </w:pPr>
      <w:r>
        <w:rPr>
          <w:b w:val="0"/>
          <w:sz w:val="22"/>
        </w:rPr>
        <w:t>图表2:2017年各RFM分层客户贡献总金额</w:t>
      </w:r>
    </w:p>
    <w:p>
      <w:pPr>
        <w:spacing w:before="0" w:after="60" w:line="260" w:lineRule="exact"/>
        <w:jc w:val="left"/>
      </w:pPr>
      <w:r>
        <w:rPr>
          <w:b w:val="0"/>
          <w:color w:val="4B5563"/>
          <w:sz w:val="20"/>
        </w:rPr>
        <w:t>图表解读:一般价值客户贡献最高。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图: 2017年各RFM分层客户贡献总金额</w:t>
      </w:r>
    </w:p>
    <w:p>
      <w:pPr>
        <w:spacing w:before="80" w:after="40" w:line="286" w:lineRule="exact"/>
        <w:jc w:val="left"/>
      </w:pPr>
      <w:r>
        <w:rPr>
          <w:b w:val="0"/>
          <w:sz w:val="22"/>
        </w:rPr>
        <w:t>图表3:2017年RFM评分组合热力图</w:t>
      </w:r>
    </w:p>
    <w:p>
      <w:pPr>
        <w:spacing w:before="0" w:after="60" w:line="260" w:lineRule="exact"/>
        <w:jc w:val="left"/>
      </w:pPr>
      <w:r>
        <w:rPr>
          <w:b w:val="0"/>
          <w:color w:val="4B5563"/>
          <w:sz w:val="20"/>
        </w:rPr>
        <w:t>图表解读:分布相对均匀。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图: 2017年RFM评分组合热力图</w:t>
      </w:r>
    </w:p>
    <w:p>
      <w:pPr>
        <w:spacing w:before="160" w:after="80" w:line="364" w:lineRule="exact"/>
        <w:jc w:val="left"/>
      </w:pPr>
      <w:r>
        <w:rPr>
          <w:b/>
          <w:sz w:val="28"/>
        </w:rPr>
        <w:t>四、建议</w:t>
      </w:r>
    </w:p>
    <w:p>
      <w:pPr>
        <w:spacing w:before="0" w:after="80" w:line="286" w:lineRule="exact"/>
        <w:jc w:val="left"/>
      </w:pPr>
      <w:r>
        <w:rPr>
          <w:b w:val="0"/>
          <w:sz w:val="22"/>
        </w:rPr>
        <w:t>优先唤醒一般价值客户。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8"/>
      </w:rPr>
      <w:t>生成日期：2026-05-09</w:t>
    </w:r>
    <w:r>
      <w:tab/>
      <w:tab/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RFM报告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88888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