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r>
        <w:t xml:space="preserve">[stat 385: Statistical Programming</w:t>
      </w:r>
      <w:r>
        <w:t xml:space="preserve"> </w:t>
      </w:r>
      <w:r>
        <w:t xml:space="preserve">methods] (</w:t>
      </w:r>
      <w:hyperlink r:id="rId24">
        <w:r>
          <w:rPr>
            <w:rStyle w:val="Hyperlink"/>
          </w:rPr>
          <w:t xml:space="preserve">https://courses.illinois.edu/schedule/2019/spring/STAT/385</w:t>
        </w:r>
      </w:hyperlink>
      <w:r>
        <w:t xml:space="preserve">)</w:t>
      </w:r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2019-01-25T21:43:14Z</dcterms:created>
  <dcterms:modified xsi:type="dcterms:W3CDTF">2019-01-25T21:43:14Z</dcterms:modified>
</cp:coreProperties>
</file>