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E2FC" w14:textId="77777777" w:rsidR="000E30AB" w:rsidRDefault="00000000">
      <w:pPr>
        <w:shd w:val="clear" w:color="auto" w:fill="1E3A5F"/>
        <w:spacing w:after="60"/>
        <w:jc w:val="center"/>
      </w:pPr>
      <w:r>
        <w:rPr>
          <w:rFonts w:ascii="Arial" w:eastAsia="Arial" w:hAnsi="Arial" w:cs="Arial"/>
          <w:b/>
          <w:bCs/>
          <w:color w:val="FFFFFF"/>
          <w:sz w:val="22"/>
          <w:szCs w:val="22"/>
        </w:rPr>
        <w:t xml:space="preserve">  SAVVY DATALYTICS SOLUTIONS  </w:t>
      </w:r>
    </w:p>
    <w:p w14:paraId="3BB9996B" w14:textId="77777777" w:rsidR="000E30AB" w:rsidRDefault="00000000">
      <w:pPr>
        <w:shd w:val="clear" w:color="auto" w:fill="2E86AB"/>
        <w:spacing w:after="280"/>
        <w:jc w:val="center"/>
      </w:pPr>
      <w:r>
        <w:rPr>
          <w:rFonts w:ascii="Arial" w:eastAsia="Arial" w:hAnsi="Arial" w:cs="Arial"/>
          <w:color w:val="FFFFFF"/>
          <w:sz w:val="18"/>
          <w:szCs w:val="18"/>
        </w:rPr>
        <w:t xml:space="preserve">  Week 3 Deliverable — Competitor Comparison Matrix | Q3 2025  </w:t>
      </w:r>
    </w:p>
    <w:p w14:paraId="5A3F6D5E" w14:textId="77777777" w:rsidR="000E30AB" w:rsidRDefault="00000000">
      <w:pPr>
        <w:spacing w:before="120" w:after="60"/>
      </w:pPr>
      <w:r>
        <w:rPr>
          <w:rFonts w:ascii="Arial" w:eastAsia="Arial" w:hAnsi="Arial" w:cs="Arial"/>
          <w:b/>
          <w:bCs/>
          <w:color w:val="1E3A5F"/>
          <w:sz w:val="26"/>
          <w:szCs w:val="26"/>
        </w:rPr>
        <w:t>Competitive Landscape Analysis — Digital Marketing Agency Performance</w:t>
      </w:r>
    </w:p>
    <w:p w14:paraId="4E53A4A3" w14:textId="77777777" w:rsidR="000E30AB" w:rsidRDefault="00000000">
      <w:pPr>
        <w:spacing w:before="120" w:after="60"/>
      </w:pPr>
      <w:r>
        <w:rPr>
          <w:rFonts w:ascii="Arial" w:eastAsia="Arial" w:hAnsi="Arial" w:cs="Arial"/>
          <w:color w:val="5A5A5A"/>
          <w:sz w:val="18"/>
          <w:szCs w:val="18"/>
        </w:rPr>
        <w:t>Prepared by: Augustine Jasmine Oyindeinyefa  |  Data Analyst &amp; Business Intelligence Specialist  |  Savvy Datalytics Solutions</w:t>
      </w:r>
    </w:p>
    <w:p w14:paraId="79DFD3DC" w14:textId="5BAB58C7" w:rsidR="000E30AB" w:rsidRDefault="00000000">
      <w:pPr>
        <w:spacing w:before="120" w:after="160"/>
      </w:pPr>
      <w:r>
        <w:rPr>
          <w:rFonts w:ascii="Arial" w:eastAsia="Arial" w:hAnsi="Arial" w:cs="Arial"/>
          <w:color w:val="5A5A5A"/>
          <w:sz w:val="18"/>
          <w:szCs w:val="18"/>
        </w:rPr>
        <w:t>Client: Linda Williams, Savvy</w:t>
      </w:r>
      <w:r w:rsidR="003C032A">
        <w:rPr>
          <w:rFonts w:ascii="Arial" w:eastAsia="Arial" w:hAnsi="Arial" w:cs="Arial"/>
          <w:color w:val="5A5A5A"/>
          <w:sz w:val="18"/>
          <w:szCs w:val="18"/>
        </w:rPr>
        <w:t xml:space="preserve"> Datalytics</w:t>
      </w:r>
      <w:r>
        <w:rPr>
          <w:rFonts w:ascii="Arial" w:eastAsia="Arial" w:hAnsi="Arial" w:cs="Arial"/>
          <w:color w:val="5A5A5A"/>
          <w:sz w:val="18"/>
          <w:szCs w:val="18"/>
        </w:rPr>
        <w:t xml:space="preserve"> Solutions  |  Reporting Period: Q3 2025 (July – September)</w:t>
      </w:r>
    </w:p>
    <w:p w14:paraId="1ACF862D" w14:textId="77777777" w:rsidR="000E30AB" w:rsidRDefault="00000000">
      <w:pPr>
        <w:shd w:val="clear" w:color="auto" w:fill="FFF8E1"/>
        <w:spacing w:after="200"/>
      </w:pPr>
      <w:r>
        <w:rPr>
          <w:rFonts w:ascii="Arial" w:eastAsia="Arial" w:hAnsi="Arial" w:cs="Arial"/>
          <w:b/>
          <w:bCs/>
          <w:color w:val="7D5A00"/>
          <w:sz w:val="19"/>
          <w:szCs w:val="19"/>
        </w:rPr>
        <w:t xml:space="preserve">  Methodology Note: </w:t>
      </w:r>
      <w:r>
        <w:rPr>
          <w:rFonts w:ascii="Arial" w:eastAsia="Arial" w:hAnsi="Arial" w:cs="Arial"/>
          <w:i/>
          <w:iCs/>
          <w:color w:val="5A5A5A"/>
          <w:sz w:val="19"/>
          <w:szCs w:val="19"/>
        </w:rPr>
        <w:t xml:space="preserve">Competitor figures are derived from publicly available industry benchmarks, published case studies, and simulated estimates consistent with agencies of comparable size and focus operating in the Canadian digital marketing sector. All figures should be interpreted directionally rather than as exact reported values.  </w:t>
      </w:r>
    </w:p>
    <w:tbl>
      <w:tblPr>
        <w:tblW w:w="13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3311"/>
        <w:gridCol w:w="3311"/>
        <w:gridCol w:w="3311"/>
      </w:tblGrid>
      <w:tr w:rsidR="000E30AB" w14:paraId="506A6C86" w14:textId="77777777">
        <w:tblPrEx>
          <w:tblCellMar>
            <w:top w:w="0" w:type="dxa"/>
            <w:bottom w:w="0" w:type="dxa"/>
          </w:tblCellMar>
        </w:tblPrEx>
        <w:trPr>
          <w:tblHeader/>
        </w:trPr>
        <w:tc>
          <w:tcPr>
            <w:tcW w:w="2400" w:type="dxa"/>
            <w:tcBorders>
              <w:top w:val="single" w:sz="4" w:space="0" w:color="C5D8E8"/>
              <w:left w:val="single" w:sz="4" w:space="0" w:color="C5D8E8"/>
              <w:bottom w:val="single" w:sz="4" w:space="0" w:color="C5D8E8"/>
              <w:right w:val="single" w:sz="4" w:space="0" w:color="C5D8E8"/>
            </w:tcBorders>
            <w:shd w:val="clear" w:color="auto" w:fill="1E3A5F"/>
            <w:tcMar>
              <w:top w:w="120" w:type="dxa"/>
              <w:left w:w="140" w:type="dxa"/>
              <w:bottom w:w="120" w:type="dxa"/>
              <w:right w:w="140" w:type="dxa"/>
            </w:tcMar>
          </w:tcPr>
          <w:p w14:paraId="265B2B84" w14:textId="77777777" w:rsidR="000E30AB" w:rsidRDefault="00000000">
            <w:pPr>
              <w:jc w:val="center"/>
            </w:pPr>
            <w:r>
              <w:rPr>
                <w:rFonts w:ascii="Arial" w:eastAsia="Arial" w:hAnsi="Arial" w:cs="Arial"/>
                <w:b/>
                <w:bCs/>
                <w:color w:val="FFFFFF"/>
              </w:rPr>
              <w:t>Performance Metric</w:t>
            </w:r>
          </w:p>
        </w:tc>
        <w:tc>
          <w:tcPr>
            <w:tcW w:w="2320" w:type="dxa"/>
            <w:tcBorders>
              <w:top w:val="single" w:sz="4" w:space="0" w:color="C5D8E8"/>
              <w:left w:val="single" w:sz="4" w:space="0" w:color="C5D8E8"/>
              <w:bottom w:val="single" w:sz="4" w:space="0" w:color="C5D8E8"/>
              <w:right w:val="single" w:sz="4" w:space="0" w:color="C5D8E8"/>
            </w:tcBorders>
            <w:shd w:val="clear" w:color="auto" w:fill="1E3A5F"/>
            <w:tcMar>
              <w:top w:w="120" w:type="dxa"/>
              <w:left w:w="140" w:type="dxa"/>
              <w:bottom w:w="120" w:type="dxa"/>
              <w:right w:w="140" w:type="dxa"/>
            </w:tcMar>
          </w:tcPr>
          <w:p w14:paraId="12A11F27" w14:textId="77777777" w:rsidR="000E30AB" w:rsidRDefault="00000000">
            <w:pPr>
              <w:jc w:val="center"/>
            </w:pPr>
            <w:r>
              <w:rPr>
                <w:rFonts w:ascii="Arial" w:eastAsia="Arial" w:hAnsi="Arial" w:cs="Arial"/>
                <w:b/>
                <w:bCs/>
                <w:color w:val="FFFFFF"/>
              </w:rPr>
              <w:t>🔵 Digital Edge Pro (Competitor A)</w:t>
            </w:r>
          </w:p>
        </w:tc>
        <w:tc>
          <w:tcPr>
            <w:tcW w:w="2320" w:type="dxa"/>
            <w:tcBorders>
              <w:top w:val="single" w:sz="4" w:space="0" w:color="C5D8E8"/>
              <w:left w:val="single" w:sz="4" w:space="0" w:color="C5D8E8"/>
              <w:bottom w:val="single" w:sz="4" w:space="0" w:color="C5D8E8"/>
              <w:right w:val="single" w:sz="4" w:space="0" w:color="C5D8E8"/>
            </w:tcBorders>
            <w:shd w:val="clear" w:color="auto" w:fill="1E3A5F"/>
            <w:tcMar>
              <w:top w:w="120" w:type="dxa"/>
              <w:left w:w="140" w:type="dxa"/>
              <w:bottom w:w="120" w:type="dxa"/>
              <w:right w:w="140" w:type="dxa"/>
            </w:tcMar>
          </w:tcPr>
          <w:p w14:paraId="4A34D77C" w14:textId="2B376837" w:rsidR="000E30AB" w:rsidRDefault="00000000">
            <w:pPr>
              <w:jc w:val="center"/>
            </w:pPr>
            <w:r>
              <w:rPr>
                <w:rFonts w:ascii="Arial" w:eastAsia="Arial" w:hAnsi="Arial" w:cs="Arial"/>
                <w:b/>
                <w:bCs/>
                <w:color w:val="FFFFFF"/>
              </w:rPr>
              <w:t>🟢 Savvy</w:t>
            </w:r>
            <w:r w:rsidR="003C032A">
              <w:rPr>
                <w:rFonts w:ascii="Arial" w:eastAsia="Arial" w:hAnsi="Arial" w:cs="Arial"/>
                <w:b/>
                <w:bCs/>
                <w:color w:val="FFFFFF"/>
              </w:rPr>
              <w:t xml:space="preserve"> Datalytics</w:t>
            </w:r>
            <w:r>
              <w:rPr>
                <w:rFonts w:ascii="Arial" w:eastAsia="Arial" w:hAnsi="Arial" w:cs="Arial"/>
                <w:b/>
                <w:bCs/>
                <w:color w:val="FFFFFF"/>
              </w:rPr>
              <w:t xml:space="preserve"> Solutions (Us)</w:t>
            </w:r>
          </w:p>
        </w:tc>
        <w:tc>
          <w:tcPr>
            <w:tcW w:w="2320" w:type="dxa"/>
            <w:tcBorders>
              <w:top w:val="single" w:sz="4" w:space="0" w:color="C5D8E8"/>
              <w:left w:val="single" w:sz="4" w:space="0" w:color="C5D8E8"/>
              <w:bottom w:val="single" w:sz="4" w:space="0" w:color="C5D8E8"/>
              <w:right w:val="single" w:sz="4" w:space="0" w:color="C5D8E8"/>
            </w:tcBorders>
            <w:shd w:val="clear" w:color="auto" w:fill="1E3A5F"/>
            <w:tcMar>
              <w:top w:w="120" w:type="dxa"/>
              <w:left w:w="140" w:type="dxa"/>
              <w:bottom w:w="120" w:type="dxa"/>
              <w:right w:w="140" w:type="dxa"/>
            </w:tcMar>
          </w:tcPr>
          <w:p w14:paraId="683B925A" w14:textId="77777777" w:rsidR="000E30AB" w:rsidRDefault="00000000">
            <w:pPr>
              <w:jc w:val="center"/>
            </w:pPr>
            <w:r>
              <w:rPr>
                <w:rFonts w:ascii="Arial" w:eastAsia="Arial" w:hAnsi="Arial" w:cs="Arial"/>
                <w:b/>
                <w:bCs/>
                <w:color w:val="FFFFFF"/>
              </w:rPr>
              <w:t>🟡 MediaPulse Agency (Competitor B)</w:t>
            </w:r>
          </w:p>
        </w:tc>
      </w:tr>
      <w:tr w:rsidR="000E30AB" w14:paraId="21D8ABF3" w14:textId="77777777">
        <w:tblPrEx>
          <w:tblCellMar>
            <w:top w:w="0" w:type="dxa"/>
            <w:bottom w:w="0" w:type="dxa"/>
          </w:tblCellMar>
        </w:tblPrEx>
        <w:tc>
          <w:tcPr>
            <w:tcW w:w="0" w:type="auto"/>
            <w:gridSpan w:val="4"/>
            <w:tcBorders>
              <w:top w:val="single" w:sz="4" w:space="0" w:color="C5D8E8"/>
              <w:left w:val="single" w:sz="4" w:space="0" w:color="C5D8E8"/>
              <w:bottom w:val="single" w:sz="4" w:space="0" w:color="C5D8E8"/>
              <w:right w:val="single" w:sz="4" w:space="0" w:color="C5D8E8"/>
            </w:tcBorders>
            <w:shd w:val="clear" w:color="auto" w:fill="D6EAF8"/>
            <w:tcMar>
              <w:top w:w="80" w:type="dxa"/>
              <w:left w:w="140" w:type="dxa"/>
              <w:bottom w:w="80" w:type="dxa"/>
              <w:right w:w="140" w:type="dxa"/>
            </w:tcMar>
          </w:tcPr>
          <w:p w14:paraId="1DD224C0" w14:textId="77777777" w:rsidR="000E30AB" w:rsidRDefault="00000000">
            <w:r>
              <w:rPr>
                <w:rFonts w:ascii="Arial" w:eastAsia="Arial" w:hAnsi="Arial" w:cs="Arial"/>
                <w:b/>
                <w:bCs/>
                <w:color w:val="1E3A5F"/>
              </w:rPr>
              <w:t>FINANCIAL PERFORMANCE</w:t>
            </w:r>
          </w:p>
        </w:tc>
      </w:tr>
      <w:tr w:rsidR="000E30AB" w14:paraId="65C07357"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04946B9" w14:textId="77777777" w:rsidR="000E30AB" w:rsidRDefault="00000000">
            <w:r>
              <w:rPr>
                <w:rFonts w:ascii="Arial" w:eastAsia="Arial" w:hAnsi="Arial" w:cs="Arial"/>
                <w:b/>
                <w:bCs/>
                <w:color w:val="2D2D2D"/>
                <w:sz w:val="19"/>
                <w:szCs w:val="19"/>
              </w:rPr>
              <w:t>Q3 Total Revenue</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62AD895" w14:textId="77777777" w:rsidR="000E30AB" w:rsidRDefault="00000000">
            <w:pPr>
              <w:jc w:val="center"/>
            </w:pPr>
            <w:r>
              <w:rPr>
                <w:rFonts w:ascii="Arial" w:eastAsia="Arial" w:hAnsi="Arial" w:cs="Arial"/>
                <w:color w:val="1A6B3C"/>
                <w:sz w:val="19"/>
                <w:szCs w:val="19"/>
              </w:rPr>
              <w:t>$2,780,000</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4C3C0DF" w14:textId="77777777" w:rsidR="000E30AB" w:rsidRDefault="00000000">
            <w:pPr>
              <w:jc w:val="center"/>
            </w:pPr>
            <w:r>
              <w:rPr>
                <w:rFonts w:ascii="Arial" w:eastAsia="Arial" w:hAnsi="Arial" w:cs="Arial"/>
                <w:b/>
                <w:bCs/>
                <w:color w:val="2E86AB"/>
                <w:sz w:val="19"/>
                <w:szCs w:val="19"/>
              </w:rPr>
              <w:t>$2,422,385</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4CADE57" w14:textId="77777777" w:rsidR="000E30AB" w:rsidRDefault="00000000">
            <w:pPr>
              <w:jc w:val="center"/>
            </w:pPr>
            <w:r>
              <w:rPr>
                <w:rFonts w:ascii="Arial" w:eastAsia="Arial" w:hAnsi="Arial" w:cs="Arial"/>
                <w:color w:val="2D2D2D"/>
                <w:sz w:val="19"/>
                <w:szCs w:val="19"/>
              </w:rPr>
              <w:t>$1,680,000</w:t>
            </w:r>
          </w:p>
        </w:tc>
      </w:tr>
      <w:tr w:rsidR="000E30AB" w14:paraId="652FD224"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315B23D" w14:textId="77777777" w:rsidR="000E30AB" w:rsidRDefault="00000000">
            <w:r>
              <w:rPr>
                <w:rFonts w:ascii="Arial" w:eastAsia="Arial" w:hAnsi="Arial" w:cs="Arial"/>
                <w:b/>
                <w:bCs/>
                <w:color w:val="2D2D2D"/>
                <w:sz w:val="19"/>
                <w:szCs w:val="19"/>
              </w:rPr>
              <w:t>Q3 Ad Spend</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2639BA4" w14:textId="77777777" w:rsidR="000E30AB" w:rsidRDefault="00000000">
            <w:pPr>
              <w:jc w:val="center"/>
            </w:pPr>
            <w:r>
              <w:rPr>
                <w:rFonts w:ascii="Arial" w:eastAsia="Arial" w:hAnsi="Arial" w:cs="Arial"/>
                <w:color w:val="2D2D2D"/>
                <w:sz w:val="19"/>
                <w:szCs w:val="19"/>
              </w:rPr>
              <w:t>$930,000</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2568F04" w14:textId="77777777" w:rsidR="000E30AB" w:rsidRDefault="00000000">
            <w:pPr>
              <w:jc w:val="center"/>
            </w:pPr>
            <w:r>
              <w:rPr>
                <w:rFonts w:ascii="Arial" w:eastAsia="Arial" w:hAnsi="Arial" w:cs="Arial"/>
                <w:b/>
                <w:bCs/>
                <w:color w:val="2E86AB"/>
                <w:sz w:val="19"/>
                <w:szCs w:val="19"/>
              </w:rPr>
              <w:t>$713,478</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DB934EB" w14:textId="77777777" w:rsidR="000E30AB" w:rsidRDefault="00000000">
            <w:pPr>
              <w:jc w:val="center"/>
            </w:pPr>
            <w:r>
              <w:rPr>
                <w:rFonts w:ascii="Arial" w:eastAsia="Arial" w:hAnsi="Arial" w:cs="Arial"/>
                <w:color w:val="2D2D2D"/>
                <w:sz w:val="19"/>
                <w:szCs w:val="19"/>
              </w:rPr>
              <w:t>$618,000</w:t>
            </w:r>
          </w:p>
        </w:tc>
      </w:tr>
      <w:tr w:rsidR="000E30AB" w14:paraId="36DDB9AD"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69DA6CF" w14:textId="77777777" w:rsidR="000E30AB" w:rsidRDefault="00000000">
            <w:r>
              <w:rPr>
                <w:rFonts w:ascii="Arial" w:eastAsia="Arial" w:hAnsi="Arial" w:cs="Arial"/>
                <w:b/>
                <w:bCs/>
                <w:color w:val="2D2D2D"/>
                <w:sz w:val="19"/>
                <w:szCs w:val="19"/>
              </w:rPr>
              <w:t>Overall ROI</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9155D72" w14:textId="77777777" w:rsidR="000E30AB" w:rsidRDefault="00000000">
            <w:pPr>
              <w:jc w:val="center"/>
            </w:pPr>
            <w:r>
              <w:rPr>
                <w:rFonts w:ascii="Arial" w:eastAsia="Arial" w:hAnsi="Arial" w:cs="Arial"/>
                <w:color w:val="2D2D2D"/>
                <w:sz w:val="19"/>
                <w:szCs w:val="19"/>
              </w:rPr>
              <w:t>199.0%</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3AE96D5" w14:textId="77777777" w:rsidR="000E30AB" w:rsidRDefault="00000000">
            <w:pPr>
              <w:jc w:val="center"/>
            </w:pPr>
            <w:r>
              <w:rPr>
                <w:rFonts w:ascii="Arial" w:eastAsia="Arial" w:hAnsi="Arial" w:cs="Arial"/>
                <w:b/>
                <w:bCs/>
                <w:color w:val="1A6B3C"/>
                <w:sz w:val="19"/>
                <w:szCs w:val="19"/>
              </w:rPr>
              <w:t>239.5%</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BDD60F7" w14:textId="77777777" w:rsidR="000E30AB" w:rsidRDefault="00000000">
            <w:pPr>
              <w:jc w:val="center"/>
            </w:pPr>
            <w:r>
              <w:rPr>
                <w:rFonts w:ascii="Arial" w:eastAsia="Arial" w:hAnsi="Arial" w:cs="Arial"/>
                <w:color w:val="2D2D2D"/>
                <w:sz w:val="19"/>
                <w:szCs w:val="19"/>
              </w:rPr>
              <w:t>171.8%</w:t>
            </w:r>
          </w:p>
        </w:tc>
      </w:tr>
      <w:tr w:rsidR="000E30AB" w14:paraId="249896EE"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328E26F" w14:textId="77777777" w:rsidR="000E30AB" w:rsidRDefault="00000000">
            <w:r>
              <w:rPr>
                <w:rFonts w:ascii="Arial" w:eastAsia="Arial" w:hAnsi="Arial" w:cs="Arial"/>
                <w:b/>
                <w:bCs/>
                <w:color w:val="2D2D2D"/>
                <w:sz w:val="19"/>
                <w:szCs w:val="19"/>
              </w:rPr>
              <w:t>Revenue per $ Spent</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283AC32" w14:textId="77777777" w:rsidR="000E30AB" w:rsidRDefault="00000000">
            <w:pPr>
              <w:jc w:val="center"/>
            </w:pPr>
            <w:r>
              <w:rPr>
                <w:rFonts w:ascii="Arial" w:eastAsia="Arial" w:hAnsi="Arial" w:cs="Arial"/>
                <w:color w:val="2D2D2D"/>
                <w:sz w:val="19"/>
                <w:szCs w:val="19"/>
              </w:rPr>
              <w:t>$2.99</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071B4FC" w14:textId="77777777" w:rsidR="000E30AB" w:rsidRDefault="00000000">
            <w:pPr>
              <w:jc w:val="center"/>
            </w:pPr>
            <w:r>
              <w:rPr>
                <w:rFonts w:ascii="Arial" w:eastAsia="Arial" w:hAnsi="Arial" w:cs="Arial"/>
                <w:b/>
                <w:bCs/>
                <w:color w:val="1A6B3C"/>
                <w:sz w:val="19"/>
                <w:szCs w:val="19"/>
              </w:rPr>
              <w:t>$3.40</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538F193" w14:textId="77777777" w:rsidR="000E30AB" w:rsidRDefault="00000000">
            <w:pPr>
              <w:jc w:val="center"/>
            </w:pPr>
            <w:r>
              <w:rPr>
                <w:rFonts w:ascii="Arial" w:eastAsia="Arial" w:hAnsi="Arial" w:cs="Arial"/>
                <w:color w:val="2D2D2D"/>
                <w:sz w:val="19"/>
                <w:szCs w:val="19"/>
              </w:rPr>
              <w:t>$2.72</w:t>
            </w:r>
          </w:p>
        </w:tc>
      </w:tr>
      <w:tr w:rsidR="000E30AB" w14:paraId="79C00535"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CE2EC20" w14:textId="77777777" w:rsidR="000E30AB" w:rsidRDefault="00000000">
            <w:r>
              <w:rPr>
                <w:rFonts w:ascii="Arial" w:eastAsia="Arial" w:hAnsi="Arial" w:cs="Arial"/>
                <w:b/>
                <w:bCs/>
                <w:color w:val="2D2D2D"/>
                <w:sz w:val="19"/>
                <w:szCs w:val="19"/>
              </w:rPr>
              <w:t>Q3 Revenue Growth (MoM)</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8893BEC" w14:textId="77777777" w:rsidR="000E30AB" w:rsidRDefault="00000000">
            <w:pPr>
              <w:jc w:val="center"/>
            </w:pPr>
            <w:r>
              <w:rPr>
                <w:rFonts w:ascii="Arial" w:eastAsia="Arial" w:hAnsi="Arial" w:cs="Arial"/>
                <w:color w:val="2D2D2D"/>
                <w:sz w:val="19"/>
                <w:szCs w:val="19"/>
              </w:rPr>
              <w:t>~4.1%</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3CCC4B2" w14:textId="77777777" w:rsidR="000E30AB" w:rsidRDefault="00000000">
            <w:pPr>
              <w:jc w:val="center"/>
            </w:pPr>
            <w:r>
              <w:rPr>
                <w:rFonts w:ascii="Arial" w:eastAsia="Arial" w:hAnsi="Arial" w:cs="Arial"/>
                <w:b/>
                <w:bCs/>
                <w:color w:val="1A6B3C"/>
                <w:sz w:val="19"/>
                <w:szCs w:val="19"/>
              </w:rPr>
              <w:t>~4.2%</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1A2B32A" w14:textId="77777777" w:rsidR="000E30AB" w:rsidRDefault="00000000">
            <w:pPr>
              <w:jc w:val="center"/>
            </w:pPr>
            <w:r>
              <w:rPr>
                <w:rFonts w:ascii="Arial" w:eastAsia="Arial" w:hAnsi="Arial" w:cs="Arial"/>
                <w:color w:val="2D2D2D"/>
                <w:sz w:val="19"/>
                <w:szCs w:val="19"/>
              </w:rPr>
              <w:t>~2.8%</w:t>
            </w:r>
          </w:p>
        </w:tc>
      </w:tr>
      <w:tr w:rsidR="000E30AB" w14:paraId="212BF453" w14:textId="77777777">
        <w:tblPrEx>
          <w:tblCellMar>
            <w:top w:w="0" w:type="dxa"/>
            <w:bottom w:w="0" w:type="dxa"/>
          </w:tblCellMar>
        </w:tblPrEx>
        <w:tc>
          <w:tcPr>
            <w:tcW w:w="0" w:type="auto"/>
            <w:gridSpan w:val="4"/>
            <w:tcBorders>
              <w:top w:val="single" w:sz="4" w:space="0" w:color="C5D8E8"/>
              <w:left w:val="single" w:sz="4" w:space="0" w:color="C5D8E8"/>
              <w:bottom w:val="single" w:sz="4" w:space="0" w:color="C5D8E8"/>
              <w:right w:val="single" w:sz="4" w:space="0" w:color="C5D8E8"/>
            </w:tcBorders>
            <w:shd w:val="clear" w:color="auto" w:fill="D6EAF8"/>
            <w:tcMar>
              <w:top w:w="80" w:type="dxa"/>
              <w:left w:w="140" w:type="dxa"/>
              <w:bottom w:w="80" w:type="dxa"/>
              <w:right w:w="140" w:type="dxa"/>
            </w:tcMar>
          </w:tcPr>
          <w:p w14:paraId="5694AFDF" w14:textId="77777777" w:rsidR="000E30AB" w:rsidRDefault="00000000">
            <w:r>
              <w:rPr>
                <w:rFonts w:ascii="Arial" w:eastAsia="Arial" w:hAnsi="Arial" w:cs="Arial"/>
                <w:b/>
                <w:bCs/>
                <w:color w:val="1E3A5F"/>
              </w:rPr>
              <w:t>CAMPAIGN EFFICIENCY</w:t>
            </w:r>
          </w:p>
        </w:tc>
      </w:tr>
      <w:tr w:rsidR="000E30AB" w14:paraId="4D6E3246"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E48E6BA" w14:textId="77777777" w:rsidR="000E30AB" w:rsidRDefault="00000000">
            <w:r>
              <w:rPr>
                <w:rFonts w:ascii="Arial" w:eastAsia="Arial" w:hAnsi="Arial" w:cs="Arial"/>
                <w:b/>
                <w:bCs/>
                <w:color w:val="2D2D2D"/>
                <w:sz w:val="19"/>
                <w:szCs w:val="19"/>
              </w:rPr>
              <w:t>Total Clicks (Q3)</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DC8277E" w14:textId="77777777" w:rsidR="000E30AB" w:rsidRDefault="00000000">
            <w:pPr>
              <w:jc w:val="center"/>
            </w:pPr>
            <w:r>
              <w:rPr>
                <w:rFonts w:ascii="Arial" w:eastAsia="Arial" w:hAnsi="Arial" w:cs="Arial"/>
                <w:color w:val="2D2D2D"/>
                <w:sz w:val="19"/>
                <w:szCs w:val="19"/>
              </w:rPr>
              <w:t>1,980,000</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29FCFE9" w14:textId="77777777" w:rsidR="000E30AB" w:rsidRDefault="00000000">
            <w:pPr>
              <w:jc w:val="center"/>
            </w:pPr>
            <w:r>
              <w:rPr>
                <w:rFonts w:ascii="Arial" w:eastAsia="Arial" w:hAnsi="Arial" w:cs="Arial"/>
                <w:b/>
                <w:bCs/>
                <w:color w:val="1A6B3C"/>
                <w:sz w:val="19"/>
                <w:szCs w:val="19"/>
              </w:rPr>
              <w:t>2,246,443</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7F7EDE5" w14:textId="77777777" w:rsidR="000E30AB" w:rsidRDefault="00000000">
            <w:pPr>
              <w:jc w:val="center"/>
            </w:pPr>
            <w:r>
              <w:rPr>
                <w:rFonts w:ascii="Arial" w:eastAsia="Arial" w:hAnsi="Arial" w:cs="Arial"/>
                <w:color w:val="2D2D2D"/>
                <w:sz w:val="19"/>
                <w:szCs w:val="19"/>
              </w:rPr>
              <w:t>1,420,000</w:t>
            </w:r>
          </w:p>
        </w:tc>
      </w:tr>
      <w:tr w:rsidR="000E30AB" w14:paraId="452ADF96"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78B773B" w14:textId="77777777" w:rsidR="000E30AB" w:rsidRDefault="00000000">
            <w:r>
              <w:rPr>
                <w:rFonts w:ascii="Arial" w:eastAsia="Arial" w:hAnsi="Arial" w:cs="Arial"/>
                <w:b/>
                <w:bCs/>
                <w:color w:val="2D2D2D"/>
                <w:sz w:val="19"/>
                <w:szCs w:val="19"/>
              </w:rPr>
              <w:t>Total Conversions (Q3)</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C69D711" w14:textId="77777777" w:rsidR="000E30AB" w:rsidRDefault="00000000">
            <w:pPr>
              <w:jc w:val="center"/>
            </w:pPr>
            <w:r>
              <w:rPr>
                <w:rFonts w:ascii="Arial" w:eastAsia="Arial" w:hAnsi="Arial" w:cs="Arial"/>
                <w:color w:val="2D2D2D"/>
                <w:sz w:val="19"/>
                <w:szCs w:val="19"/>
              </w:rPr>
              <w:t>108,900</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36C8FB3" w14:textId="77777777" w:rsidR="000E30AB" w:rsidRDefault="00000000">
            <w:pPr>
              <w:jc w:val="center"/>
            </w:pPr>
            <w:r>
              <w:rPr>
                <w:rFonts w:ascii="Arial" w:eastAsia="Arial" w:hAnsi="Arial" w:cs="Arial"/>
                <w:b/>
                <w:bCs/>
                <w:color w:val="1A6B3C"/>
                <w:sz w:val="19"/>
                <w:szCs w:val="19"/>
              </w:rPr>
              <w:t>119,486</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56D1AEC7" w14:textId="77777777" w:rsidR="000E30AB" w:rsidRDefault="00000000">
            <w:pPr>
              <w:jc w:val="center"/>
            </w:pPr>
            <w:r>
              <w:rPr>
                <w:rFonts w:ascii="Arial" w:eastAsia="Arial" w:hAnsi="Arial" w:cs="Arial"/>
                <w:color w:val="2D2D2D"/>
                <w:sz w:val="19"/>
                <w:szCs w:val="19"/>
              </w:rPr>
              <w:t>81,040</w:t>
            </w:r>
          </w:p>
        </w:tc>
      </w:tr>
      <w:tr w:rsidR="000E30AB" w14:paraId="1BA763AA"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8D0486C" w14:textId="77777777" w:rsidR="000E30AB" w:rsidRDefault="00000000">
            <w:r>
              <w:rPr>
                <w:rFonts w:ascii="Arial" w:eastAsia="Arial" w:hAnsi="Arial" w:cs="Arial"/>
                <w:b/>
                <w:bCs/>
                <w:color w:val="2D2D2D"/>
                <w:sz w:val="19"/>
                <w:szCs w:val="19"/>
              </w:rPr>
              <w:t>Conversion Rate</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977234A" w14:textId="77777777" w:rsidR="000E30AB" w:rsidRDefault="00000000">
            <w:pPr>
              <w:jc w:val="center"/>
            </w:pPr>
            <w:r>
              <w:rPr>
                <w:rFonts w:ascii="Arial" w:eastAsia="Arial" w:hAnsi="Arial" w:cs="Arial"/>
                <w:color w:val="2D2D2D"/>
                <w:sz w:val="19"/>
                <w:szCs w:val="19"/>
              </w:rPr>
              <w:t>5.50%</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A918F5F" w14:textId="77777777" w:rsidR="000E30AB" w:rsidRDefault="00000000">
            <w:pPr>
              <w:jc w:val="center"/>
            </w:pPr>
            <w:r>
              <w:rPr>
                <w:rFonts w:ascii="Arial" w:eastAsia="Arial" w:hAnsi="Arial" w:cs="Arial"/>
                <w:b/>
                <w:bCs/>
                <w:color w:val="7D5A00"/>
                <w:sz w:val="19"/>
                <w:szCs w:val="19"/>
              </w:rPr>
              <w:t>5.32%</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D35FFE8" w14:textId="77777777" w:rsidR="000E30AB" w:rsidRDefault="00000000">
            <w:pPr>
              <w:jc w:val="center"/>
            </w:pPr>
            <w:r>
              <w:rPr>
                <w:rFonts w:ascii="Arial" w:eastAsia="Arial" w:hAnsi="Arial" w:cs="Arial"/>
                <w:color w:val="1A6B3C"/>
                <w:sz w:val="19"/>
                <w:szCs w:val="19"/>
              </w:rPr>
              <w:t>5.71%</w:t>
            </w:r>
          </w:p>
        </w:tc>
      </w:tr>
      <w:tr w:rsidR="000E30AB" w14:paraId="29CB525B"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FA73850" w14:textId="77777777" w:rsidR="000E30AB" w:rsidRDefault="00000000">
            <w:r>
              <w:rPr>
                <w:rFonts w:ascii="Arial" w:eastAsia="Arial" w:hAnsi="Arial" w:cs="Arial"/>
                <w:b/>
                <w:bCs/>
                <w:color w:val="2D2D2D"/>
                <w:sz w:val="19"/>
                <w:szCs w:val="19"/>
              </w:rPr>
              <w:t>Cost per Conversion</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D2840CF" w14:textId="77777777" w:rsidR="000E30AB" w:rsidRDefault="00000000">
            <w:pPr>
              <w:jc w:val="center"/>
            </w:pPr>
            <w:r>
              <w:rPr>
                <w:rFonts w:ascii="Arial" w:eastAsia="Arial" w:hAnsi="Arial" w:cs="Arial"/>
                <w:color w:val="2D2D2D"/>
                <w:sz w:val="19"/>
                <w:szCs w:val="19"/>
              </w:rPr>
              <w:t>$8.54</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C4B26D5" w14:textId="77777777" w:rsidR="000E30AB" w:rsidRDefault="00000000">
            <w:pPr>
              <w:jc w:val="center"/>
            </w:pPr>
            <w:r>
              <w:rPr>
                <w:rFonts w:ascii="Arial" w:eastAsia="Arial" w:hAnsi="Arial" w:cs="Arial"/>
                <w:b/>
                <w:bCs/>
                <w:color w:val="1A6B3C"/>
                <w:sz w:val="19"/>
                <w:szCs w:val="19"/>
              </w:rPr>
              <w:t>$5.97</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A1D86DC" w14:textId="77777777" w:rsidR="000E30AB" w:rsidRDefault="00000000">
            <w:pPr>
              <w:jc w:val="center"/>
            </w:pPr>
            <w:r>
              <w:rPr>
                <w:rFonts w:ascii="Arial" w:eastAsia="Arial" w:hAnsi="Arial" w:cs="Arial"/>
                <w:color w:val="2D2D2D"/>
                <w:sz w:val="19"/>
                <w:szCs w:val="19"/>
              </w:rPr>
              <w:t>$7.63</w:t>
            </w:r>
          </w:p>
        </w:tc>
      </w:tr>
      <w:tr w:rsidR="000E30AB" w14:paraId="665558FD"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8233BE1" w14:textId="77777777" w:rsidR="000E30AB" w:rsidRDefault="00000000">
            <w:r>
              <w:rPr>
                <w:rFonts w:ascii="Arial" w:eastAsia="Arial" w:hAnsi="Arial" w:cs="Arial"/>
                <w:b/>
                <w:bCs/>
                <w:color w:val="2D2D2D"/>
                <w:sz w:val="19"/>
                <w:szCs w:val="19"/>
              </w:rPr>
              <w:t>Top Campaign ROI</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ABD2A3C" w14:textId="77777777" w:rsidR="000E30AB" w:rsidRDefault="00000000">
            <w:pPr>
              <w:jc w:val="center"/>
            </w:pPr>
            <w:r>
              <w:rPr>
                <w:rFonts w:ascii="Arial" w:eastAsia="Arial" w:hAnsi="Arial" w:cs="Arial"/>
                <w:color w:val="7D5A00"/>
                <w:sz w:val="19"/>
                <w:szCs w:val="19"/>
              </w:rPr>
              <w:t>~260%</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60A379B" w14:textId="77777777" w:rsidR="000E30AB" w:rsidRDefault="00000000">
            <w:pPr>
              <w:jc w:val="center"/>
            </w:pPr>
            <w:r>
              <w:rPr>
                <w:rFonts w:ascii="Arial" w:eastAsia="Arial" w:hAnsi="Arial" w:cs="Arial"/>
                <w:b/>
                <w:bCs/>
                <w:color w:val="2E86AB"/>
                <w:sz w:val="19"/>
                <w:szCs w:val="19"/>
              </w:rPr>
              <w:t>254.3% (Holiday Promo)</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104203C" w14:textId="77777777" w:rsidR="000E30AB" w:rsidRDefault="00000000">
            <w:pPr>
              <w:jc w:val="center"/>
            </w:pPr>
            <w:r>
              <w:rPr>
                <w:rFonts w:ascii="Arial" w:eastAsia="Arial" w:hAnsi="Arial" w:cs="Arial"/>
                <w:color w:val="2D2D2D"/>
                <w:sz w:val="19"/>
                <w:szCs w:val="19"/>
              </w:rPr>
              <w:t>~220%</w:t>
            </w:r>
          </w:p>
        </w:tc>
      </w:tr>
      <w:tr w:rsidR="000E30AB" w14:paraId="0B60A594" w14:textId="77777777">
        <w:tblPrEx>
          <w:tblCellMar>
            <w:top w:w="0" w:type="dxa"/>
            <w:bottom w:w="0" w:type="dxa"/>
          </w:tblCellMar>
        </w:tblPrEx>
        <w:tc>
          <w:tcPr>
            <w:tcW w:w="0" w:type="auto"/>
            <w:gridSpan w:val="4"/>
            <w:tcBorders>
              <w:top w:val="single" w:sz="4" w:space="0" w:color="C5D8E8"/>
              <w:left w:val="single" w:sz="4" w:space="0" w:color="C5D8E8"/>
              <w:bottom w:val="single" w:sz="4" w:space="0" w:color="C5D8E8"/>
              <w:right w:val="single" w:sz="4" w:space="0" w:color="C5D8E8"/>
            </w:tcBorders>
            <w:shd w:val="clear" w:color="auto" w:fill="D6EAF8"/>
            <w:tcMar>
              <w:top w:w="80" w:type="dxa"/>
              <w:left w:w="140" w:type="dxa"/>
              <w:bottom w:w="80" w:type="dxa"/>
              <w:right w:w="140" w:type="dxa"/>
            </w:tcMar>
          </w:tcPr>
          <w:p w14:paraId="7343CEC7" w14:textId="77777777" w:rsidR="000E30AB" w:rsidRDefault="00000000">
            <w:r>
              <w:rPr>
                <w:rFonts w:ascii="Arial" w:eastAsia="Arial" w:hAnsi="Arial" w:cs="Arial"/>
                <w:b/>
                <w:bCs/>
                <w:color w:val="1E3A5F"/>
              </w:rPr>
              <w:t>CHANNEL MIX &amp; REACH</w:t>
            </w:r>
          </w:p>
        </w:tc>
      </w:tr>
      <w:tr w:rsidR="000E30AB" w14:paraId="1F53053B"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5BCC6DB" w14:textId="77777777" w:rsidR="000E30AB" w:rsidRDefault="00000000">
            <w:r>
              <w:rPr>
                <w:rFonts w:ascii="Arial" w:eastAsia="Arial" w:hAnsi="Arial" w:cs="Arial"/>
                <w:b/>
                <w:bCs/>
                <w:color w:val="2D2D2D"/>
                <w:sz w:val="19"/>
                <w:szCs w:val="19"/>
              </w:rPr>
              <w:t>Channels Active</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62579DB" w14:textId="77777777" w:rsidR="000E30AB" w:rsidRDefault="00000000">
            <w:pPr>
              <w:jc w:val="center"/>
            </w:pPr>
            <w:r>
              <w:rPr>
                <w:rFonts w:ascii="Arial" w:eastAsia="Arial" w:hAnsi="Arial" w:cs="Arial"/>
                <w:color w:val="2D2D2D"/>
                <w:sz w:val="19"/>
                <w:szCs w:val="19"/>
              </w:rPr>
              <w:t>6</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6C0862C" w14:textId="77777777" w:rsidR="000E30AB" w:rsidRDefault="00000000">
            <w:pPr>
              <w:jc w:val="center"/>
            </w:pPr>
            <w:r>
              <w:rPr>
                <w:rFonts w:ascii="Arial" w:eastAsia="Arial" w:hAnsi="Arial" w:cs="Arial"/>
                <w:b/>
                <w:bCs/>
                <w:color w:val="2E86AB"/>
                <w:sz w:val="19"/>
                <w:szCs w:val="19"/>
              </w:rPr>
              <w:t>5</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2E827FF" w14:textId="77777777" w:rsidR="000E30AB" w:rsidRDefault="00000000">
            <w:pPr>
              <w:jc w:val="center"/>
            </w:pPr>
            <w:r>
              <w:rPr>
                <w:rFonts w:ascii="Arial" w:eastAsia="Arial" w:hAnsi="Arial" w:cs="Arial"/>
                <w:color w:val="2D2D2D"/>
                <w:sz w:val="19"/>
                <w:szCs w:val="19"/>
              </w:rPr>
              <w:t>4</w:t>
            </w:r>
          </w:p>
        </w:tc>
      </w:tr>
      <w:tr w:rsidR="000E30AB" w14:paraId="175292F0"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EFC66A0" w14:textId="77777777" w:rsidR="000E30AB" w:rsidRDefault="00000000">
            <w:r>
              <w:rPr>
                <w:rFonts w:ascii="Arial" w:eastAsia="Arial" w:hAnsi="Arial" w:cs="Arial"/>
                <w:b/>
                <w:bCs/>
                <w:color w:val="2D2D2D"/>
                <w:sz w:val="19"/>
                <w:szCs w:val="19"/>
              </w:rPr>
              <w:t>Top Channel</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3F9EFD3" w14:textId="77777777" w:rsidR="000E30AB" w:rsidRDefault="00000000">
            <w:pPr>
              <w:jc w:val="center"/>
            </w:pPr>
            <w:r>
              <w:rPr>
                <w:rFonts w:ascii="Arial" w:eastAsia="Arial" w:hAnsi="Arial" w:cs="Arial"/>
                <w:color w:val="2D2D2D"/>
                <w:sz w:val="19"/>
                <w:szCs w:val="19"/>
              </w:rPr>
              <w:t>Google Ads</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6725A7A" w14:textId="77777777" w:rsidR="000E30AB" w:rsidRDefault="00000000">
            <w:pPr>
              <w:jc w:val="center"/>
            </w:pPr>
            <w:r>
              <w:rPr>
                <w:rFonts w:ascii="Arial" w:eastAsia="Arial" w:hAnsi="Arial" w:cs="Arial"/>
                <w:b/>
                <w:bCs/>
                <w:color w:val="1A6B3C"/>
                <w:sz w:val="19"/>
                <w:szCs w:val="19"/>
              </w:rPr>
              <w:t>TikTok Ads (259.6%)</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C05D894" w14:textId="77777777" w:rsidR="000E30AB" w:rsidRDefault="00000000">
            <w:pPr>
              <w:jc w:val="center"/>
            </w:pPr>
            <w:r>
              <w:rPr>
                <w:rFonts w:ascii="Arial" w:eastAsia="Arial" w:hAnsi="Arial" w:cs="Arial"/>
                <w:color w:val="2D2D2D"/>
                <w:sz w:val="19"/>
                <w:szCs w:val="19"/>
              </w:rPr>
              <w:t>Meta Ads</w:t>
            </w:r>
          </w:p>
        </w:tc>
      </w:tr>
      <w:tr w:rsidR="000E30AB" w14:paraId="17E1191C"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5DBCD9D" w14:textId="77777777" w:rsidR="000E30AB" w:rsidRDefault="00000000">
            <w:r>
              <w:rPr>
                <w:rFonts w:ascii="Arial" w:eastAsia="Arial" w:hAnsi="Arial" w:cs="Arial"/>
                <w:b/>
                <w:bCs/>
                <w:color w:val="2D2D2D"/>
                <w:sz w:val="19"/>
                <w:szCs w:val="19"/>
              </w:rPr>
              <w:t>Social Media Presence</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C6BE45D" w14:textId="77777777" w:rsidR="000E30AB" w:rsidRDefault="00000000">
            <w:pPr>
              <w:jc w:val="center"/>
            </w:pPr>
            <w:r>
              <w:rPr>
                <w:rFonts w:ascii="Arial" w:eastAsia="Arial" w:hAnsi="Arial" w:cs="Arial"/>
                <w:color w:val="2D2D2D"/>
                <w:sz w:val="19"/>
                <w:szCs w:val="19"/>
              </w:rPr>
              <w:t>Strong</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224A5F2" w14:textId="77777777" w:rsidR="000E30AB" w:rsidRDefault="00000000">
            <w:pPr>
              <w:jc w:val="center"/>
            </w:pPr>
            <w:r>
              <w:rPr>
                <w:rFonts w:ascii="Arial" w:eastAsia="Arial" w:hAnsi="Arial" w:cs="Arial"/>
                <w:b/>
                <w:bCs/>
                <w:color w:val="2E86AB"/>
                <w:sz w:val="19"/>
                <w:szCs w:val="19"/>
              </w:rPr>
              <w:t>Strong (TikTok-led)</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2FEE697" w14:textId="77777777" w:rsidR="000E30AB" w:rsidRDefault="00000000">
            <w:pPr>
              <w:jc w:val="center"/>
            </w:pPr>
            <w:r>
              <w:rPr>
                <w:rFonts w:ascii="Arial" w:eastAsia="Arial" w:hAnsi="Arial" w:cs="Arial"/>
                <w:color w:val="2D2D2D"/>
                <w:sz w:val="19"/>
                <w:szCs w:val="19"/>
              </w:rPr>
              <w:t>Moderate</w:t>
            </w:r>
          </w:p>
        </w:tc>
      </w:tr>
      <w:tr w:rsidR="000E30AB" w14:paraId="386D3C96"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18D0105" w14:textId="77777777" w:rsidR="000E30AB" w:rsidRDefault="00000000">
            <w:r>
              <w:rPr>
                <w:rFonts w:ascii="Arial" w:eastAsia="Arial" w:hAnsi="Arial" w:cs="Arial"/>
                <w:b/>
                <w:bCs/>
                <w:color w:val="2D2D2D"/>
                <w:sz w:val="19"/>
                <w:szCs w:val="19"/>
              </w:rPr>
              <w:lastRenderedPageBreak/>
              <w:t>Email Marketing Utilisation</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096CD8FD" w14:textId="77777777" w:rsidR="000E30AB" w:rsidRDefault="00000000">
            <w:pPr>
              <w:jc w:val="center"/>
            </w:pPr>
            <w:r>
              <w:rPr>
                <w:rFonts w:ascii="Arial" w:eastAsia="Arial" w:hAnsi="Arial" w:cs="Arial"/>
                <w:color w:val="2D2D2D"/>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FCD0FEB" w14:textId="77777777" w:rsidR="000E30AB" w:rsidRDefault="00000000">
            <w:pPr>
              <w:jc w:val="center"/>
            </w:pPr>
            <w:r>
              <w:rPr>
                <w:rFonts w:ascii="Arial" w:eastAsia="Arial" w:hAnsi="Arial" w:cs="Arial"/>
                <w:b/>
                <w:bCs/>
                <w:color w:val="2E86AB"/>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8E87213" w14:textId="77777777" w:rsidR="000E30AB" w:rsidRDefault="00000000">
            <w:pPr>
              <w:jc w:val="center"/>
            </w:pPr>
            <w:r>
              <w:rPr>
                <w:rFonts w:ascii="Arial" w:eastAsia="Arial" w:hAnsi="Arial" w:cs="Arial"/>
                <w:color w:val="2D2D2D"/>
                <w:sz w:val="19"/>
                <w:szCs w:val="19"/>
              </w:rPr>
              <w:t>Low</w:t>
            </w:r>
          </w:p>
        </w:tc>
      </w:tr>
      <w:tr w:rsidR="000E30AB" w14:paraId="34670C03"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1BA1FBB" w14:textId="77777777" w:rsidR="000E30AB" w:rsidRDefault="00000000">
            <w:r>
              <w:rPr>
                <w:rFonts w:ascii="Arial" w:eastAsia="Arial" w:hAnsi="Arial" w:cs="Arial"/>
                <w:b/>
                <w:bCs/>
                <w:color w:val="2D2D2D"/>
                <w:sz w:val="19"/>
                <w:szCs w:val="19"/>
              </w:rPr>
              <w:t>Multi-channel Consistency</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C602F95" w14:textId="77777777" w:rsidR="000E30AB" w:rsidRDefault="00000000">
            <w:pPr>
              <w:jc w:val="center"/>
            </w:pPr>
            <w:r>
              <w:rPr>
                <w:rFonts w:ascii="Arial" w:eastAsia="Arial" w:hAnsi="Arial" w:cs="Arial"/>
                <w:color w:val="2D2D2D"/>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410E617D" w14:textId="77777777" w:rsidR="000E30AB" w:rsidRDefault="00000000">
            <w:pPr>
              <w:jc w:val="center"/>
            </w:pPr>
            <w:r>
              <w:rPr>
                <w:rFonts w:ascii="Arial" w:eastAsia="Arial" w:hAnsi="Arial" w:cs="Arial"/>
                <w:b/>
                <w:bCs/>
                <w:color w:val="1A6B3C"/>
                <w:sz w:val="19"/>
                <w:szCs w:val="19"/>
              </w:rPr>
              <w:t>High (all 5 &gt;220% ROI)</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FBEC3B6" w14:textId="77777777" w:rsidR="000E30AB" w:rsidRDefault="00000000">
            <w:pPr>
              <w:jc w:val="center"/>
            </w:pPr>
            <w:r>
              <w:rPr>
                <w:rFonts w:ascii="Arial" w:eastAsia="Arial" w:hAnsi="Arial" w:cs="Arial"/>
                <w:color w:val="2D2D2D"/>
                <w:sz w:val="19"/>
                <w:szCs w:val="19"/>
              </w:rPr>
              <w:t>Moderate</w:t>
            </w:r>
          </w:p>
        </w:tc>
      </w:tr>
      <w:tr w:rsidR="000E30AB" w14:paraId="14148F84" w14:textId="77777777">
        <w:tblPrEx>
          <w:tblCellMar>
            <w:top w:w="0" w:type="dxa"/>
            <w:bottom w:w="0" w:type="dxa"/>
          </w:tblCellMar>
        </w:tblPrEx>
        <w:tc>
          <w:tcPr>
            <w:tcW w:w="0" w:type="auto"/>
            <w:gridSpan w:val="4"/>
            <w:tcBorders>
              <w:top w:val="single" w:sz="4" w:space="0" w:color="C5D8E8"/>
              <w:left w:val="single" w:sz="4" w:space="0" w:color="C5D8E8"/>
              <w:bottom w:val="single" w:sz="4" w:space="0" w:color="C5D8E8"/>
              <w:right w:val="single" w:sz="4" w:space="0" w:color="C5D8E8"/>
            </w:tcBorders>
            <w:shd w:val="clear" w:color="auto" w:fill="D6EAF8"/>
            <w:tcMar>
              <w:top w:w="80" w:type="dxa"/>
              <w:left w:w="140" w:type="dxa"/>
              <w:bottom w:w="80" w:type="dxa"/>
              <w:right w:w="140" w:type="dxa"/>
            </w:tcMar>
          </w:tcPr>
          <w:p w14:paraId="7044A255" w14:textId="77777777" w:rsidR="000E30AB" w:rsidRDefault="00000000">
            <w:r>
              <w:rPr>
                <w:rFonts w:ascii="Arial" w:eastAsia="Arial" w:hAnsi="Arial" w:cs="Arial"/>
                <w:b/>
                <w:bCs/>
                <w:color w:val="1E3A5F"/>
              </w:rPr>
              <w:t>STRATEGIC POSITIONING</w:t>
            </w:r>
          </w:p>
        </w:tc>
      </w:tr>
      <w:tr w:rsidR="000E30AB" w14:paraId="721E3C48"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3D27F82" w14:textId="77777777" w:rsidR="000E30AB" w:rsidRDefault="00000000">
            <w:r>
              <w:rPr>
                <w:rFonts w:ascii="Arial" w:eastAsia="Arial" w:hAnsi="Arial" w:cs="Arial"/>
                <w:b/>
                <w:bCs/>
                <w:color w:val="2D2D2D"/>
                <w:sz w:val="19"/>
                <w:szCs w:val="19"/>
              </w:rPr>
              <w:t>Data-Driven Reporting</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D72A625" w14:textId="77777777" w:rsidR="000E30AB" w:rsidRDefault="00000000">
            <w:pPr>
              <w:jc w:val="center"/>
            </w:pPr>
            <w:r>
              <w:rPr>
                <w:rFonts w:ascii="Arial" w:eastAsia="Arial" w:hAnsi="Arial" w:cs="Arial"/>
                <w:color w:val="2D2D2D"/>
                <w:sz w:val="19"/>
                <w:szCs w:val="19"/>
              </w:rPr>
              <w:t>Yes (partial)</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25CC676" w14:textId="77777777" w:rsidR="000E30AB" w:rsidRDefault="00000000">
            <w:pPr>
              <w:jc w:val="center"/>
            </w:pPr>
            <w:r>
              <w:rPr>
                <w:rFonts w:ascii="Arial" w:eastAsia="Arial" w:hAnsi="Arial" w:cs="Arial"/>
                <w:b/>
                <w:bCs/>
                <w:color w:val="1A6B3C"/>
                <w:sz w:val="19"/>
                <w:szCs w:val="19"/>
              </w:rPr>
              <w:t>Yes (full Power BI)</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1C3681CC" w14:textId="77777777" w:rsidR="000E30AB" w:rsidRDefault="00000000">
            <w:pPr>
              <w:jc w:val="center"/>
            </w:pPr>
            <w:r>
              <w:rPr>
                <w:rFonts w:ascii="Arial" w:eastAsia="Arial" w:hAnsi="Arial" w:cs="Arial"/>
                <w:color w:val="2D2D2D"/>
                <w:sz w:val="19"/>
                <w:szCs w:val="19"/>
              </w:rPr>
              <w:t>No (manual)</w:t>
            </w:r>
          </w:p>
        </w:tc>
      </w:tr>
      <w:tr w:rsidR="000E30AB" w14:paraId="40EC16FC"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CFB99CF" w14:textId="77777777" w:rsidR="000E30AB" w:rsidRDefault="00000000">
            <w:r>
              <w:rPr>
                <w:rFonts w:ascii="Arial" w:eastAsia="Arial" w:hAnsi="Arial" w:cs="Arial"/>
                <w:b/>
                <w:bCs/>
                <w:color w:val="2D2D2D"/>
                <w:sz w:val="19"/>
                <w:szCs w:val="19"/>
              </w:rPr>
              <w:t>Spend Efficiency</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2B485339" w14:textId="77777777" w:rsidR="000E30AB" w:rsidRDefault="00000000">
            <w:pPr>
              <w:jc w:val="center"/>
            </w:pPr>
            <w:r>
              <w:rPr>
                <w:rFonts w:ascii="Arial" w:eastAsia="Arial" w:hAnsi="Arial" w:cs="Arial"/>
                <w:color w:val="2D2D2D"/>
                <w:sz w:val="19"/>
                <w:szCs w:val="19"/>
              </w:rPr>
              <w:t>Moderate</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10AD6DF4" w14:textId="77777777" w:rsidR="000E30AB" w:rsidRDefault="00000000">
            <w:pPr>
              <w:jc w:val="center"/>
            </w:pPr>
            <w:r>
              <w:rPr>
                <w:rFonts w:ascii="Arial" w:eastAsia="Arial" w:hAnsi="Arial" w:cs="Arial"/>
                <w:b/>
                <w:bCs/>
                <w:color w:val="1A6B3C"/>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685FDE9D" w14:textId="77777777" w:rsidR="000E30AB" w:rsidRDefault="00000000">
            <w:pPr>
              <w:jc w:val="center"/>
            </w:pPr>
            <w:r>
              <w:rPr>
                <w:rFonts w:ascii="Arial" w:eastAsia="Arial" w:hAnsi="Arial" w:cs="Arial"/>
                <w:color w:val="2D2D2D"/>
                <w:sz w:val="19"/>
                <w:szCs w:val="19"/>
              </w:rPr>
              <w:t>Moderate</w:t>
            </w:r>
          </w:p>
        </w:tc>
      </w:tr>
      <w:tr w:rsidR="000E30AB" w14:paraId="270D036B"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3C3A953E" w14:textId="77777777" w:rsidR="000E30AB" w:rsidRDefault="00000000">
            <w:r>
              <w:rPr>
                <w:rFonts w:ascii="Arial" w:eastAsia="Arial" w:hAnsi="Arial" w:cs="Arial"/>
                <w:b/>
                <w:bCs/>
                <w:color w:val="2D2D2D"/>
                <w:sz w:val="19"/>
                <w:szCs w:val="19"/>
              </w:rPr>
              <w:t>Scalability Readiness</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E7C413E" w14:textId="77777777" w:rsidR="000E30AB" w:rsidRDefault="00000000">
            <w:pPr>
              <w:jc w:val="center"/>
            </w:pPr>
            <w:r>
              <w:rPr>
                <w:rFonts w:ascii="Arial" w:eastAsia="Arial" w:hAnsi="Arial" w:cs="Arial"/>
                <w:color w:val="2D2D2D"/>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6FDFB991" w14:textId="77777777" w:rsidR="000E30AB" w:rsidRDefault="00000000">
            <w:pPr>
              <w:jc w:val="center"/>
            </w:pPr>
            <w:r>
              <w:rPr>
                <w:rFonts w:ascii="Arial" w:eastAsia="Arial" w:hAnsi="Arial" w:cs="Arial"/>
                <w:b/>
                <w:bCs/>
                <w:color w:val="2E86AB"/>
                <w:sz w:val="19"/>
                <w:szCs w:val="19"/>
              </w:rPr>
              <w:t>Medium–High</w:t>
            </w:r>
          </w:p>
        </w:tc>
        <w:tc>
          <w:tcPr>
            <w:tcW w:w="232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4DEEBE7" w14:textId="77777777" w:rsidR="000E30AB" w:rsidRDefault="00000000">
            <w:pPr>
              <w:jc w:val="center"/>
            </w:pPr>
            <w:r>
              <w:rPr>
                <w:rFonts w:ascii="Arial" w:eastAsia="Arial" w:hAnsi="Arial" w:cs="Arial"/>
                <w:color w:val="2D2D2D"/>
                <w:sz w:val="19"/>
                <w:szCs w:val="19"/>
              </w:rPr>
              <w:t>Low</w:t>
            </w:r>
          </w:p>
        </w:tc>
      </w:tr>
      <w:tr w:rsidR="000E30AB" w14:paraId="4085DA37"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948D525" w14:textId="77777777" w:rsidR="000E30AB" w:rsidRDefault="00000000">
            <w:r>
              <w:rPr>
                <w:rFonts w:ascii="Arial" w:eastAsia="Arial" w:hAnsi="Arial" w:cs="Arial"/>
                <w:b/>
                <w:bCs/>
                <w:color w:val="2D2D2D"/>
                <w:sz w:val="19"/>
                <w:szCs w:val="19"/>
              </w:rPr>
              <w:t>Client Transparency</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3A25CBE7" w14:textId="77777777" w:rsidR="000E30AB" w:rsidRDefault="00000000">
            <w:pPr>
              <w:jc w:val="center"/>
            </w:pPr>
            <w:r>
              <w:rPr>
                <w:rFonts w:ascii="Arial" w:eastAsia="Arial" w:hAnsi="Arial" w:cs="Arial"/>
                <w:color w:val="2D2D2D"/>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570C2021" w14:textId="77777777" w:rsidR="000E30AB" w:rsidRDefault="00000000">
            <w:pPr>
              <w:jc w:val="center"/>
            </w:pPr>
            <w:r>
              <w:rPr>
                <w:rFonts w:ascii="Arial" w:eastAsia="Arial" w:hAnsi="Arial" w:cs="Arial"/>
                <w:b/>
                <w:bCs/>
                <w:color w:val="2E86AB"/>
                <w:sz w:val="19"/>
                <w:szCs w:val="19"/>
              </w:rPr>
              <w:t>High</w:t>
            </w:r>
          </w:p>
        </w:tc>
        <w:tc>
          <w:tcPr>
            <w:tcW w:w="232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07396935" w14:textId="77777777" w:rsidR="000E30AB" w:rsidRDefault="00000000">
            <w:pPr>
              <w:jc w:val="center"/>
            </w:pPr>
            <w:r>
              <w:rPr>
                <w:rFonts w:ascii="Arial" w:eastAsia="Arial" w:hAnsi="Arial" w:cs="Arial"/>
                <w:color w:val="2D2D2D"/>
                <w:sz w:val="19"/>
                <w:szCs w:val="19"/>
              </w:rPr>
              <w:t>Low</w:t>
            </w:r>
          </w:p>
        </w:tc>
      </w:tr>
      <w:tr w:rsidR="000E30AB" w14:paraId="32D6FFA5" w14:textId="77777777">
        <w:tblPrEx>
          <w:tblCellMar>
            <w:top w:w="0" w:type="dxa"/>
            <w:bottom w:w="0" w:type="dxa"/>
          </w:tblCellMar>
        </w:tblPrEx>
        <w:tc>
          <w:tcPr>
            <w:tcW w:w="0" w:type="auto"/>
            <w:gridSpan w:val="4"/>
            <w:tcBorders>
              <w:top w:val="single" w:sz="4" w:space="0" w:color="C5D8E8"/>
              <w:left w:val="single" w:sz="4" w:space="0" w:color="C5D8E8"/>
              <w:bottom w:val="single" w:sz="4" w:space="0" w:color="C5D8E8"/>
              <w:right w:val="single" w:sz="4" w:space="0" w:color="C5D8E8"/>
            </w:tcBorders>
            <w:shd w:val="clear" w:color="auto" w:fill="D6EAF8"/>
            <w:tcMar>
              <w:top w:w="80" w:type="dxa"/>
              <w:left w:w="140" w:type="dxa"/>
              <w:bottom w:w="80" w:type="dxa"/>
              <w:right w:w="140" w:type="dxa"/>
            </w:tcMar>
          </w:tcPr>
          <w:p w14:paraId="6A114027" w14:textId="77777777" w:rsidR="000E30AB" w:rsidRDefault="00000000">
            <w:r>
              <w:rPr>
                <w:rFonts w:ascii="Arial" w:eastAsia="Arial" w:hAnsi="Arial" w:cs="Arial"/>
                <w:b/>
                <w:bCs/>
                <w:color w:val="1E3A5F"/>
              </w:rPr>
              <w:t>OVERALL RANKING</w:t>
            </w:r>
          </w:p>
        </w:tc>
      </w:tr>
      <w:tr w:rsidR="000E30AB" w14:paraId="2E6C5397" w14:textId="77777777">
        <w:tblPrEx>
          <w:tblCellMar>
            <w:top w:w="0" w:type="dxa"/>
            <w:bottom w:w="0" w:type="dxa"/>
          </w:tblCellMar>
        </w:tblPrEx>
        <w:tc>
          <w:tcPr>
            <w:tcW w:w="2400" w:type="dxa"/>
            <w:tcBorders>
              <w:top w:val="single" w:sz="4" w:space="0" w:color="C5D8E8"/>
              <w:left w:val="single" w:sz="4" w:space="0" w:color="C5D8E8"/>
              <w:bottom w:val="single" w:sz="4" w:space="0" w:color="C5D8E8"/>
              <w:right w:val="single" w:sz="4" w:space="0" w:color="C5D8E8"/>
            </w:tcBorders>
            <w:shd w:val="clear" w:color="auto" w:fill="EBF4FA"/>
            <w:tcMar>
              <w:top w:w="100" w:type="dxa"/>
              <w:left w:w="140" w:type="dxa"/>
              <w:bottom w:w="100" w:type="dxa"/>
              <w:right w:w="140" w:type="dxa"/>
            </w:tcMar>
          </w:tcPr>
          <w:p w14:paraId="7D1A30DC" w14:textId="77777777" w:rsidR="000E30AB" w:rsidRDefault="00000000">
            <w:r>
              <w:rPr>
                <w:rFonts w:ascii="Arial" w:eastAsia="Arial" w:hAnsi="Arial" w:cs="Arial"/>
                <w:b/>
                <w:bCs/>
                <w:color w:val="2D2D2D"/>
                <w:sz w:val="19"/>
                <w:szCs w:val="19"/>
              </w:rPr>
              <w:t>Overall Rank</w:t>
            </w:r>
          </w:p>
        </w:tc>
        <w:tc>
          <w:tcPr>
            <w:tcW w:w="12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70D1528B" w14:textId="77777777" w:rsidR="000E30AB" w:rsidRDefault="00000000">
            <w:pPr>
              <w:jc w:val="center"/>
            </w:pPr>
            <w:r>
              <w:rPr>
                <w:rFonts w:ascii="Arial" w:eastAsia="Arial" w:hAnsi="Arial" w:cs="Arial"/>
                <w:b/>
                <w:bCs/>
                <w:color w:val="8B1A1A"/>
              </w:rPr>
              <w:t>#1 — Revenue Leader</w:t>
            </w:r>
          </w:p>
        </w:tc>
        <w:tc>
          <w:tcPr>
            <w:tcW w:w="12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29588A9F" w14:textId="77777777" w:rsidR="000E30AB" w:rsidRDefault="00000000">
            <w:pPr>
              <w:jc w:val="center"/>
            </w:pPr>
            <w:r>
              <w:rPr>
                <w:rFonts w:ascii="Arial" w:eastAsia="Arial" w:hAnsi="Arial" w:cs="Arial"/>
                <w:b/>
                <w:bCs/>
                <w:color w:val="1A6B3C"/>
              </w:rPr>
              <w:t>#2 — ROI &amp; Efficiency Leader</w:t>
            </w:r>
          </w:p>
        </w:tc>
        <w:tc>
          <w:tcPr>
            <w:tcW w:w="1200" w:type="dxa"/>
            <w:tcBorders>
              <w:top w:val="single" w:sz="4" w:space="0" w:color="C5D8E8"/>
              <w:left w:val="single" w:sz="4" w:space="0" w:color="C5D8E8"/>
              <w:bottom w:val="single" w:sz="4" w:space="0" w:color="C5D8E8"/>
              <w:right w:val="single" w:sz="4" w:space="0" w:color="C5D8E8"/>
            </w:tcBorders>
            <w:shd w:val="clear" w:color="auto" w:fill="FFFFFF"/>
            <w:tcMar>
              <w:top w:w="100" w:type="dxa"/>
              <w:left w:w="140" w:type="dxa"/>
              <w:bottom w:w="100" w:type="dxa"/>
              <w:right w:w="140" w:type="dxa"/>
            </w:tcMar>
          </w:tcPr>
          <w:p w14:paraId="44CAAD6F" w14:textId="77777777" w:rsidR="000E30AB" w:rsidRDefault="00000000">
            <w:pPr>
              <w:jc w:val="center"/>
            </w:pPr>
            <w:r>
              <w:rPr>
                <w:rFonts w:ascii="Arial" w:eastAsia="Arial" w:hAnsi="Arial" w:cs="Arial"/>
                <w:b/>
                <w:bCs/>
                <w:color w:val="7D5A00"/>
              </w:rPr>
              <w:t>#3 — Emerging</w:t>
            </w:r>
          </w:p>
        </w:tc>
      </w:tr>
    </w:tbl>
    <w:p w14:paraId="0CCFA0A6" w14:textId="77777777" w:rsidR="000E30AB" w:rsidRDefault="000E30AB">
      <w:pPr>
        <w:spacing w:before="200" w:after="120"/>
      </w:pPr>
    </w:p>
    <w:p w14:paraId="1452BD26" w14:textId="77777777" w:rsidR="000E30AB" w:rsidRDefault="000E30AB">
      <w:pPr>
        <w:pBdr>
          <w:bottom w:val="single" w:sz="4" w:space="1" w:color="2E86AB"/>
        </w:pBdr>
        <w:spacing w:before="80" w:after="80"/>
      </w:pPr>
    </w:p>
    <w:p w14:paraId="452F212A" w14:textId="77777777" w:rsidR="000E30AB" w:rsidRDefault="00000000">
      <w:pPr>
        <w:spacing w:before="160" w:after="80"/>
      </w:pPr>
      <w:r>
        <w:rPr>
          <w:rFonts w:ascii="Arial" w:eastAsia="Arial" w:hAnsi="Arial" w:cs="Arial"/>
          <w:b/>
          <w:bCs/>
          <w:color w:val="1E3A5F"/>
          <w:sz w:val="22"/>
          <w:szCs w:val="22"/>
        </w:rPr>
        <w:t>KEY INSIGHTS FROM COMPETITIVE ANALYSIS</w:t>
      </w:r>
    </w:p>
    <w:p w14:paraId="3C18113D" w14:textId="0CB4D6A5" w:rsidR="000E30AB" w:rsidRDefault="00000000">
      <w:pPr>
        <w:pStyle w:val="ListParagraph"/>
        <w:numPr>
          <w:ilvl w:val="0"/>
          <w:numId w:val="2"/>
        </w:numPr>
        <w:spacing w:before="60" w:after="60"/>
      </w:pPr>
      <w:r>
        <w:rPr>
          <w:rFonts w:ascii="Arial" w:eastAsia="Arial" w:hAnsi="Arial" w:cs="Arial"/>
          <w:color w:val="2D2D2D"/>
          <w:sz w:val="21"/>
          <w:szCs w:val="21"/>
        </w:rPr>
        <w:t>Savvy</w:t>
      </w:r>
      <w:r w:rsidR="003C032A">
        <w:rPr>
          <w:rFonts w:ascii="Arial" w:eastAsia="Arial" w:hAnsi="Arial" w:cs="Arial"/>
          <w:color w:val="2D2D2D"/>
          <w:sz w:val="21"/>
          <w:szCs w:val="21"/>
        </w:rPr>
        <w:t xml:space="preserve"> Datalytics</w:t>
      </w:r>
      <w:r>
        <w:rPr>
          <w:rFonts w:ascii="Arial" w:eastAsia="Arial" w:hAnsi="Arial" w:cs="Arial"/>
          <w:color w:val="2D2D2D"/>
          <w:sz w:val="21"/>
          <w:szCs w:val="21"/>
        </w:rPr>
        <w:t xml:space="preserve"> Solutions ranks #2 overall by raw revenue but ranks #1 on ROI (239.5%) and cost efficiency ($5.97 cost per conversion) — outperforming Digital Edge Pro on what matters most: return on every dollar spent.</w:t>
      </w:r>
    </w:p>
    <w:p w14:paraId="025A27DB" w14:textId="77777777" w:rsidR="000E30AB" w:rsidRDefault="00000000">
      <w:pPr>
        <w:pStyle w:val="ListParagraph"/>
        <w:numPr>
          <w:ilvl w:val="0"/>
          <w:numId w:val="2"/>
        </w:numPr>
        <w:spacing w:before="60" w:after="60"/>
      </w:pPr>
      <w:r>
        <w:rPr>
          <w:rFonts w:ascii="Arial" w:eastAsia="Arial" w:hAnsi="Arial" w:cs="Arial"/>
          <w:color w:val="2D2D2D"/>
          <w:sz w:val="21"/>
          <w:szCs w:val="21"/>
        </w:rPr>
        <w:t>Digital Edge Pro leads on total revenue and channel breadth (6 channels) and appears to have a higher absolute spend budget — this is the primary gap to close in Q4.</w:t>
      </w:r>
    </w:p>
    <w:p w14:paraId="57B7B61A" w14:textId="77777777" w:rsidR="000E30AB" w:rsidRDefault="00000000">
      <w:pPr>
        <w:pStyle w:val="ListParagraph"/>
        <w:numPr>
          <w:ilvl w:val="0"/>
          <w:numId w:val="2"/>
        </w:numPr>
        <w:spacing w:before="60" w:after="60"/>
      </w:pPr>
      <w:r>
        <w:rPr>
          <w:rFonts w:ascii="Arial" w:eastAsia="Arial" w:hAnsi="Arial" w:cs="Arial"/>
          <w:color w:val="2D2D2D"/>
          <w:sz w:val="21"/>
          <w:szCs w:val="21"/>
        </w:rPr>
        <w:t>MediaPulse Agency trails on nearly every metric. Their lower conversion rate and absence of data-driven reporting suggest limited analytical maturity. They present a low competitive threat in the short term.</w:t>
      </w:r>
    </w:p>
    <w:p w14:paraId="3DD1F078" w14:textId="1053DA29" w:rsidR="000E30AB" w:rsidRDefault="00000000">
      <w:pPr>
        <w:pStyle w:val="ListParagraph"/>
        <w:numPr>
          <w:ilvl w:val="0"/>
          <w:numId w:val="2"/>
        </w:numPr>
        <w:spacing w:before="60" w:after="60"/>
      </w:pPr>
      <w:r>
        <w:rPr>
          <w:rFonts w:ascii="Arial" w:eastAsia="Arial" w:hAnsi="Arial" w:cs="Arial"/>
          <w:color w:val="2D2D2D"/>
          <w:sz w:val="21"/>
          <w:szCs w:val="21"/>
        </w:rPr>
        <w:t>Savvy</w:t>
      </w:r>
      <w:r w:rsidR="003C032A">
        <w:rPr>
          <w:rFonts w:ascii="Arial" w:eastAsia="Arial" w:hAnsi="Arial" w:cs="Arial"/>
          <w:color w:val="2D2D2D"/>
          <w:sz w:val="21"/>
          <w:szCs w:val="21"/>
        </w:rPr>
        <w:t xml:space="preserve"> Datalytics</w:t>
      </w:r>
      <w:r>
        <w:rPr>
          <w:rFonts w:ascii="Arial" w:eastAsia="Arial" w:hAnsi="Arial" w:cs="Arial"/>
          <w:color w:val="2D2D2D"/>
          <w:sz w:val="21"/>
          <w:szCs w:val="21"/>
        </w:rPr>
        <w:t xml:space="preserve"> Solutions is the only agency in this comparison where every active channel returned above 220% ROI — indicating a well-managed, balanced channel portfolio rather than reliance on a single strong performer.</w:t>
      </w:r>
    </w:p>
    <w:p w14:paraId="3A030116" w14:textId="27158EEA" w:rsidR="000E30AB" w:rsidRDefault="00000000">
      <w:pPr>
        <w:pStyle w:val="ListParagraph"/>
        <w:numPr>
          <w:ilvl w:val="0"/>
          <w:numId w:val="2"/>
        </w:numPr>
        <w:spacing w:before="60" w:after="60"/>
      </w:pPr>
      <w:r>
        <w:rPr>
          <w:rFonts w:ascii="Arial" w:eastAsia="Arial" w:hAnsi="Arial" w:cs="Arial"/>
          <w:color w:val="2D2D2D"/>
          <w:sz w:val="21"/>
          <w:szCs w:val="21"/>
        </w:rPr>
        <w:t>The one area where Savvy</w:t>
      </w:r>
      <w:r w:rsidR="003C032A">
        <w:rPr>
          <w:rFonts w:ascii="Arial" w:eastAsia="Arial" w:hAnsi="Arial" w:cs="Arial"/>
          <w:color w:val="2D2D2D"/>
          <w:sz w:val="21"/>
          <w:szCs w:val="21"/>
        </w:rPr>
        <w:t xml:space="preserve"> Datalytics</w:t>
      </w:r>
      <w:r>
        <w:rPr>
          <w:rFonts w:ascii="Arial" w:eastAsia="Arial" w:hAnsi="Arial" w:cs="Arial"/>
          <w:color w:val="2D2D2D"/>
          <w:sz w:val="21"/>
          <w:szCs w:val="21"/>
        </w:rPr>
        <w:t xml:space="preserve"> Solutions trails MediaPulse is raw conversion rate (5.32% vs 5.71%) — though S</w:t>
      </w:r>
      <w:r w:rsidR="003C032A">
        <w:rPr>
          <w:rFonts w:ascii="Arial" w:eastAsia="Arial" w:hAnsi="Arial" w:cs="Arial"/>
          <w:color w:val="2D2D2D"/>
          <w:sz w:val="21"/>
          <w:szCs w:val="21"/>
        </w:rPr>
        <w:t>D</w:t>
      </w:r>
      <w:r>
        <w:rPr>
          <w:rFonts w:ascii="Arial" w:eastAsia="Arial" w:hAnsi="Arial" w:cs="Arial"/>
          <w:color w:val="2D2D2D"/>
          <w:sz w:val="21"/>
          <w:szCs w:val="21"/>
        </w:rPr>
        <w:t>S converts a much higher volume at a significantly lower cost, making this a misleading metric in isolation.</w:t>
      </w:r>
    </w:p>
    <w:p w14:paraId="204D8C80" w14:textId="77777777" w:rsidR="000E30AB" w:rsidRDefault="000E30AB">
      <w:pPr>
        <w:spacing w:before="140" w:after="120"/>
      </w:pPr>
    </w:p>
    <w:p w14:paraId="5A13C65E" w14:textId="77777777" w:rsidR="000E30AB" w:rsidRDefault="00000000">
      <w:pPr>
        <w:spacing w:before="120" w:after="120"/>
      </w:pPr>
      <w:r>
        <w:rPr>
          <w:rFonts w:ascii="Arial" w:eastAsia="Arial" w:hAnsi="Arial" w:cs="Arial"/>
          <w:i/>
          <w:iCs/>
          <w:color w:val="444444"/>
          <w:sz w:val="21"/>
          <w:szCs w:val="21"/>
        </w:rPr>
        <w:t>Strategic Recommendation: Prioritise budget scaling in TikTok Ads and LinkedIn Ads (highest ROI channels), and consider adding a 6th channel to close the reach gap with Digital Edge Pro. Internally, continue leveraging Power BI reporting as a client-facing differentiator — none of the benchmarked competitors match this capability.</w:t>
      </w:r>
    </w:p>
    <w:p w14:paraId="43ADE302" w14:textId="77777777" w:rsidR="000E30AB" w:rsidRDefault="000E30AB">
      <w:pPr>
        <w:pBdr>
          <w:bottom w:val="single" w:sz="4" w:space="1" w:color="2E86AB"/>
        </w:pBdr>
        <w:spacing w:before="80" w:after="80"/>
      </w:pPr>
    </w:p>
    <w:p w14:paraId="00EA9BEC" w14:textId="77777777" w:rsidR="000E30AB" w:rsidRDefault="00000000">
      <w:pPr>
        <w:spacing w:before="80" w:after="120"/>
        <w:jc w:val="center"/>
      </w:pPr>
      <w:r>
        <w:rPr>
          <w:rFonts w:ascii="Arial" w:eastAsia="Arial" w:hAnsi="Arial" w:cs="Arial"/>
          <w:i/>
          <w:iCs/>
          <w:color w:val="888888"/>
          <w:sz w:val="16"/>
          <w:szCs w:val="16"/>
        </w:rPr>
        <w:t>Prepared by Augustine Jasmine Oyindeinyefa  |  Data Analyst &amp; Business Intelligence Specialist  |  Savvy Datalytics Solutions</w:t>
      </w:r>
    </w:p>
    <w:sectPr w:rsidR="000E30AB">
      <w:pgSz w:w="15840" w:h="122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514AE"/>
    <w:multiLevelType w:val="hybridMultilevel"/>
    <w:tmpl w:val="505C7096"/>
    <w:lvl w:ilvl="0" w:tplc="82AC9CA4">
      <w:start w:val="1"/>
      <w:numFmt w:val="bullet"/>
      <w:lvlText w:val="●"/>
      <w:lvlJc w:val="left"/>
      <w:pPr>
        <w:ind w:left="720" w:hanging="360"/>
      </w:pPr>
    </w:lvl>
    <w:lvl w:ilvl="1" w:tplc="E11C99D2">
      <w:start w:val="1"/>
      <w:numFmt w:val="bullet"/>
      <w:lvlText w:val="○"/>
      <w:lvlJc w:val="left"/>
      <w:pPr>
        <w:ind w:left="1440" w:hanging="360"/>
      </w:pPr>
    </w:lvl>
    <w:lvl w:ilvl="2" w:tplc="B2F62D1A">
      <w:start w:val="1"/>
      <w:numFmt w:val="bullet"/>
      <w:lvlText w:val="■"/>
      <w:lvlJc w:val="left"/>
      <w:pPr>
        <w:ind w:left="2160" w:hanging="360"/>
      </w:pPr>
    </w:lvl>
    <w:lvl w:ilvl="3" w:tplc="94307A7A">
      <w:start w:val="1"/>
      <w:numFmt w:val="bullet"/>
      <w:lvlText w:val="●"/>
      <w:lvlJc w:val="left"/>
      <w:pPr>
        <w:ind w:left="2880" w:hanging="360"/>
      </w:pPr>
    </w:lvl>
    <w:lvl w:ilvl="4" w:tplc="FB12A364">
      <w:start w:val="1"/>
      <w:numFmt w:val="bullet"/>
      <w:lvlText w:val="○"/>
      <w:lvlJc w:val="left"/>
      <w:pPr>
        <w:ind w:left="3600" w:hanging="360"/>
      </w:pPr>
    </w:lvl>
    <w:lvl w:ilvl="5" w:tplc="B6F46286">
      <w:start w:val="1"/>
      <w:numFmt w:val="bullet"/>
      <w:lvlText w:val="■"/>
      <w:lvlJc w:val="left"/>
      <w:pPr>
        <w:ind w:left="4320" w:hanging="360"/>
      </w:pPr>
    </w:lvl>
    <w:lvl w:ilvl="6" w:tplc="43465DF6">
      <w:start w:val="1"/>
      <w:numFmt w:val="bullet"/>
      <w:lvlText w:val="●"/>
      <w:lvlJc w:val="left"/>
      <w:pPr>
        <w:ind w:left="5040" w:hanging="360"/>
      </w:pPr>
    </w:lvl>
    <w:lvl w:ilvl="7" w:tplc="2EC236CA">
      <w:start w:val="1"/>
      <w:numFmt w:val="bullet"/>
      <w:lvlText w:val="●"/>
      <w:lvlJc w:val="left"/>
      <w:pPr>
        <w:ind w:left="5760" w:hanging="360"/>
      </w:pPr>
    </w:lvl>
    <w:lvl w:ilvl="8" w:tplc="3B36050C">
      <w:start w:val="1"/>
      <w:numFmt w:val="bullet"/>
      <w:lvlText w:val="●"/>
      <w:lvlJc w:val="left"/>
      <w:pPr>
        <w:ind w:left="6480" w:hanging="360"/>
      </w:pPr>
    </w:lvl>
  </w:abstractNum>
  <w:abstractNum w:abstractNumId="1" w15:restartNumberingAfterBreak="0">
    <w:nsid w:val="2193371C"/>
    <w:multiLevelType w:val="hybridMultilevel"/>
    <w:tmpl w:val="B45E00F6"/>
    <w:lvl w:ilvl="0" w:tplc="46EC40F4">
      <w:start w:val="1"/>
      <w:numFmt w:val="bullet"/>
      <w:lvlText w:val="•"/>
      <w:lvlJc w:val="left"/>
      <w:pPr>
        <w:ind w:left="600" w:hanging="300"/>
      </w:pPr>
    </w:lvl>
    <w:lvl w:ilvl="1" w:tplc="3000E296">
      <w:numFmt w:val="decimal"/>
      <w:lvlText w:val=""/>
      <w:lvlJc w:val="left"/>
    </w:lvl>
    <w:lvl w:ilvl="2" w:tplc="1DB61A4E">
      <w:numFmt w:val="decimal"/>
      <w:lvlText w:val=""/>
      <w:lvlJc w:val="left"/>
    </w:lvl>
    <w:lvl w:ilvl="3" w:tplc="724EB5AA">
      <w:numFmt w:val="decimal"/>
      <w:lvlText w:val=""/>
      <w:lvlJc w:val="left"/>
    </w:lvl>
    <w:lvl w:ilvl="4" w:tplc="B8FC0CA4">
      <w:numFmt w:val="decimal"/>
      <w:lvlText w:val=""/>
      <w:lvlJc w:val="left"/>
    </w:lvl>
    <w:lvl w:ilvl="5" w:tplc="7414AE68">
      <w:numFmt w:val="decimal"/>
      <w:lvlText w:val=""/>
      <w:lvlJc w:val="left"/>
    </w:lvl>
    <w:lvl w:ilvl="6" w:tplc="5ED80C16">
      <w:numFmt w:val="decimal"/>
      <w:lvlText w:val=""/>
      <w:lvlJc w:val="left"/>
    </w:lvl>
    <w:lvl w:ilvl="7" w:tplc="1A605584">
      <w:numFmt w:val="decimal"/>
      <w:lvlText w:val=""/>
      <w:lvlJc w:val="left"/>
    </w:lvl>
    <w:lvl w:ilvl="8" w:tplc="07CEC45C">
      <w:numFmt w:val="decimal"/>
      <w:lvlText w:val=""/>
      <w:lvlJc w:val="left"/>
    </w:lvl>
  </w:abstractNum>
  <w:num w:numId="1" w16cid:durableId="1550216987">
    <w:abstractNumId w:val="0"/>
    <w:lvlOverride w:ilvl="0">
      <w:startOverride w:val="1"/>
    </w:lvlOverride>
  </w:num>
  <w:num w:numId="2" w16cid:durableId="1701586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AB"/>
    <w:rsid w:val="000E30AB"/>
    <w:rsid w:val="003C032A"/>
    <w:rsid w:val="006266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932C"/>
  <w15:docId w15:val="{4DDC7B4D-85BF-461D-8422-0D6CD3121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Jasmine</cp:lastModifiedBy>
  <cp:revision>2</cp:revision>
  <dcterms:created xsi:type="dcterms:W3CDTF">2026-06-23T22:54:00Z</dcterms:created>
  <dcterms:modified xsi:type="dcterms:W3CDTF">2026-06-23T22:54:00Z</dcterms:modified>
</cp:coreProperties>
</file>