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826F" w14:textId="77777777" w:rsidR="002229EF" w:rsidRDefault="00000000">
      <w:pPr>
        <w:shd w:val="clear" w:color="auto" w:fill="1E3A5F"/>
        <w:spacing w:after="60"/>
        <w:jc w:val="center"/>
      </w:pPr>
      <w:r>
        <w:rPr>
          <w:rFonts w:ascii="Arial" w:eastAsia="Arial" w:hAnsi="Arial" w:cs="Arial"/>
          <w:b/>
          <w:bCs/>
          <w:color w:val="FFFFFF"/>
          <w:sz w:val="22"/>
          <w:szCs w:val="22"/>
        </w:rPr>
        <w:t xml:space="preserve">  SAVVY DATALYTICS SOLUTIONS  </w:t>
      </w:r>
    </w:p>
    <w:p w14:paraId="39099379" w14:textId="77777777" w:rsidR="002229EF" w:rsidRDefault="00000000">
      <w:pPr>
        <w:shd w:val="clear" w:color="auto" w:fill="2E86AB"/>
        <w:spacing w:after="280"/>
        <w:jc w:val="center"/>
      </w:pPr>
      <w:r>
        <w:rPr>
          <w:rFonts w:ascii="Arial" w:eastAsia="Arial" w:hAnsi="Arial" w:cs="Arial"/>
          <w:color w:val="FFFFFF"/>
          <w:sz w:val="18"/>
          <w:szCs w:val="18"/>
        </w:rPr>
        <w:t xml:space="preserve">  Strategic Insight Memo — Week 3 | Q3 2025 Trend, Correlation &amp; Projection Analysis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229EF" w14:paraId="2F478C8A" w14:textId="77777777">
        <w:tblPrEx>
          <w:tblCellMar>
            <w:top w:w="0" w:type="dxa"/>
            <w:bottom w:w="0" w:type="dxa"/>
          </w:tblCellMar>
        </w:tblPrEx>
        <w:tc>
          <w:tcPr>
            <w:tcW w:w="18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3F6B56CF" w14:textId="77777777" w:rsidR="002229EF" w:rsidRDefault="00000000">
            <w:r>
              <w:rPr>
                <w:rFonts w:ascii="Arial" w:eastAsia="Arial" w:hAnsi="Arial" w:cs="Arial"/>
                <w:b/>
                <w:bCs/>
                <w:color w:val="2D2D2D"/>
              </w:rPr>
              <w:t>TO:</w:t>
            </w:r>
          </w:p>
        </w:tc>
        <w:tc>
          <w:tcPr>
            <w:tcW w:w="7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3EE127A" w14:textId="77777777" w:rsidR="002229EF" w:rsidRDefault="00000000">
            <w:r>
              <w:rPr>
                <w:rFonts w:ascii="Arial" w:eastAsia="Arial" w:hAnsi="Arial" w:cs="Arial"/>
                <w:color w:val="2D2D2D"/>
              </w:rPr>
              <w:t>Linda Williams, CEO — Tech Savvy Solutions</w:t>
            </w:r>
          </w:p>
        </w:tc>
      </w:tr>
      <w:tr w:rsidR="002229EF" w14:paraId="23126AD6" w14:textId="77777777">
        <w:tblPrEx>
          <w:tblCellMar>
            <w:top w:w="0" w:type="dxa"/>
            <w:bottom w:w="0" w:type="dxa"/>
          </w:tblCellMar>
        </w:tblPrEx>
        <w:tc>
          <w:tcPr>
            <w:tcW w:w="18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6E76924" w14:textId="77777777" w:rsidR="002229EF" w:rsidRDefault="00000000">
            <w:r>
              <w:rPr>
                <w:rFonts w:ascii="Arial" w:eastAsia="Arial" w:hAnsi="Arial" w:cs="Arial"/>
                <w:b/>
                <w:bCs/>
                <w:color w:val="2D2D2D"/>
              </w:rPr>
              <w:t>FROM:</w:t>
            </w:r>
          </w:p>
        </w:tc>
        <w:tc>
          <w:tcPr>
            <w:tcW w:w="7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6B97034" w14:textId="77777777" w:rsidR="002229EF" w:rsidRDefault="00000000">
            <w:r>
              <w:rPr>
                <w:rFonts w:ascii="Arial" w:eastAsia="Arial" w:hAnsi="Arial" w:cs="Arial"/>
                <w:color w:val="2D2D2D"/>
              </w:rPr>
              <w:t>Augustine Jasmine Oyindeinyefa — Data Analyst &amp; Business Intelligence Specialist, Savvy Datalytics Solutions</w:t>
            </w:r>
          </w:p>
        </w:tc>
      </w:tr>
      <w:tr w:rsidR="002229EF" w14:paraId="3ECC6712" w14:textId="77777777">
        <w:tblPrEx>
          <w:tblCellMar>
            <w:top w:w="0" w:type="dxa"/>
            <w:bottom w:w="0" w:type="dxa"/>
          </w:tblCellMar>
        </w:tblPrEx>
        <w:tc>
          <w:tcPr>
            <w:tcW w:w="18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4995575" w14:textId="77777777" w:rsidR="002229EF" w:rsidRDefault="00000000">
            <w:r>
              <w:rPr>
                <w:rFonts w:ascii="Arial" w:eastAsia="Arial" w:hAnsi="Arial" w:cs="Arial"/>
                <w:b/>
                <w:bCs/>
                <w:color w:val="2D2D2D"/>
              </w:rPr>
              <w:t>DATE:</w:t>
            </w:r>
          </w:p>
        </w:tc>
        <w:tc>
          <w:tcPr>
            <w:tcW w:w="7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9702871" w14:textId="77777777" w:rsidR="002229EF" w:rsidRDefault="00000000">
            <w:r>
              <w:rPr>
                <w:rFonts w:ascii="Arial" w:eastAsia="Arial" w:hAnsi="Arial" w:cs="Arial"/>
                <w:color w:val="2D2D2D"/>
              </w:rPr>
              <w:t>August 22, 2025</w:t>
            </w:r>
          </w:p>
        </w:tc>
      </w:tr>
      <w:tr w:rsidR="002229EF" w14:paraId="5B85AC12" w14:textId="77777777">
        <w:tblPrEx>
          <w:tblCellMar>
            <w:top w:w="0" w:type="dxa"/>
            <w:bottom w:w="0" w:type="dxa"/>
          </w:tblCellMar>
        </w:tblPrEx>
        <w:tc>
          <w:tcPr>
            <w:tcW w:w="18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29AE638" w14:textId="77777777" w:rsidR="002229EF" w:rsidRDefault="00000000">
            <w:r>
              <w:rPr>
                <w:rFonts w:ascii="Arial" w:eastAsia="Arial" w:hAnsi="Arial" w:cs="Arial"/>
                <w:b/>
                <w:bCs/>
                <w:color w:val="2D2D2D"/>
              </w:rPr>
              <w:t>RE:</w:t>
            </w:r>
          </w:p>
        </w:tc>
        <w:tc>
          <w:tcPr>
            <w:tcW w:w="7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B7ED386" w14:textId="77777777" w:rsidR="002229EF" w:rsidRDefault="00000000">
            <w:r>
              <w:rPr>
                <w:rFonts w:ascii="Arial" w:eastAsia="Arial" w:hAnsi="Arial" w:cs="Arial"/>
                <w:b/>
                <w:bCs/>
                <w:color w:val="2D2D2D"/>
              </w:rPr>
              <w:t>Q3 Business Intelligence Memo — Trend Analysis, Correlation Findings &amp; Q4 Revenue Projection</w:t>
            </w:r>
          </w:p>
        </w:tc>
      </w:tr>
      <w:tr w:rsidR="002229EF" w14:paraId="55F25C3B" w14:textId="77777777">
        <w:tblPrEx>
          <w:tblCellMar>
            <w:top w:w="0" w:type="dxa"/>
            <w:bottom w:w="0" w:type="dxa"/>
          </w:tblCellMar>
        </w:tblPrEx>
        <w:tc>
          <w:tcPr>
            <w:tcW w:w="18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32271A10" w14:textId="77777777" w:rsidR="002229EF" w:rsidRDefault="00000000">
            <w:r>
              <w:rPr>
                <w:rFonts w:ascii="Arial" w:eastAsia="Arial" w:hAnsi="Arial" w:cs="Arial"/>
                <w:b/>
                <w:bCs/>
                <w:color w:val="2D2D2D"/>
              </w:rPr>
              <w:t>DATA SOURCE:</w:t>
            </w:r>
          </w:p>
        </w:tc>
        <w:tc>
          <w:tcPr>
            <w:tcW w:w="756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11FA464" w14:textId="77777777" w:rsidR="002229EF" w:rsidRDefault="00000000">
            <w:r>
              <w:rPr>
                <w:rFonts w:ascii="Arial" w:eastAsia="Arial" w:hAnsi="Arial" w:cs="Arial"/>
                <w:i/>
                <w:iCs/>
                <w:color w:val="2D2D2D"/>
              </w:rPr>
              <w:t>Campaign_Data_Q3_Cleaned.xlsx (primary) | Ad_Spend_JulySeptCleaned.xlsx | Leads_Report_Cleaned.xlsx</w:t>
            </w:r>
          </w:p>
        </w:tc>
      </w:tr>
    </w:tbl>
    <w:p w14:paraId="4DC91D59" w14:textId="77777777" w:rsidR="002229EF" w:rsidRDefault="002229EF">
      <w:pPr>
        <w:spacing w:before="200" w:after="120"/>
      </w:pPr>
    </w:p>
    <w:p w14:paraId="3777B7F9" w14:textId="77777777" w:rsidR="002229EF" w:rsidRDefault="00000000">
      <w:pPr>
        <w:spacing w:before="160" w:after="80"/>
      </w:pPr>
      <w:r>
        <w:rPr>
          <w:rFonts w:ascii="Arial" w:eastAsia="Arial" w:hAnsi="Arial" w:cs="Arial"/>
          <w:b/>
          <w:bCs/>
          <w:color w:val="1E3A5F"/>
          <w:sz w:val="23"/>
          <w:szCs w:val="23"/>
        </w:rPr>
        <w:t>1. PURPOSE OF THIS MEMO</w:t>
      </w:r>
    </w:p>
    <w:p w14:paraId="06D9A0BB" w14:textId="78008C37" w:rsidR="002229EF" w:rsidRDefault="00000000">
      <w:pPr>
        <w:spacing w:before="120" w:after="120"/>
      </w:pPr>
      <w:r>
        <w:rPr>
          <w:rFonts w:ascii="Arial" w:eastAsia="Arial" w:hAnsi="Arial" w:cs="Arial"/>
          <w:color w:val="2D2D2D"/>
          <w:sz w:val="22"/>
          <w:szCs w:val="22"/>
        </w:rPr>
        <w:t>This memo presents the Week 3 business intelligence findings for Savvy</w:t>
      </w:r>
      <w:r w:rsidR="003866BC">
        <w:rPr>
          <w:rFonts w:ascii="Arial" w:eastAsia="Arial" w:hAnsi="Arial" w:cs="Arial"/>
          <w:color w:val="2D2D2D"/>
          <w:sz w:val="22"/>
          <w:szCs w:val="22"/>
        </w:rPr>
        <w:t xml:space="preserve"> Datalytics</w:t>
      </w:r>
      <w:r>
        <w:rPr>
          <w:rFonts w:ascii="Arial" w:eastAsia="Arial" w:hAnsi="Arial" w:cs="Arial"/>
          <w:color w:val="2D2D2D"/>
          <w:sz w:val="22"/>
          <w:szCs w:val="22"/>
        </w:rPr>
        <w:t xml:space="preserve"> Solutions, based on trend analysis, correlation modelling, and campaign segmentation conducted across Q3 2025 data. It concludes with a data-driven Q4 revenue projection to support planning decisions.</w:t>
      </w:r>
    </w:p>
    <w:p w14:paraId="65F7CE2B" w14:textId="77777777" w:rsidR="002229EF" w:rsidRDefault="002229EF">
      <w:pPr>
        <w:pBdr>
          <w:bottom w:val="single" w:sz="4" w:space="1" w:color="2E86AB"/>
        </w:pBdr>
        <w:spacing w:before="80" w:after="80"/>
      </w:pPr>
    </w:p>
    <w:p w14:paraId="6EAD3636" w14:textId="77777777" w:rsidR="002229EF" w:rsidRDefault="00000000">
      <w:pPr>
        <w:spacing w:before="160" w:after="80"/>
      </w:pPr>
      <w:r>
        <w:rPr>
          <w:rFonts w:ascii="Arial" w:eastAsia="Arial" w:hAnsi="Arial" w:cs="Arial"/>
          <w:b/>
          <w:bCs/>
          <w:color w:val="1E3A5F"/>
          <w:sz w:val="23"/>
          <w:szCs w:val="23"/>
        </w:rPr>
        <w:t>2. TREND ANALYSIS — MONTHLY PERFORMANCE PATTERNS</w:t>
      </w:r>
    </w:p>
    <w:p w14:paraId="0605B9B8" w14:textId="77777777" w:rsidR="002229EF" w:rsidRDefault="00000000">
      <w:pPr>
        <w:spacing w:before="120" w:after="120"/>
      </w:pPr>
      <w:r>
        <w:rPr>
          <w:rFonts w:ascii="Arial" w:eastAsia="Arial" w:hAnsi="Arial" w:cs="Arial"/>
          <w:b/>
          <w:bCs/>
          <w:color w:val="2E86AB"/>
          <w:sz w:val="22"/>
          <w:szCs w:val="22"/>
        </w:rPr>
        <w:t>Which month performed best?</w:t>
      </w:r>
    </w:p>
    <w:p w14:paraId="24B28450" w14:textId="77777777" w:rsidR="002229EF" w:rsidRDefault="00000000">
      <w:pPr>
        <w:spacing w:before="120" w:after="120"/>
      </w:pPr>
      <w:r>
        <w:rPr>
          <w:rFonts w:ascii="Arial" w:eastAsia="Arial" w:hAnsi="Arial" w:cs="Arial"/>
          <w:color w:val="2D2D2D"/>
          <w:sz w:val="22"/>
          <w:szCs w:val="22"/>
        </w:rPr>
        <w:t>August 2025 was the highest-performing month across both revenue and ROI. The data shows a consistent upward trajectory from July to August, followed by a modest dip in September that was offset by proportionally lower spend — maintaining near-identical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229EF" w14:paraId="641415FD" w14:textId="77777777">
        <w:tblPrEx>
          <w:tblCellMar>
            <w:top w:w="0" w:type="dxa"/>
            <w:bottom w:w="0" w:type="dxa"/>
          </w:tblCellMar>
        </w:tblPrEx>
        <w:tc>
          <w:tcPr>
            <w:tcW w:w="187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6F8ABAF0" w14:textId="77777777" w:rsidR="002229EF" w:rsidRDefault="00000000">
            <w:pPr>
              <w:jc w:val="center"/>
            </w:pPr>
            <w:r>
              <w:rPr>
                <w:rFonts w:ascii="Arial" w:eastAsia="Arial" w:hAnsi="Arial" w:cs="Arial"/>
                <w:b/>
                <w:bCs/>
                <w:color w:val="FFFFFF"/>
              </w:rPr>
              <w:t>Month</w:t>
            </w:r>
          </w:p>
        </w:tc>
        <w:tc>
          <w:tcPr>
            <w:tcW w:w="187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38328D23" w14:textId="77777777" w:rsidR="002229EF" w:rsidRDefault="00000000">
            <w:pPr>
              <w:jc w:val="center"/>
            </w:pPr>
            <w:r>
              <w:rPr>
                <w:rFonts w:ascii="Arial" w:eastAsia="Arial" w:hAnsi="Arial" w:cs="Arial"/>
                <w:b/>
                <w:bCs/>
                <w:color w:val="FFFFFF"/>
              </w:rPr>
              <w:t>Revenue</w:t>
            </w:r>
          </w:p>
        </w:tc>
        <w:tc>
          <w:tcPr>
            <w:tcW w:w="187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065D4C9D" w14:textId="77777777" w:rsidR="002229EF" w:rsidRDefault="00000000">
            <w:pPr>
              <w:jc w:val="center"/>
            </w:pPr>
            <w:r>
              <w:rPr>
                <w:rFonts w:ascii="Arial" w:eastAsia="Arial" w:hAnsi="Arial" w:cs="Arial"/>
                <w:b/>
                <w:bCs/>
                <w:color w:val="FFFFFF"/>
              </w:rPr>
              <w:t>Ad Spend</w:t>
            </w:r>
          </w:p>
        </w:tc>
        <w:tc>
          <w:tcPr>
            <w:tcW w:w="187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4450CECB" w14:textId="77777777" w:rsidR="002229EF" w:rsidRDefault="00000000">
            <w:pPr>
              <w:jc w:val="center"/>
            </w:pPr>
            <w:r>
              <w:rPr>
                <w:rFonts w:ascii="Arial" w:eastAsia="Arial" w:hAnsi="Arial" w:cs="Arial"/>
                <w:b/>
                <w:bCs/>
                <w:color w:val="FFFFFF"/>
              </w:rPr>
              <w:t>ROI</w:t>
            </w:r>
          </w:p>
        </w:tc>
        <w:tc>
          <w:tcPr>
            <w:tcW w:w="1872"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6B1A1E94" w14:textId="77777777" w:rsidR="002229EF" w:rsidRDefault="00000000">
            <w:pPr>
              <w:jc w:val="center"/>
            </w:pPr>
            <w:r>
              <w:rPr>
                <w:rFonts w:ascii="Arial" w:eastAsia="Arial" w:hAnsi="Arial" w:cs="Arial"/>
                <w:b/>
                <w:bCs/>
                <w:color w:val="FFFFFF"/>
              </w:rPr>
              <w:t>Conversions</w:t>
            </w:r>
          </w:p>
        </w:tc>
      </w:tr>
      <w:tr w:rsidR="002229EF" w14:paraId="546FE5DA" w14:textId="77777777">
        <w:tblPrEx>
          <w:tblCellMar>
            <w:top w:w="0" w:type="dxa"/>
            <w:bottom w:w="0" w:type="dxa"/>
          </w:tblCellMar>
        </w:tblPrEx>
        <w:tc>
          <w:tcPr>
            <w:tcW w:w="1872"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719C7F6C" w14:textId="77777777" w:rsidR="002229EF" w:rsidRDefault="00000000">
            <w:r>
              <w:rPr>
                <w:rFonts w:ascii="Arial" w:eastAsia="Arial" w:hAnsi="Arial" w:cs="Arial"/>
                <w:color w:val="2D2D2D"/>
              </w:rPr>
              <w:t>July</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BD13D62" w14:textId="77777777" w:rsidR="002229EF" w:rsidRDefault="00000000">
            <w:pPr>
              <w:jc w:val="center"/>
            </w:pPr>
            <w:r>
              <w:rPr>
                <w:rFonts w:ascii="Arial" w:eastAsia="Arial" w:hAnsi="Arial" w:cs="Arial"/>
                <w:color w:val="2D2D2D"/>
              </w:rPr>
              <w:t>$798,976</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52CA8DA" w14:textId="77777777" w:rsidR="002229EF" w:rsidRDefault="00000000">
            <w:pPr>
              <w:jc w:val="center"/>
            </w:pPr>
            <w:r>
              <w:rPr>
                <w:rFonts w:ascii="Arial" w:eastAsia="Arial" w:hAnsi="Arial" w:cs="Arial"/>
                <w:color w:val="2D2D2D"/>
              </w:rPr>
              <w:t>$244,641</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D567B46" w14:textId="77777777" w:rsidR="002229EF" w:rsidRDefault="00000000">
            <w:pPr>
              <w:jc w:val="center"/>
            </w:pPr>
            <w:r>
              <w:rPr>
                <w:rFonts w:ascii="Arial" w:eastAsia="Arial" w:hAnsi="Arial" w:cs="Arial"/>
                <w:color w:val="2D2D2D"/>
              </w:rPr>
              <w:t>226.6%</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9C42297" w14:textId="77777777" w:rsidR="002229EF" w:rsidRDefault="00000000">
            <w:pPr>
              <w:jc w:val="center"/>
            </w:pPr>
            <w:r>
              <w:rPr>
                <w:rFonts w:ascii="Arial" w:eastAsia="Arial" w:hAnsi="Arial" w:cs="Arial"/>
                <w:color w:val="2D2D2D"/>
              </w:rPr>
              <w:t>38,228</w:t>
            </w:r>
          </w:p>
        </w:tc>
      </w:tr>
      <w:tr w:rsidR="002229EF" w14:paraId="3B53FD15" w14:textId="77777777">
        <w:tblPrEx>
          <w:tblCellMar>
            <w:top w:w="0" w:type="dxa"/>
            <w:bottom w:w="0" w:type="dxa"/>
          </w:tblCellMar>
        </w:tblPrEx>
        <w:tc>
          <w:tcPr>
            <w:tcW w:w="1872"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3D1C4B8" w14:textId="77777777" w:rsidR="002229EF" w:rsidRDefault="00000000">
            <w:r>
              <w:rPr>
                <w:rFonts w:ascii="Arial" w:eastAsia="Arial" w:hAnsi="Arial" w:cs="Arial"/>
                <w:b/>
                <w:bCs/>
                <w:color w:val="2D2D2D"/>
              </w:rPr>
              <w:t>August ★</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174AF99" w14:textId="77777777" w:rsidR="002229EF" w:rsidRDefault="00000000">
            <w:pPr>
              <w:jc w:val="center"/>
            </w:pPr>
            <w:r>
              <w:rPr>
                <w:rFonts w:ascii="Arial" w:eastAsia="Arial" w:hAnsi="Arial" w:cs="Arial"/>
                <w:b/>
                <w:bCs/>
                <w:color w:val="1A6B3C"/>
              </w:rPr>
              <w:t>$865,736</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4813182" w14:textId="77777777" w:rsidR="002229EF" w:rsidRDefault="00000000">
            <w:pPr>
              <w:jc w:val="center"/>
            </w:pPr>
            <w:r>
              <w:rPr>
                <w:rFonts w:ascii="Arial" w:eastAsia="Arial" w:hAnsi="Arial" w:cs="Arial"/>
                <w:color w:val="2D2D2D"/>
              </w:rPr>
              <w:t>$249,820</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B553986" w14:textId="77777777" w:rsidR="002229EF" w:rsidRDefault="00000000">
            <w:pPr>
              <w:jc w:val="center"/>
            </w:pPr>
            <w:r>
              <w:rPr>
                <w:rFonts w:ascii="Arial" w:eastAsia="Arial" w:hAnsi="Arial" w:cs="Arial"/>
                <w:b/>
                <w:bCs/>
                <w:color w:val="1A6B3C"/>
              </w:rPr>
              <w:t>246.5%</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F8C7AE9" w14:textId="77777777" w:rsidR="002229EF" w:rsidRDefault="00000000">
            <w:pPr>
              <w:jc w:val="center"/>
            </w:pPr>
            <w:r>
              <w:rPr>
                <w:rFonts w:ascii="Arial" w:eastAsia="Arial" w:hAnsi="Arial" w:cs="Arial"/>
                <w:b/>
                <w:bCs/>
                <w:color w:val="2D2D2D"/>
              </w:rPr>
              <w:t>42,108</w:t>
            </w:r>
          </w:p>
        </w:tc>
      </w:tr>
      <w:tr w:rsidR="002229EF" w14:paraId="4B3F85FE" w14:textId="77777777">
        <w:tblPrEx>
          <w:tblCellMar>
            <w:top w:w="0" w:type="dxa"/>
            <w:bottom w:w="0" w:type="dxa"/>
          </w:tblCellMar>
        </w:tblPrEx>
        <w:tc>
          <w:tcPr>
            <w:tcW w:w="1872"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2020F090" w14:textId="77777777" w:rsidR="002229EF" w:rsidRDefault="00000000">
            <w:r>
              <w:rPr>
                <w:rFonts w:ascii="Arial" w:eastAsia="Arial" w:hAnsi="Arial" w:cs="Arial"/>
                <w:color w:val="2D2D2D"/>
              </w:rPr>
              <w:t>September</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AB9874D" w14:textId="77777777" w:rsidR="002229EF" w:rsidRDefault="00000000">
            <w:pPr>
              <w:jc w:val="center"/>
            </w:pPr>
            <w:r>
              <w:rPr>
                <w:rFonts w:ascii="Arial" w:eastAsia="Arial" w:hAnsi="Arial" w:cs="Arial"/>
                <w:color w:val="2D2D2D"/>
              </w:rPr>
              <w:t>$757,673</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A885749" w14:textId="77777777" w:rsidR="002229EF" w:rsidRDefault="00000000">
            <w:pPr>
              <w:jc w:val="center"/>
            </w:pPr>
            <w:r>
              <w:rPr>
                <w:rFonts w:ascii="Arial" w:eastAsia="Arial" w:hAnsi="Arial" w:cs="Arial"/>
                <w:color w:val="2D2D2D"/>
              </w:rPr>
              <w:t>$219,017</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B895BD8" w14:textId="77777777" w:rsidR="002229EF" w:rsidRDefault="00000000">
            <w:pPr>
              <w:jc w:val="center"/>
            </w:pPr>
            <w:r>
              <w:rPr>
                <w:rFonts w:ascii="Arial" w:eastAsia="Arial" w:hAnsi="Arial" w:cs="Arial"/>
                <w:color w:val="2D2D2D"/>
              </w:rPr>
              <w:t>245.9%</w:t>
            </w:r>
          </w:p>
        </w:tc>
        <w:tc>
          <w:tcPr>
            <w:tcW w:w="1872"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F953C84" w14:textId="77777777" w:rsidR="002229EF" w:rsidRDefault="00000000">
            <w:pPr>
              <w:jc w:val="center"/>
            </w:pPr>
            <w:r>
              <w:rPr>
                <w:rFonts w:ascii="Arial" w:eastAsia="Arial" w:hAnsi="Arial" w:cs="Arial"/>
                <w:color w:val="2D2D2D"/>
              </w:rPr>
              <w:t>39,150</w:t>
            </w:r>
          </w:p>
        </w:tc>
      </w:tr>
    </w:tbl>
    <w:p w14:paraId="5F044CCB" w14:textId="77777777" w:rsidR="002229EF" w:rsidRDefault="002229EF">
      <w:pPr>
        <w:spacing w:before="100" w:after="120"/>
      </w:pPr>
    </w:p>
    <w:p w14:paraId="4302FAB0" w14:textId="77777777" w:rsidR="002229EF" w:rsidRDefault="00000000">
      <w:pPr>
        <w:spacing w:before="120" w:after="120"/>
      </w:pPr>
      <w:r>
        <w:rPr>
          <w:rFonts w:ascii="Arial" w:eastAsia="Arial" w:hAnsi="Arial" w:cs="Arial"/>
          <w:i/>
          <w:iCs/>
          <w:color w:val="444444"/>
          <w:sz w:val="21"/>
          <w:szCs w:val="21"/>
        </w:rPr>
        <w:t>Key Trend Observation: The July-to-August revenue increase (+8.4%) was driven by a 10.2% spike in conversions with only a 2.1% increase in spend — a strong indicator of improved campaign targeting efficiency mid-quarter. September's lower absolute revenue is partly attributable to reduced spend, not deteriorating performance.</w:t>
      </w:r>
    </w:p>
    <w:p w14:paraId="6457FDD7" w14:textId="77777777" w:rsidR="002229EF" w:rsidRDefault="002229EF">
      <w:pPr>
        <w:pBdr>
          <w:bottom w:val="single" w:sz="4" w:space="1" w:color="2E86AB"/>
        </w:pBdr>
        <w:spacing w:before="80" w:after="80"/>
      </w:pPr>
    </w:p>
    <w:p w14:paraId="1EB1FB06" w14:textId="77777777" w:rsidR="002229EF" w:rsidRDefault="00000000">
      <w:pPr>
        <w:spacing w:before="160" w:after="80"/>
      </w:pPr>
      <w:r>
        <w:rPr>
          <w:rFonts w:ascii="Arial" w:eastAsia="Arial" w:hAnsi="Arial" w:cs="Arial"/>
          <w:b/>
          <w:bCs/>
          <w:color w:val="1E3A5F"/>
          <w:sz w:val="23"/>
          <w:szCs w:val="23"/>
        </w:rPr>
        <w:t>3. CORRELATION ANALYSIS — AD SPEND, CLICKS &amp; CONVERSIONS</w:t>
      </w:r>
    </w:p>
    <w:p w14:paraId="2CF7C775" w14:textId="77777777" w:rsidR="002229EF" w:rsidRDefault="00000000">
      <w:pPr>
        <w:spacing w:before="120" w:after="120"/>
      </w:pPr>
      <w:r>
        <w:rPr>
          <w:rFonts w:ascii="Arial" w:eastAsia="Arial" w:hAnsi="Arial" w:cs="Arial"/>
          <w:b/>
          <w:bCs/>
          <w:color w:val="2E86AB"/>
          <w:sz w:val="22"/>
          <w:szCs w:val="22"/>
        </w:rPr>
        <w:t>Is there a correlation between ad spend and leads/conversions?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229EF" w14:paraId="474D41F3"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38ABA8C6" w14:textId="77777777" w:rsidR="002229EF" w:rsidRDefault="00000000">
            <w:r>
              <w:rPr>
                <w:rFonts w:ascii="Arial" w:eastAsia="Arial" w:hAnsi="Arial" w:cs="Arial"/>
                <w:b/>
                <w:bCs/>
                <w:color w:val="FFFFFF"/>
              </w:rPr>
              <w:t>Relationship Tested</w:t>
            </w:r>
          </w:p>
        </w:tc>
        <w:tc>
          <w:tcPr>
            <w:tcW w:w="312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2C768288" w14:textId="77777777" w:rsidR="002229EF" w:rsidRDefault="00000000">
            <w:pPr>
              <w:jc w:val="center"/>
            </w:pPr>
            <w:r>
              <w:rPr>
                <w:rFonts w:ascii="Arial" w:eastAsia="Arial" w:hAnsi="Arial" w:cs="Arial"/>
                <w:b/>
                <w:bCs/>
                <w:color w:val="FFFFFF"/>
              </w:rPr>
              <w:t>Observed Strength</w:t>
            </w:r>
          </w:p>
        </w:tc>
        <w:tc>
          <w:tcPr>
            <w:tcW w:w="312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597A63A3" w14:textId="77777777" w:rsidR="002229EF" w:rsidRDefault="00000000">
            <w:r>
              <w:rPr>
                <w:rFonts w:ascii="Arial" w:eastAsia="Arial" w:hAnsi="Arial" w:cs="Arial"/>
                <w:b/>
                <w:bCs/>
                <w:color w:val="FFFFFF"/>
              </w:rPr>
              <w:t>Interpretation</w:t>
            </w:r>
          </w:p>
        </w:tc>
      </w:tr>
      <w:tr w:rsidR="002229EF" w14:paraId="5BCA392F"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79E7EA08" w14:textId="77777777" w:rsidR="002229EF" w:rsidRDefault="00000000">
            <w:r>
              <w:rPr>
                <w:rFonts w:ascii="Arial" w:eastAsia="Arial" w:hAnsi="Arial" w:cs="Arial"/>
                <w:b/>
                <w:bCs/>
                <w:color w:val="2D2D2D"/>
              </w:rPr>
              <w:t>Ad Spend → Revenue</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10A1E2E" w14:textId="77777777" w:rsidR="002229EF" w:rsidRDefault="00000000">
            <w:pPr>
              <w:jc w:val="center"/>
            </w:pPr>
            <w:r>
              <w:rPr>
                <w:rFonts w:ascii="Arial" w:eastAsia="Arial" w:hAnsi="Arial" w:cs="Arial"/>
                <w:b/>
                <w:bCs/>
                <w:color w:val="1A6B3C"/>
              </w:rPr>
              <w:t>Strong Positive</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C34AC7F" w14:textId="77777777" w:rsidR="002229EF" w:rsidRDefault="00000000">
            <w:r>
              <w:rPr>
                <w:rFonts w:ascii="Arial" w:eastAsia="Arial" w:hAnsi="Arial" w:cs="Arial"/>
                <w:color w:val="2D2D2D"/>
              </w:rPr>
              <w:t>Higher spend reliably produces proportionally higher revenue</w:t>
            </w:r>
          </w:p>
        </w:tc>
      </w:tr>
      <w:tr w:rsidR="002229EF" w14:paraId="72234B5C"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7800B0FD" w14:textId="77777777" w:rsidR="002229EF" w:rsidRDefault="00000000">
            <w:r>
              <w:rPr>
                <w:rFonts w:ascii="Arial" w:eastAsia="Arial" w:hAnsi="Arial" w:cs="Arial"/>
                <w:color w:val="2D2D2D"/>
              </w:rPr>
              <w:lastRenderedPageBreak/>
              <w:t>Ad Spend → Conversions</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D92CFD9" w14:textId="77777777" w:rsidR="002229EF" w:rsidRDefault="00000000">
            <w:pPr>
              <w:jc w:val="center"/>
            </w:pPr>
            <w:r>
              <w:rPr>
                <w:rFonts w:ascii="Arial" w:eastAsia="Arial" w:hAnsi="Arial" w:cs="Arial"/>
                <w:color w:val="7D5A00"/>
              </w:rPr>
              <w:t>Moderate Positive</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43C8E14" w14:textId="77777777" w:rsidR="002229EF" w:rsidRDefault="00000000">
            <w:r>
              <w:rPr>
                <w:rFonts w:ascii="Arial" w:eastAsia="Arial" w:hAnsi="Arial" w:cs="Arial"/>
                <w:color w:val="2D2D2D"/>
              </w:rPr>
              <w:t>Spend increases lift conversions, but with diminishing efficiency at higher ranges</w:t>
            </w:r>
          </w:p>
        </w:tc>
      </w:tr>
      <w:tr w:rsidR="002229EF" w14:paraId="1E6AFF9F" w14:textId="77777777">
        <w:tblPrEx>
          <w:tblCellMar>
            <w:top w:w="0" w:type="dxa"/>
            <w:bottom w:w="0" w:type="dxa"/>
          </w:tblCellMar>
        </w:tblPrEx>
        <w:tc>
          <w:tcPr>
            <w:tcW w:w="31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F0F0E2B" w14:textId="77777777" w:rsidR="002229EF" w:rsidRDefault="00000000">
            <w:r>
              <w:rPr>
                <w:rFonts w:ascii="Arial" w:eastAsia="Arial" w:hAnsi="Arial" w:cs="Arial"/>
                <w:color w:val="2D2D2D"/>
              </w:rPr>
              <w:t>Clicks → Conversions</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F9F6A4E" w14:textId="77777777" w:rsidR="002229EF" w:rsidRDefault="00000000">
            <w:pPr>
              <w:jc w:val="center"/>
            </w:pPr>
            <w:r>
              <w:rPr>
                <w:rFonts w:ascii="Arial" w:eastAsia="Arial" w:hAnsi="Arial" w:cs="Arial"/>
                <w:color w:val="8B1A1A"/>
              </w:rPr>
              <w:t>Weak Positive</w:t>
            </w:r>
          </w:p>
        </w:tc>
        <w:tc>
          <w:tcPr>
            <w:tcW w:w="31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1BDEE47" w14:textId="77777777" w:rsidR="002229EF" w:rsidRDefault="00000000">
            <w:r>
              <w:rPr>
                <w:rFonts w:ascii="Arial" w:eastAsia="Arial" w:hAnsi="Arial" w:cs="Arial"/>
                <w:color w:val="2D2D2D"/>
              </w:rPr>
              <w:t>High click volume does not reliably predict conversion — quality of traffic matters more than volume</w:t>
            </w:r>
          </w:p>
        </w:tc>
      </w:tr>
    </w:tbl>
    <w:p w14:paraId="09DD4AE9" w14:textId="77777777" w:rsidR="002229EF" w:rsidRDefault="002229EF">
      <w:pPr>
        <w:spacing w:before="100" w:after="120"/>
      </w:pPr>
    </w:p>
    <w:p w14:paraId="098F7F73" w14:textId="77777777" w:rsidR="002229EF" w:rsidRDefault="00000000">
      <w:pPr>
        <w:pStyle w:val="ListParagraph"/>
        <w:numPr>
          <w:ilvl w:val="0"/>
          <w:numId w:val="2"/>
        </w:numPr>
        <w:spacing w:before="60" w:after="60"/>
      </w:pPr>
      <w:r>
        <w:rPr>
          <w:rFonts w:ascii="Arial" w:eastAsia="Arial" w:hAnsi="Arial" w:cs="Arial"/>
          <w:color w:val="2D2D2D"/>
          <w:sz w:val="21"/>
          <w:szCs w:val="21"/>
        </w:rPr>
        <w:t>The strongest relationship in the data is Ad Spend → Revenue, confirming that budget investment in this channel mix is reliably productive.</w:t>
      </w:r>
    </w:p>
    <w:p w14:paraId="61191819" w14:textId="77777777" w:rsidR="002229EF" w:rsidRDefault="00000000">
      <w:pPr>
        <w:pStyle w:val="ListParagraph"/>
        <w:numPr>
          <w:ilvl w:val="0"/>
          <w:numId w:val="2"/>
        </w:numPr>
        <w:spacing w:before="60" w:after="60"/>
      </w:pPr>
      <w:r>
        <w:rPr>
          <w:rFonts w:ascii="Arial" w:eastAsia="Arial" w:hAnsi="Arial" w:cs="Arial"/>
          <w:color w:val="2D2D2D"/>
          <w:sz w:val="21"/>
          <w:szCs w:val="21"/>
        </w:rPr>
        <w:t>The weak Clicks → Conversions relationship is the most strategically important finding: generating more clicks without improving targeting or landing page quality will not improve conversion rates.</w:t>
      </w:r>
    </w:p>
    <w:p w14:paraId="1ABE4F33" w14:textId="77777777" w:rsidR="002229EF" w:rsidRDefault="00000000">
      <w:pPr>
        <w:pStyle w:val="ListParagraph"/>
        <w:numPr>
          <w:ilvl w:val="0"/>
          <w:numId w:val="2"/>
        </w:numPr>
        <w:spacing w:before="60" w:after="60"/>
      </w:pPr>
      <w:r>
        <w:rPr>
          <w:rFonts w:ascii="Arial" w:eastAsia="Arial" w:hAnsi="Arial" w:cs="Arial"/>
          <w:color w:val="2D2D2D"/>
          <w:sz w:val="21"/>
          <w:szCs w:val="21"/>
        </w:rPr>
        <w:t>Recommendation: Shift optimisation focus from click volume to conversion quality — particularly for Google Ads and LinkedIn, where high click counts have not translated proportionally to conversions.</w:t>
      </w:r>
    </w:p>
    <w:p w14:paraId="11F12262" w14:textId="77777777" w:rsidR="002229EF" w:rsidRDefault="002229EF">
      <w:pPr>
        <w:pBdr>
          <w:bottom w:val="single" w:sz="4" w:space="1" w:color="2E86AB"/>
        </w:pBdr>
        <w:spacing w:before="80" w:after="80"/>
      </w:pPr>
    </w:p>
    <w:p w14:paraId="6AC0CEAF" w14:textId="77777777" w:rsidR="002229EF" w:rsidRDefault="00000000">
      <w:pPr>
        <w:spacing w:before="160" w:after="80"/>
      </w:pPr>
      <w:r>
        <w:rPr>
          <w:rFonts w:ascii="Arial" w:eastAsia="Arial" w:hAnsi="Arial" w:cs="Arial"/>
          <w:b/>
          <w:bCs/>
          <w:color w:val="1E3A5F"/>
          <w:sz w:val="23"/>
          <w:szCs w:val="23"/>
        </w:rPr>
        <w:t>4. CAMPAIGN PERFORMANCE SEGMENTATION</w:t>
      </w:r>
    </w:p>
    <w:p w14:paraId="01C5FB8D" w14:textId="77777777" w:rsidR="002229EF" w:rsidRDefault="00000000">
      <w:pPr>
        <w:spacing w:before="120" w:after="120"/>
      </w:pPr>
      <w:r>
        <w:rPr>
          <w:rFonts w:ascii="Arial" w:eastAsia="Arial" w:hAnsi="Arial" w:cs="Arial"/>
          <w:color w:val="2D2D2D"/>
          <w:sz w:val="22"/>
          <w:szCs w:val="22"/>
        </w:rPr>
        <w:t>Campaigns were segmented into three tiers based on ROI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229EF" w14:paraId="18271FEF"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234FF9E3" w14:textId="77777777" w:rsidR="002229EF" w:rsidRDefault="00000000">
            <w:r>
              <w:rPr>
                <w:rFonts w:ascii="Arial" w:eastAsia="Arial" w:hAnsi="Arial" w:cs="Arial"/>
                <w:b/>
                <w:bCs/>
                <w:color w:val="FFFFFF"/>
              </w:rPr>
              <w:t>Segment</w:t>
            </w:r>
          </w:p>
        </w:tc>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4E322CA5" w14:textId="77777777" w:rsidR="002229EF" w:rsidRDefault="00000000">
            <w:pPr>
              <w:jc w:val="center"/>
            </w:pPr>
            <w:r>
              <w:rPr>
                <w:rFonts w:ascii="Arial" w:eastAsia="Arial" w:hAnsi="Arial" w:cs="Arial"/>
                <w:b/>
                <w:bCs/>
                <w:color w:val="FFFFFF"/>
              </w:rPr>
              <w:t>Threshold</w:t>
            </w:r>
          </w:p>
        </w:tc>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75E782BD" w14:textId="77777777" w:rsidR="002229EF" w:rsidRDefault="00000000">
            <w:r>
              <w:rPr>
                <w:rFonts w:ascii="Arial" w:eastAsia="Arial" w:hAnsi="Arial" w:cs="Arial"/>
                <w:b/>
                <w:bCs/>
                <w:color w:val="FFFFFF"/>
              </w:rPr>
              <w:t>Campaigns</w:t>
            </w:r>
          </w:p>
        </w:tc>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4D8F93D5" w14:textId="77777777" w:rsidR="002229EF" w:rsidRDefault="00000000">
            <w:r>
              <w:rPr>
                <w:rFonts w:ascii="Arial" w:eastAsia="Arial" w:hAnsi="Arial" w:cs="Arial"/>
                <w:b/>
                <w:bCs/>
                <w:color w:val="FFFFFF"/>
              </w:rPr>
              <w:t>Action</w:t>
            </w:r>
          </w:p>
        </w:tc>
      </w:tr>
      <w:tr w:rsidR="002229EF" w14:paraId="62A62831"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3000C73A" w14:textId="77777777" w:rsidR="002229EF" w:rsidRDefault="00000000">
            <w:r>
              <w:rPr>
                <w:rFonts w:ascii="Arial" w:eastAsia="Arial" w:hAnsi="Arial" w:cs="Arial"/>
                <w:b/>
                <w:bCs/>
                <w:color w:val="2D2D2D"/>
              </w:rPr>
              <w:t>🟢 High Performer</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8E7C6C7" w14:textId="77777777" w:rsidR="002229EF" w:rsidRDefault="00000000">
            <w:pPr>
              <w:jc w:val="center"/>
            </w:pPr>
            <w:r>
              <w:rPr>
                <w:rFonts w:ascii="Arial" w:eastAsia="Arial" w:hAnsi="Arial" w:cs="Arial"/>
                <w:color w:val="2D2D2D"/>
              </w:rPr>
              <w:t>ROI ≥ 300%</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EC17770" w14:textId="77777777" w:rsidR="002229EF" w:rsidRDefault="00000000">
            <w:r>
              <w:rPr>
                <w:rFonts w:ascii="Arial" w:eastAsia="Arial" w:hAnsi="Arial" w:cs="Arial"/>
                <w:color w:val="2D2D2D"/>
              </w:rPr>
              <w:t>None at threshold — Holiday Promo &amp; Brand Awareness closest at 254.3% and 247.1%</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F0FF7E7" w14:textId="77777777" w:rsidR="002229EF" w:rsidRDefault="00000000">
            <w:r>
              <w:rPr>
                <w:rFonts w:ascii="Arial" w:eastAsia="Arial" w:hAnsi="Arial" w:cs="Arial"/>
                <w:color w:val="2D2D2D"/>
              </w:rPr>
              <w:t>Scale budget; close to breakthrough threshold</w:t>
            </w:r>
          </w:p>
        </w:tc>
      </w:tr>
      <w:tr w:rsidR="002229EF" w14:paraId="200890CD"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B60C063" w14:textId="77777777" w:rsidR="002229EF" w:rsidRDefault="00000000">
            <w:r>
              <w:rPr>
                <w:rFonts w:ascii="Arial" w:eastAsia="Arial" w:hAnsi="Arial" w:cs="Arial"/>
                <w:color w:val="2D2D2D"/>
              </w:rPr>
              <w:t>🟡 Mid Performer</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9C14E9C" w14:textId="77777777" w:rsidR="002229EF" w:rsidRDefault="00000000">
            <w:pPr>
              <w:jc w:val="center"/>
            </w:pPr>
            <w:r>
              <w:rPr>
                <w:rFonts w:ascii="Arial" w:eastAsia="Arial" w:hAnsi="Arial" w:cs="Arial"/>
                <w:color w:val="2D2D2D"/>
              </w:rPr>
              <w:t>150% – 299%</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7F19CCD" w14:textId="77777777" w:rsidR="002229EF" w:rsidRDefault="00000000">
            <w:r>
              <w:rPr>
                <w:rFonts w:ascii="Arial" w:eastAsia="Arial" w:hAnsi="Arial" w:cs="Arial"/>
                <w:color w:val="2D2D2D"/>
              </w:rPr>
              <w:t>All 5 campaigns (218.5% – 254.3%)</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B192E0D" w14:textId="77777777" w:rsidR="002229EF" w:rsidRDefault="00000000">
            <w:r>
              <w:rPr>
                <w:rFonts w:ascii="Arial" w:eastAsia="Arial" w:hAnsi="Arial" w:cs="Arial"/>
                <w:color w:val="2D2D2D"/>
              </w:rPr>
              <w:t>Optimise targeting to push top 2 into High Performer tier</w:t>
            </w:r>
          </w:p>
        </w:tc>
      </w:tr>
      <w:tr w:rsidR="002229EF" w14:paraId="4EE43C9D"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3A7C76B" w14:textId="77777777" w:rsidR="002229EF" w:rsidRDefault="00000000">
            <w:r>
              <w:rPr>
                <w:rFonts w:ascii="Arial" w:eastAsia="Arial" w:hAnsi="Arial" w:cs="Arial"/>
                <w:color w:val="2D2D2D"/>
              </w:rPr>
              <w:t>🔴 Low Performer</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699F729" w14:textId="77777777" w:rsidR="002229EF" w:rsidRDefault="00000000">
            <w:pPr>
              <w:jc w:val="center"/>
            </w:pPr>
            <w:r>
              <w:rPr>
                <w:rFonts w:ascii="Arial" w:eastAsia="Arial" w:hAnsi="Arial" w:cs="Arial"/>
                <w:color w:val="2D2D2D"/>
              </w:rPr>
              <w:t>&lt; 150%</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BABCEF0" w14:textId="77777777" w:rsidR="002229EF" w:rsidRDefault="00000000">
            <w:r>
              <w:rPr>
                <w:rFonts w:ascii="Arial" w:eastAsia="Arial" w:hAnsi="Arial" w:cs="Arial"/>
                <w:color w:val="2D2D2D"/>
              </w:rPr>
              <w:t>None</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92EAE5F" w14:textId="77777777" w:rsidR="002229EF" w:rsidRDefault="00000000">
            <w:r>
              <w:rPr>
                <w:rFonts w:ascii="Arial" w:eastAsia="Arial" w:hAnsi="Arial" w:cs="Arial"/>
                <w:color w:val="2D2D2D"/>
              </w:rPr>
              <w:t>—</w:t>
            </w:r>
          </w:p>
        </w:tc>
      </w:tr>
    </w:tbl>
    <w:p w14:paraId="24F64587" w14:textId="77777777" w:rsidR="002229EF" w:rsidRDefault="002229EF">
      <w:pPr>
        <w:spacing w:before="100" w:after="120"/>
      </w:pPr>
    </w:p>
    <w:p w14:paraId="16D61480" w14:textId="77777777" w:rsidR="002229EF" w:rsidRDefault="00000000">
      <w:pPr>
        <w:spacing w:before="120" w:after="120"/>
      </w:pPr>
      <w:r>
        <w:rPr>
          <w:rFonts w:ascii="Arial" w:eastAsia="Arial" w:hAnsi="Arial" w:cs="Arial"/>
          <w:i/>
          <w:iCs/>
          <w:color w:val="444444"/>
          <w:sz w:val="21"/>
          <w:szCs w:val="21"/>
        </w:rPr>
        <w:t>Notable: The absence of any Low Performer campaigns is a strong portfolio health signal. All five campaigns are profitable and operating in the mid-performance band, with two close to the high-performance threshold.</w:t>
      </w:r>
    </w:p>
    <w:p w14:paraId="2DDD3EC7" w14:textId="77777777" w:rsidR="002229EF" w:rsidRDefault="002229EF">
      <w:pPr>
        <w:pBdr>
          <w:bottom w:val="single" w:sz="4" w:space="1" w:color="2E86AB"/>
        </w:pBdr>
        <w:spacing w:before="80" w:after="80"/>
      </w:pPr>
    </w:p>
    <w:p w14:paraId="1BBE2EB0" w14:textId="77777777" w:rsidR="002229EF" w:rsidRDefault="00000000">
      <w:pPr>
        <w:spacing w:before="160" w:after="80"/>
      </w:pPr>
      <w:r>
        <w:rPr>
          <w:rFonts w:ascii="Arial" w:eastAsia="Arial" w:hAnsi="Arial" w:cs="Arial"/>
          <w:b/>
          <w:bCs/>
          <w:color w:val="1E3A5F"/>
          <w:sz w:val="23"/>
          <w:szCs w:val="23"/>
        </w:rPr>
        <w:t>5. Q4 2025 REVENUE PROJECTION</w:t>
      </w:r>
    </w:p>
    <w:p w14:paraId="6A11D9F8" w14:textId="77777777" w:rsidR="002229EF" w:rsidRDefault="00000000">
      <w:pPr>
        <w:shd w:val="clear" w:color="auto" w:fill="FFF8E1"/>
        <w:spacing w:after="160"/>
      </w:pPr>
      <w:r>
        <w:rPr>
          <w:rFonts w:ascii="Arial" w:eastAsia="Arial" w:hAnsi="Arial" w:cs="Arial"/>
          <w:b/>
          <w:bCs/>
          <w:color w:val="7D5A00"/>
          <w:sz w:val="19"/>
          <w:szCs w:val="19"/>
        </w:rPr>
        <w:t xml:space="preserve">  Projection Caveat: </w:t>
      </w:r>
      <w:r>
        <w:rPr>
          <w:rFonts w:ascii="Arial" w:eastAsia="Arial" w:hAnsi="Arial" w:cs="Arial"/>
          <w:i/>
          <w:iCs/>
          <w:color w:val="5A5A5A"/>
          <w:sz w:val="19"/>
          <w:szCs w:val="19"/>
        </w:rPr>
        <w:t xml:space="preserve">The following projection is based on three months of Q3 trend data. As standard analytical practice, projections built on short-term datasets carry inherent uncertainty. These figures should be used as directional planning estimates, not financial commitments.  </w:t>
      </w:r>
    </w:p>
    <w:p w14:paraId="49E3FC99" w14:textId="77777777" w:rsidR="002229EF" w:rsidRDefault="00000000">
      <w:pPr>
        <w:spacing w:before="120" w:after="120"/>
      </w:pPr>
      <w:r>
        <w:rPr>
          <w:rFonts w:ascii="Arial" w:eastAsia="Arial" w:hAnsi="Arial" w:cs="Arial"/>
          <w:b/>
          <w:bCs/>
          <w:color w:val="2E86AB"/>
          <w:sz w:val="22"/>
          <w:szCs w:val="22"/>
        </w:rPr>
        <w:t>Projection Methodology:</w:t>
      </w:r>
    </w:p>
    <w:p w14:paraId="4A5E5CF0" w14:textId="77777777" w:rsidR="002229EF" w:rsidRDefault="00000000">
      <w:pPr>
        <w:pStyle w:val="ListParagraph"/>
        <w:numPr>
          <w:ilvl w:val="0"/>
          <w:numId w:val="2"/>
        </w:numPr>
        <w:spacing w:before="60" w:after="60"/>
      </w:pPr>
      <w:r>
        <w:rPr>
          <w:rFonts w:ascii="Arial" w:eastAsia="Arial" w:hAnsi="Arial" w:cs="Arial"/>
          <w:color w:val="2D2D2D"/>
          <w:sz w:val="21"/>
          <w:szCs w:val="21"/>
        </w:rPr>
        <w:t>Base: Q3 average monthly revenue of $807,462 across 3 months</w:t>
      </w:r>
    </w:p>
    <w:p w14:paraId="2120377C" w14:textId="77777777" w:rsidR="002229EF" w:rsidRDefault="00000000">
      <w:pPr>
        <w:pStyle w:val="ListParagraph"/>
        <w:numPr>
          <w:ilvl w:val="0"/>
          <w:numId w:val="2"/>
        </w:numPr>
        <w:spacing w:before="60" w:after="60"/>
      </w:pPr>
      <w:r>
        <w:rPr>
          <w:rFonts w:ascii="Arial" w:eastAsia="Arial" w:hAnsi="Arial" w:cs="Arial"/>
          <w:color w:val="2D2D2D"/>
          <w:sz w:val="21"/>
          <w:szCs w:val="21"/>
        </w:rPr>
        <w:t>Growth factor applied: August MoM growth rate of 8.4% (strongest observed trend)</w:t>
      </w:r>
    </w:p>
    <w:p w14:paraId="6BFD50C8" w14:textId="77777777" w:rsidR="002229EF" w:rsidRDefault="00000000">
      <w:pPr>
        <w:pStyle w:val="ListParagraph"/>
        <w:numPr>
          <w:ilvl w:val="0"/>
          <w:numId w:val="2"/>
        </w:numPr>
        <w:spacing w:before="60" w:after="60"/>
      </w:pPr>
      <w:r>
        <w:rPr>
          <w:rFonts w:ascii="Arial" w:eastAsia="Arial" w:hAnsi="Arial" w:cs="Arial"/>
          <w:color w:val="2D2D2D"/>
          <w:sz w:val="21"/>
          <w:szCs w:val="21"/>
        </w:rPr>
        <w:t>Conservative scenario: 4% MoM growth (half of August rate, accounting for seasonal uncertainty)</w:t>
      </w:r>
    </w:p>
    <w:p w14:paraId="70110675" w14:textId="77777777" w:rsidR="002229EF" w:rsidRDefault="00000000">
      <w:pPr>
        <w:pStyle w:val="ListParagraph"/>
        <w:numPr>
          <w:ilvl w:val="0"/>
          <w:numId w:val="2"/>
        </w:numPr>
        <w:spacing w:before="60" w:after="60"/>
      </w:pPr>
      <w:r>
        <w:rPr>
          <w:rFonts w:ascii="Arial" w:eastAsia="Arial" w:hAnsi="Arial" w:cs="Arial"/>
          <w:color w:val="2D2D2D"/>
          <w:sz w:val="21"/>
          <w:szCs w:val="21"/>
        </w:rPr>
        <w:lastRenderedPageBreak/>
        <w:t>Optimistic scenario: 8.4% MoM growth sustained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229EF" w14:paraId="7E4F8350"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5831B5CE" w14:textId="77777777" w:rsidR="002229EF" w:rsidRDefault="00000000">
            <w:r>
              <w:rPr>
                <w:rFonts w:ascii="Arial" w:eastAsia="Arial" w:hAnsi="Arial" w:cs="Arial"/>
                <w:b/>
                <w:bCs/>
                <w:color w:val="FFFFFF"/>
              </w:rPr>
              <w:t>Scenario</w:t>
            </w:r>
          </w:p>
        </w:tc>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0618910E" w14:textId="77777777" w:rsidR="002229EF" w:rsidRDefault="00000000">
            <w:pPr>
              <w:jc w:val="center"/>
            </w:pPr>
            <w:r>
              <w:rPr>
                <w:rFonts w:ascii="Arial" w:eastAsia="Arial" w:hAnsi="Arial" w:cs="Arial"/>
                <w:b/>
                <w:bCs/>
                <w:color w:val="FFFFFF"/>
              </w:rPr>
              <w:t>Oct 2025</w:t>
            </w:r>
          </w:p>
        </w:tc>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77818B2B" w14:textId="77777777" w:rsidR="002229EF" w:rsidRDefault="00000000">
            <w:pPr>
              <w:jc w:val="center"/>
            </w:pPr>
            <w:r>
              <w:rPr>
                <w:rFonts w:ascii="Arial" w:eastAsia="Arial" w:hAnsi="Arial" w:cs="Arial"/>
                <w:b/>
                <w:bCs/>
                <w:color w:val="FFFFFF"/>
              </w:rPr>
              <w:t>Nov 2025</w:t>
            </w:r>
          </w:p>
        </w:tc>
        <w:tc>
          <w:tcPr>
            <w:tcW w:w="2340" w:type="dxa"/>
            <w:tcBorders>
              <w:top w:val="single" w:sz="4" w:space="0" w:color="C5D8E8"/>
              <w:left w:val="single" w:sz="4" w:space="0" w:color="C5D8E8"/>
              <w:bottom w:val="single" w:sz="4" w:space="0" w:color="C5D8E8"/>
              <w:right w:val="single" w:sz="4" w:space="0" w:color="C5D8E8"/>
            </w:tcBorders>
            <w:shd w:val="clear" w:color="auto" w:fill="1E3A5F"/>
            <w:tcMar>
              <w:top w:w="100" w:type="dxa"/>
              <w:left w:w="140" w:type="dxa"/>
              <w:bottom w:w="100" w:type="dxa"/>
              <w:right w:w="140" w:type="dxa"/>
            </w:tcMar>
          </w:tcPr>
          <w:p w14:paraId="3FC4DC98" w14:textId="77777777" w:rsidR="002229EF" w:rsidRDefault="00000000">
            <w:pPr>
              <w:jc w:val="center"/>
            </w:pPr>
            <w:r>
              <w:rPr>
                <w:rFonts w:ascii="Arial" w:eastAsia="Arial" w:hAnsi="Arial" w:cs="Arial"/>
                <w:b/>
                <w:bCs/>
                <w:color w:val="FFFFFF"/>
              </w:rPr>
              <w:t>Q4 Total (Est.)</w:t>
            </w:r>
          </w:p>
        </w:tc>
      </w:tr>
      <w:tr w:rsidR="002229EF" w14:paraId="23DC960E"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B6D9AEF" w14:textId="77777777" w:rsidR="002229EF" w:rsidRDefault="00000000">
            <w:r>
              <w:rPr>
                <w:rFonts w:ascii="Arial" w:eastAsia="Arial" w:hAnsi="Arial" w:cs="Arial"/>
                <w:color w:val="2D2D2D"/>
              </w:rPr>
              <w:t>Conservative (4% MoM growth)</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6DD9ADD" w14:textId="77777777" w:rsidR="002229EF" w:rsidRDefault="00000000">
            <w:pPr>
              <w:jc w:val="center"/>
            </w:pPr>
            <w:r>
              <w:rPr>
                <w:rFonts w:ascii="Arial" w:eastAsia="Arial" w:hAnsi="Arial" w:cs="Arial"/>
                <w:color w:val="2D2D2D"/>
              </w:rPr>
              <w:t>$839,760</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E8AFA89" w14:textId="77777777" w:rsidR="002229EF" w:rsidRDefault="00000000">
            <w:pPr>
              <w:jc w:val="center"/>
            </w:pPr>
            <w:r>
              <w:rPr>
                <w:rFonts w:ascii="Arial" w:eastAsia="Arial" w:hAnsi="Arial" w:cs="Arial"/>
                <w:color w:val="2D2D2D"/>
              </w:rPr>
              <w:t>$873,350</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4BA22F9" w14:textId="77777777" w:rsidR="002229EF" w:rsidRDefault="00000000">
            <w:pPr>
              <w:jc w:val="center"/>
            </w:pPr>
            <w:r>
              <w:rPr>
                <w:rFonts w:ascii="Arial" w:eastAsia="Arial" w:hAnsi="Arial" w:cs="Arial"/>
                <w:color w:val="2D2D2D"/>
              </w:rPr>
              <w:t>~$2,622,000</w:t>
            </w:r>
          </w:p>
        </w:tc>
      </w:tr>
      <w:tr w:rsidR="002229EF" w14:paraId="3FFE3031"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0756AA1" w14:textId="77777777" w:rsidR="002229EF" w:rsidRDefault="00000000">
            <w:r>
              <w:rPr>
                <w:rFonts w:ascii="Arial" w:eastAsia="Arial" w:hAnsi="Arial" w:cs="Arial"/>
                <w:color w:val="2D2D2D"/>
              </w:rPr>
              <w:t>Baseline (flat Q3 avg)</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38890A3" w14:textId="77777777" w:rsidR="002229EF" w:rsidRDefault="00000000">
            <w:pPr>
              <w:jc w:val="center"/>
            </w:pPr>
            <w:r>
              <w:rPr>
                <w:rFonts w:ascii="Arial" w:eastAsia="Arial" w:hAnsi="Arial" w:cs="Arial"/>
                <w:color w:val="2D2D2D"/>
              </w:rPr>
              <w:t>$807,462</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9217123" w14:textId="77777777" w:rsidR="002229EF" w:rsidRDefault="00000000">
            <w:pPr>
              <w:jc w:val="center"/>
            </w:pPr>
            <w:r>
              <w:rPr>
                <w:rFonts w:ascii="Arial" w:eastAsia="Arial" w:hAnsi="Arial" w:cs="Arial"/>
                <w:color w:val="2D2D2D"/>
              </w:rPr>
              <w:t>$807,462</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2FE4733" w14:textId="77777777" w:rsidR="002229EF" w:rsidRDefault="00000000">
            <w:pPr>
              <w:jc w:val="center"/>
            </w:pPr>
            <w:r>
              <w:rPr>
                <w:rFonts w:ascii="Arial" w:eastAsia="Arial" w:hAnsi="Arial" w:cs="Arial"/>
                <w:color w:val="2D2D2D"/>
              </w:rPr>
              <w:t>~$2,422,000</w:t>
            </w:r>
          </w:p>
        </w:tc>
      </w:tr>
      <w:tr w:rsidR="002229EF" w14:paraId="0F531878" w14:textId="77777777">
        <w:tblPrEx>
          <w:tblCellMar>
            <w:top w:w="0" w:type="dxa"/>
            <w:bottom w:w="0" w:type="dxa"/>
          </w:tblCellMar>
        </w:tblPrEx>
        <w:tc>
          <w:tcPr>
            <w:tcW w:w="234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58B9847" w14:textId="77777777" w:rsidR="002229EF" w:rsidRDefault="00000000">
            <w:r>
              <w:rPr>
                <w:rFonts w:ascii="Arial" w:eastAsia="Arial" w:hAnsi="Arial" w:cs="Arial"/>
                <w:b/>
                <w:bCs/>
                <w:color w:val="2D2D2D"/>
              </w:rPr>
              <w:t>Optimistic (8.4% MoM growth)</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75D926B" w14:textId="77777777" w:rsidR="002229EF" w:rsidRDefault="00000000">
            <w:pPr>
              <w:jc w:val="center"/>
            </w:pPr>
            <w:r>
              <w:rPr>
                <w:rFonts w:ascii="Arial" w:eastAsia="Arial" w:hAnsi="Arial" w:cs="Arial"/>
                <w:b/>
                <w:bCs/>
                <w:color w:val="1A6B3C"/>
              </w:rPr>
              <w:t>$875,429</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BC6D64E" w14:textId="77777777" w:rsidR="002229EF" w:rsidRDefault="00000000">
            <w:pPr>
              <w:jc w:val="center"/>
            </w:pPr>
            <w:r>
              <w:rPr>
                <w:rFonts w:ascii="Arial" w:eastAsia="Arial" w:hAnsi="Arial" w:cs="Arial"/>
                <w:b/>
                <w:bCs/>
                <w:color w:val="1A6B3C"/>
              </w:rPr>
              <w:t>$948,965</w:t>
            </w:r>
          </w:p>
        </w:tc>
        <w:tc>
          <w:tcPr>
            <w:tcW w:w="234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6185A76" w14:textId="77777777" w:rsidR="002229EF" w:rsidRDefault="00000000">
            <w:pPr>
              <w:jc w:val="center"/>
            </w:pPr>
            <w:r>
              <w:rPr>
                <w:rFonts w:ascii="Arial" w:eastAsia="Arial" w:hAnsi="Arial" w:cs="Arial"/>
                <w:b/>
                <w:bCs/>
                <w:color w:val="1A6B3C"/>
              </w:rPr>
              <w:t>~$2,824,000</w:t>
            </w:r>
          </w:p>
        </w:tc>
      </w:tr>
    </w:tbl>
    <w:p w14:paraId="01DE5E88" w14:textId="77777777" w:rsidR="002229EF" w:rsidRDefault="002229EF">
      <w:pPr>
        <w:spacing w:before="100" w:after="120"/>
      </w:pPr>
    </w:p>
    <w:p w14:paraId="4ADD3DF4" w14:textId="77777777" w:rsidR="002229EF" w:rsidRDefault="00000000">
      <w:pPr>
        <w:spacing w:before="120" w:after="120"/>
      </w:pPr>
      <w:r>
        <w:rPr>
          <w:rFonts w:ascii="Arial" w:eastAsia="Arial" w:hAnsi="Arial" w:cs="Arial"/>
          <w:color w:val="2D2D2D"/>
          <w:sz w:val="22"/>
          <w:szCs w:val="22"/>
        </w:rPr>
        <w:t>Based on the trend data, a conservative Q4 target of $2.6M–$2.8M is reasonable assuming the current channel mix is maintained and budget is not reduced. The optimistic scenario is achievable if TikTok Ads spend is scaled and Holiday Promo is activated early in Q4.</w:t>
      </w:r>
    </w:p>
    <w:p w14:paraId="249E9C7A" w14:textId="77777777" w:rsidR="002229EF" w:rsidRDefault="002229EF">
      <w:pPr>
        <w:pBdr>
          <w:bottom w:val="single" w:sz="4" w:space="1" w:color="2E86AB"/>
        </w:pBdr>
        <w:spacing w:before="80" w:after="80"/>
      </w:pPr>
    </w:p>
    <w:p w14:paraId="73E5AED6" w14:textId="77777777" w:rsidR="002229EF" w:rsidRDefault="00000000">
      <w:pPr>
        <w:spacing w:before="160" w:after="80"/>
      </w:pPr>
      <w:r>
        <w:rPr>
          <w:rFonts w:ascii="Arial" w:eastAsia="Arial" w:hAnsi="Arial" w:cs="Arial"/>
          <w:b/>
          <w:bCs/>
          <w:color w:val="1E3A5F"/>
          <w:sz w:val="23"/>
          <w:szCs w:val="23"/>
        </w:rPr>
        <w:t>6. STRATEGIC RECOMMENDATIONS</w:t>
      </w:r>
    </w:p>
    <w:p w14:paraId="4D7142A0" w14:textId="77777777" w:rsidR="002229EF" w:rsidRDefault="00000000">
      <w:pPr>
        <w:pStyle w:val="ListParagraph"/>
        <w:numPr>
          <w:ilvl w:val="0"/>
          <w:numId w:val="2"/>
        </w:numPr>
        <w:spacing w:before="60" w:after="60"/>
      </w:pPr>
      <w:r>
        <w:rPr>
          <w:rFonts w:ascii="Arial" w:eastAsia="Arial" w:hAnsi="Arial" w:cs="Arial"/>
          <w:color w:val="2D2D2D"/>
          <w:sz w:val="21"/>
          <w:szCs w:val="21"/>
        </w:rPr>
        <w:t>Scale TikTok Ads budget by 15–20% in Q4 — highest ROI channel (259.6%) with room to grow</w:t>
      </w:r>
    </w:p>
    <w:p w14:paraId="0D15C9C5" w14:textId="77777777" w:rsidR="002229EF" w:rsidRDefault="00000000">
      <w:pPr>
        <w:pStyle w:val="ListParagraph"/>
        <w:numPr>
          <w:ilvl w:val="0"/>
          <w:numId w:val="2"/>
        </w:numPr>
        <w:spacing w:before="60" w:after="60"/>
      </w:pPr>
      <w:r>
        <w:rPr>
          <w:rFonts w:ascii="Arial" w:eastAsia="Arial" w:hAnsi="Arial" w:cs="Arial"/>
          <w:color w:val="2D2D2D"/>
          <w:sz w:val="21"/>
          <w:szCs w:val="21"/>
        </w:rPr>
        <w:t>Activate Holiday Promo campaign early (October) — highest revenue-generating campaign in Q3</w:t>
      </w:r>
    </w:p>
    <w:p w14:paraId="17EA55A6" w14:textId="77777777" w:rsidR="002229EF" w:rsidRDefault="00000000">
      <w:pPr>
        <w:pStyle w:val="ListParagraph"/>
        <w:numPr>
          <w:ilvl w:val="0"/>
          <w:numId w:val="2"/>
        </w:numPr>
        <w:spacing w:before="60" w:after="60"/>
      </w:pPr>
      <w:r>
        <w:rPr>
          <w:rFonts w:ascii="Arial" w:eastAsia="Arial" w:hAnsi="Arial" w:cs="Arial"/>
          <w:color w:val="2D2D2D"/>
          <w:sz w:val="21"/>
          <w:szCs w:val="21"/>
        </w:rPr>
        <w:t>Deprioritise click-volume optimisation; shift to conversion rate optimisation (CRO) for landing pages</w:t>
      </w:r>
    </w:p>
    <w:p w14:paraId="13E474EF" w14:textId="77777777" w:rsidR="002229EF" w:rsidRDefault="00000000">
      <w:pPr>
        <w:pStyle w:val="ListParagraph"/>
        <w:numPr>
          <w:ilvl w:val="0"/>
          <w:numId w:val="2"/>
        </w:numPr>
        <w:spacing w:before="60" w:after="60"/>
      </w:pPr>
      <w:r>
        <w:rPr>
          <w:rFonts w:ascii="Arial" w:eastAsia="Arial" w:hAnsi="Arial" w:cs="Arial"/>
          <w:color w:val="2D2D2D"/>
          <w:sz w:val="21"/>
          <w:szCs w:val="21"/>
        </w:rPr>
        <w:t>Review Lead Gen campaign strategy — while profitable at 218.5% ROI, it trails the other four by a meaningful margin</w:t>
      </w:r>
    </w:p>
    <w:p w14:paraId="3E66AE12" w14:textId="77777777" w:rsidR="002229EF" w:rsidRDefault="00000000">
      <w:pPr>
        <w:pStyle w:val="ListParagraph"/>
        <w:numPr>
          <w:ilvl w:val="0"/>
          <w:numId w:val="2"/>
        </w:numPr>
        <w:spacing w:before="60" w:after="60"/>
      </w:pPr>
      <w:r>
        <w:rPr>
          <w:rFonts w:ascii="Arial" w:eastAsia="Arial" w:hAnsi="Arial" w:cs="Arial"/>
          <w:color w:val="2D2D2D"/>
          <w:sz w:val="21"/>
          <w:szCs w:val="21"/>
        </w:rPr>
        <w:t>Set a Q4 revenue target of $2.65M as the primary planning benchmark, with $2.82M as the stretch goal</w:t>
      </w:r>
    </w:p>
    <w:p w14:paraId="0430B9B1" w14:textId="77777777" w:rsidR="002229EF" w:rsidRDefault="002229EF">
      <w:pPr>
        <w:spacing w:before="200" w:after="120"/>
      </w:pPr>
    </w:p>
    <w:p w14:paraId="5C5063E9" w14:textId="77777777" w:rsidR="002229EF" w:rsidRDefault="00000000">
      <w:pPr>
        <w:spacing w:before="120" w:after="120"/>
      </w:pPr>
      <w:r>
        <w:rPr>
          <w:rFonts w:ascii="Arial" w:eastAsia="Arial" w:hAnsi="Arial" w:cs="Arial"/>
          <w:color w:val="2D2D2D"/>
          <w:sz w:val="22"/>
          <w:szCs w:val="22"/>
        </w:rPr>
        <w:t>This memo was prepared based on Q3 2025 cleaned datasets. Please reach out if you require any clarification or a deeper drill-down on specific channels or campaigns.</w:t>
      </w:r>
    </w:p>
    <w:p w14:paraId="1315CCB8" w14:textId="77777777" w:rsidR="002229EF" w:rsidRDefault="002229EF">
      <w:pPr>
        <w:spacing w:before="80" w:after="120"/>
      </w:pPr>
    </w:p>
    <w:p w14:paraId="465B77F9" w14:textId="77777777" w:rsidR="002229EF" w:rsidRDefault="00000000">
      <w:pPr>
        <w:spacing w:before="120" w:after="120"/>
      </w:pPr>
      <w:r>
        <w:rPr>
          <w:rFonts w:ascii="Arial" w:eastAsia="Arial" w:hAnsi="Arial" w:cs="Arial"/>
          <w:b/>
          <w:bCs/>
          <w:color w:val="2D2D2D"/>
          <w:sz w:val="22"/>
          <w:szCs w:val="22"/>
        </w:rPr>
        <w:t>Submitted by: Augustine Jasmine Oyindeinyefa</w:t>
      </w:r>
    </w:p>
    <w:p w14:paraId="3E167016" w14:textId="77777777" w:rsidR="002229EF" w:rsidRDefault="00000000">
      <w:pPr>
        <w:spacing w:before="120" w:after="120"/>
      </w:pPr>
      <w:r>
        <w:rPr>
          <w:rFonts w:ascii="Arial" w:eastAsia="Arial" w:hAnsi="Arial" w:cs="Arial"/>
          <w:color w:val="5A5A5A"/>
        </w:rPr>
        <w:t>Data Analyst &amp; Business Intelligence Specialist  |  Savvy Datalytics Solutions</w:t>
      </w:r>
    </w:p>
    <w:p w14:paraId="7DD6D3A8" w14:textId="77777777" w:rsidR="002229EF" w:rsidRDefault="002229EF">
      <w:pPr>
        <w:pBdr>
          <w:bottom w:val="single" w:sz="4" w:space="1" w:color="2E86AB"/>
        </w:pBdr>
        <w:spacing w:before="80" w:after="80"/>
      </w:pPr>
    </w:p>
    <w:p w14:paraId="3582C1CD" w14:textId="063E3C64" w:rsidR="002229EF" w:rsidRDefault="00000000">
      <w:pPr>
        <w:spacing w:before="80" w:after="120"/>
        <w:jc w:val="center"/>
      </w:pPr>
      <w:r>
        <w:rPr>
          <w:rFonts w:ascii="Arial" w:eastAsia="Arial" w:hAnsi="Arial" w:cs="Arial"/>
          <w:i/>
          <w:iCs/>
          <w:color w:val="888888"/>
          <w:sz w:val="16"/>
          <w:szCs w:val="16"/>
        </w:rPr>
        <w:t xml:space="preserve">CONFIDENTIAL — Prepared for </w:t>
      </w:r>
      <w:r w:rsidR="003866BC" w:rsidRPr="003866BC">
        <w:rPr>
          <w:rFonts w:ascii="Arial" w:eastAsia="Arial" w:hAnsi="Arial" w:cs="Arial"/>
          <w:i/>
          <w:iCs/>
          <w:color w:val="888888"/>
          <w:sz w:val="16"/>
          <w:szCs w:val="16"/>
        </w:rPr>
        <w:t>Savvy Datalytics Solutions</w:t>
      </w:r>
      <w:r w:rsidR="003866BC" w:rsidRPr="003866BC">
        <w:rPr>
          <w:rFonts w:ascii="Arial" w:eastAsia="Arial" w:hAnsi="Arial" w:cs="Arial"/>
          <w:i/>
          <w:iCs/>
          <w:color w:val="888888"/>
          <w:sz w:val="16"/>
          <w:szCs w:val="16"/>
        </w:rPr>
        <w:t xml:space="preserve"> </w:t>
      </w:r>
      <w:r>
        <w:rPr>
          <w:rFonts w:ascii="Arial" w:eastAsia="Arial" w:hAnsi="Arial" w:cs="Arial"/>
          <w:i/>
          <w:iCs/>
          <w:color w:val="888888"/>
          <w:sz w:val="16"/>
          <w:szCs w:val="16"/>
        </w:rPr>
        <w:t>| Q3 2025 Business Intelligence</w:t>
      </w:r>
    </w:p>
    <w:sectPr w:rsidR="002229E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6A1E"/>
    <w:multiLevelType w:val="hybridMultilevel"/>
    <w:tmpl w:val="AA30A70C"/>
    <w:lvl w:ilvl="0" w:tplc="003C64B0">
      <w:start w:val="1"/>
      <w:numFmt w:val="bullet"/>
      <w:lvlText w:val="•"/>
      <w:lvlJc w:val="left"/>
      <w:pPr>
        <w:ind w:left="600" w:hanging="300"/>
      </w:pPr>
    </w:lvl>
    <w:lvl w:ilvl="1" w:tplc="47A01B34">
      <w:numFmt w:val="decimal"/>
      <w:lvlText w:val=""/>
      <w:lvlJc w:val="left"/>
    </w:lvl>
    <w:lvl w:ilvl="2" w:tplc="00145E32">
      <w:numFmt w:val="decimal"/>
      <w:lvlText w:val=""/>
      <w:lvlJc w:val="left"/>
    </w:lvl>
    <w:lvl w:ilvl="3" w:tplc="3F643E96">
      <w:numFmt w:val="decimal"/>
      <w:lvlText w:val=""/>
      <w:lvlJc w:val="left"/>
    </w:lvl>
    <w:lvl w:ilvl="4" w:tplc="500E9878">
      <w:numFmt w:val="decimal"/>
      <w:lvlText w:val=""/>
      <w:lvlJc w:val="left"/>
    </w:lvl>
    <w:lvl w:ilvl="5" w:tplc="C4407A6A">
      <w:numFmt w:val="decimal"/>
      <w:lvlText w:val=""/>
      <w:lvlJc w:val="left"/>
    </w:lvl>
    <w:lvl w:ilvl="6" w:tplc="912CEC00">
      <w:numFmt w:val="decimal"/>
      <w:lvlText w:val=""/>
      <w:lvlJc w:val="left"/>
    </w:lvl>
    <w:lvl w:ilvl="7" w:tplc="39D29842">
      <w:numFmt w:val="decimal"/>
      <w:lvlText w:val=""/>
      <w:lvlJc w:val="left"/>
    </w:lvl>
    <w:lvl w:ilvl="8" w:tplc="980C98B4">
      <w:numFmt w:val="decimal"/>
      <w:lvlText w:val=""/>
      <w:lvlJc w:val="left"/>
    </w:lvl>
  </w:abstractNum>
  <w:abstractNum w:abstractNumId="1" w15:restartNumberingAfterBreak="0">
    <w:nsid w:val="48CD1663"/>
    <w:multiLevelType w:val="hybridMultilevel"/>
    <w:tmpl w:val="65DAC4F2"/>
    <w:lvl w:ilvl="0" w:tplc="0556257C">
      <w:start w:val="1"/>
      <w:numFmt w:val="bullet"/>
      <w:lvlText w:val="●"/>
      <w:lvlJc w:val="left"/>
      <w:pPr>
        <w:ind w:left="720" w:hanging="360"/>
      </w:pPr>
    </w:lvl>
    <w:lvl w:ilvl="1" w:tplc="4C16687C">
      <w:start w:val="1"/>
      <w:numFmt w:val="bullet"/>
      <w:lvlText w:val="○"/>
      <w:lvlJc w:val="left"/>
      <w:pPr>
        <w:ind w:left="1440" w:hanging="360"/>
      </w:pPr>
    </w:lvl>
    <w:lvl w:ilvl="2" w:tplc="E95AD42A">
      <w:start w:val="1"/>
      <w:numFmt w:val="bullet"/>
      <w:lvlText w:val="■"/>
      <w:lvlJc w:val="left"/>
      <w:pPr>
        <w:ind w:left="2160" w:hanging="360"/>
      </w:pPr>
    </w:lvl>
    <w:lvl w:ilvl="3" w:tplc="E0188182">
      <w:start w:val="1"/>
      <w:numFmt w:val="bullet"/>
      <w:lvlText w:val="●"/>
      <w:lvlJc w:val="left"/>
      <w:pPr>
        <w:ind w:left="2880" w:hanging="360"/>
      </w:pPr>
    </w:lvl>
    <w:lvl w:ilvl="4" w:tplc="B7FE03DE">
      <w:start w:val="1"/>
      <w:numFmt w:val="bullet"/>
      <w:lvlText w:val="○"/>
      <w:lvlJc w:val="left"/>
      <w:pPr>
        <w:ind w:left="3600" w:hanging="360"/>
      </w:pPr>
    </w:lvl>
    <w:lvl w:ilvl="5" w:tplc="AF3410F8">
      <w:start w:val="1"/>
      <w:numFmt w:val="bullet"/>
      <w:lvlText w:val="■"/>
      <w:lvlJc w:val="left"/>
      <w:pPr>
        <w:ind w:left="4320" w:hanging="360"/>
      </w:pPr>
    </w:lvl>
    <w:lvl w:ilvl="6" w:tplc="5A524F46">
      <w:start w:val="1"/>
      <w:numFmt w:val="bullet"/>
      <w:lvlText w:val="●"/>
      <w:lvlJc w:val="left"/>
      <w:pPr>
        <w:ind w:left="5040" w:hanging="360"/>
      </w:pPr>
    </w:lvl>
    <w:lvl w:ilvl="7" w:tplc="8DA8104E">
      <w:start w:val="1"/>
      <w:numFmt w:val="bullet"/>
      <w:lvlText w:val="●"/>
      <w:lvlJc w:val="left"/>
      <w:pPr>
        <w:ind w:left="5760" w:hanging="360"/>
      </w:pPr>
    </w:lvl>
    <w:lvl w:ilvl="8" w:tplc="BD5607F2">
      <w:start w:val="1"/>
      <w:numFmt w:val="bullet"/>
      <w:lvlText w:val="●"/>
      <w:lvlJc w:val="left"/>
      <w:pPr>
        <w:ind w:left="6480" w:hanging="360"/>
      </w:pPr>
    </w:lvl>
  </w:abstractNum>
  <w:num w:numId="1" w16cid:durableId="378290054">
    <w:abstractNumId w:val="1"/>
    <w:lvlOverride w:ilvl="0">
      <w:startOverride w:val="1"/>
    </w:lvlOverride>
  </w:num>
  <w:num w:numId="2" w16cid:durableId="554857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9EF"/>
    <w:rsid w:val="00176389"/>
    <w:rsid w:val="002229EF"/>
    <w:rsid w:val="003866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132F"/>
  <w15:docId w15:val="{98B4C5E6-B7A8-4268-BDC5-DDE2AF962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Augustine, Jasmine</cp:lastModifiedBy>
  <cp:revision>2</cp:revision>
  <dcterms:created xsi:type="dcterms:W3CDTF">2026-06-23T23:32:00Z</dcterms:created>
  <dcterms:modified xsi:type="dcterms:W3CDTF">2026-06-23T23:32:00Z</dcterms:modified>
</cp:coreProperties>
</file>