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70341737"/>
        <w15:appearance w15:val="hidden"/>
        <w:tag w:val="tii-similarity-SU5URVJORVRfd3d3LmNvdXJzZWhlcm8uY29t"/>
        <w:placeholder>
          <w:docPart w:val="DefaultPlaceholder_-1854013440"/>
        </w:placeholder>
      </w:sdtPr>
      <w:sdtContent>
        <w:p w:rsidRPr="000B05B1" w:rsidR="009714E8" w:rsidP="00B1117F" w:rsidRDefault="00B1117F" w14:paraId="3E1E9C61" w14:textId="059B6927">
          <w:pPr>
            <w:pStyle w:val="Heading1"/>
            <w:rPr>
              <w:rFonts w:eastAsia="Times New Roman"/>
              <w:b w:val="0"/>
              <w:bCs w:val="0"/>
              <w:sz w:val="22"/>
              <w:szCs w:val="22"/>
            </w:rPr>
          </w:pPr>
          <w:r w:rsidR="00B1117F">
            <w:rPr>
              <w:b w:val="0"/>
              <w:bCs w:val="0"/>
            </w:rPr>
            <w:t>CS 305 Project One Template</w:t>
          </w:r>
        </w:p>
      </w:sdtContent>
    </w:sdt>
    <w:p w:rsidRPr="004079F2" w:rsidR="00BF4E7E" w:rsidP="004609FD" w:rsidRDefault="00BF4E7E" w14:paraId="06613801" w14:textId="77777777">
      <w:pPr>
        <w:suppressAutoHyphens/>
        <w:spacing w:after="0" w:line="240" w:lineRule="auto"/>
        <w:contextualSpacing/>
      </w:pPr>
      <w:bookmarkStart w:name="_Toc32574607" w:id="0"/>
      <w:bookmarkStart w:name="_Toc1483357155" w:id="1"/>
      <w:bookmarkStart w:name="_Toc714089909" w:id="2"/>
    </w:p>
    <w:sdt>
      <w:sdtPr>
        <w:id w:val="1972804239"/>
        <w15:appearance w15:val="hidden"/>
        <w:tag w:val="tii-similarity-SU5URVJORVRfd3d3LmNvdXJzZWhlcm8uY29t"/>
        <w:placeholder>
          <w:docPart w:val="DefaultPlaceholder_-1854013440"/>
        </w:placeholder>
      </w:sdtPr>
      <w:sdtContent>
        <w:p w:rsidRPr="000B05B1" w:rsidR="00705D42" w:rsidP="004609FD" w:rsidRDefault="00705D42" w14:paraId="68198029" w14:textId="77777777">
          <w:pPr>
            <w:pStyle w:val="Heading2"/>
            <w:rPr>
              <w:b w:val="0"/>
              <w:bCs w:val="0"/>
            </w:rPr>
          </w:pPr>
          <w:bookmarkStart w:name="_Toc32574609" w:id="3"/>
          <w:bookmarkStart w:name="_Toc553343011" w:id="4"/>
          <w:bookmarkStart w:name="_Toc1663275437" w:id="5"/>
          <w:r w:rsidR="00705D42">
            <w:rPr>
              <w:b w:val="0"/>
              <w:bCs w:val="0"/>
            </w:rPr>
            <w:t>Document Revision History</w:t>
          </w:r>
        </w:p>
      </w:sdtContent>
    </w:sdt>
    <w:p w:rsidRPr="000B05B1" w:rsidR="00705D42" w:rsidP="004609FD" w:rsidRDefault="00705D42" w14:paraId="35569450" w14:textId="77777777">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Pr="000B05B1" w:rsidR="00705D42" w:rsidTr="186B9700" w14:paraId="16549E2F" w14:textId="77777777">
        <w:trPr>
          <w:cantSplit/>
          <w:tblHeader/>
        </w:trPr>
        <w:tc>
          <w:tcPr>
            <w:tcW w:w="2337" w:type="dxa"/>
            <w:tcMar>
              <w:left w:w="115" w:type="dxa"/>
              <w:right w:w="115" w:type="dxa"/>
            </w:tcMar>
          </w:tcPr>
          <w:p w:rsidRPr="000B05B1" w:rsidR="00705D42" w:rsidP="004609FD" w:rsidRDefault="00705D42" w14:paraId="55849EB9"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rsidRPr="000B05B1" w:rsidR="00705D42" w:rsidP="004609FD" w:rsidRDefault="00705D42" w14:paraId="5BC9FAFE"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rsidRPr="000B05B1" w:rsidR="00705D42" w:rsidP="004609FD" w:rsidRDefault="00705D42" w14:paraId="6EAECFAB"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rsidRPr="000B05B1" w:rsidR="00705D42" w:rsidP="004609FD" w:rsidRDefault="00705D42" w14:paraId="4361B474"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Pr="000B05B1" w:rsidR="00705D42" w:rsidTr="186B9700" w14:paraId="5D341E9F" w14:textId="77777777">
        <w:trPr>
          <w:cantSplit/>
          <w:tblHeader/>
        </w:trPr>
        <w:tc>
          <w:tcPr>
            <w:tcW w:w="2337" w:type="dxa"/>
            <w:tcMar>
              <w:left w:w="115" w:type="dxa"/>
              <w:right w:w="115" w:type="dxa"/>
            </w:tcMar>
          </w:tcPr>
          <w:sdt>
            <w:sdtPr>
              <w:id w:val="70775788"/>
              <w15:appearance w15:val="hidden"/>
              <w:tag w:val="tii-similarity-SU5URVJORVRfd3d3LmNvdXJzZWhlcm8uY29t"/>
              <w:placeholder>
                <w:docPart w:val="DefaultPlaceholder_-1854013440"/>
              </w:placeholder>
            </w:sdtPr>
            <w:sdtContent>
              <w:p w:rsidRPr="000B05B1" w:rsidR="00705D42" w:rsidP="186B9700" w:rsidRDefault="00705D42" w14:paraId="474534F6" w14:textId="77777777">
                <w:pPr>
                  <w:suppressAutoHyphens/>
                  <w:spacing w:after="0" w:line="240" w:lineRule="auto"/>
                  <w:contextualSpacing/>
                  <w:jc w:val="center"/>
                  <w:rPr>
                    <w:rFonts w:eastAsia="Times New Roman" w:cs="Calibri" w:cstheme="minorAscii"/>
                    <w:b w:val="0"/>
                    <w:bCs w:val="0"/>
                  </w:rPr>
                </w:pPr>
                <w:r w:rsidRPr="186B9700" w:rsidR="00705D42">
                  <w:rPr>
                    <w:rFonts w:eastAsia="Times New Roman" w:cs="Calibri" w:cstheme="minorAscii"/>
                    <w:b w:val="0"/>
                    <w:bCs w:val="0"/>
                  </w:rPr>
                  <w:t>1.0</w:t>
                </w:r>
              </w:p>
            </w:sdtContent>
          </w:sdt>
        </w:tc>
        <w:tc>
          <w:tcPr>
            <w:tcW w:w="2337" w:type="dxa"/>
            <w:tcMar>
              <w:left w:w="115" w:type="dxa"/>
              <w:right w:w="115" w:type="dxa"/>
            </w:tcMar>
          </w:tcPr>
          <w:p w:rsidRPr="000B05B1" w:rsidR="00705D42" w:rsidP="303D471C" w:rsidRDefault="00705D42" w14:paraId="450D8A92" w14:textId="19C94568">
            <w:pPr>
              <w:pStyle w:val="Normal"/>
              <w:suppressLineNumbers w:val="0"/>
              <w:bidi w:val="0"/>
              <w:spacing w:before="0" w:beforeAutospacing="off" w:after="0" w:afterAutospacing="off" w:line="240" w:lineRule="auto"/>
              <w:ind w:left="0" w:right="0"/>
              <w:jc w:val="center"/>
            </w:pPr>
            <w:r w:rsidRPr="303D471C" w:rsidR="19D43BAC">
              <w:rPr>
                <w:rFonts w:eastAsia="Times New Roman" w:cs="Calibri" w:cstheme="minorAscii"/>
                <w:b w:val="1"/>
                <w:bCs w:val="1"/>
              </w:rPr>
              <w:t>9/28/2025</w:t>
            </w:r>
          </w:p>
        </w:tc>
        <w:tc>
          <w:tcPr>
            <w:tcW w:w="2338" w:type="dxa"/>
            <w:tcMar>
              <w:left w:w="115" w:type="dxa"/>
              <w:right w:w="115" w:type="dxa"/>
            </w:tcMar>
          </w:tcPr>
          <w:p w:rsidRPr="000B05B1" w:rsidR="00705D42" w:rsidP="303D471C" w:rsidRDefault="00705D42" w14:paraId="3389EEA3" w14:textId="63E9E088">
            <w:pPr>
              <w:pStyle w:val="Normal"/>
              <w:suppressLineNumbers w:val="0"/>
              <w:bidi w:val="0"/>
              <w:spacing w:before="0" w:beforeAutospacing="off" w:after="0" w:afterAutospacing="off" w:line="240" w:lineRule="auto"/>
              <w:ind w:left="0" w:right="0"/>
              <w:jc w:val="center"/>
            </w:pPr>
            <w:r w:rsidRPr="303D471C" w:rsidR="19D43BAC">
              <w:rPr>
                <w:rFonts w:eastAsia="Times New Roman" w:cs="Calibri" w:cstheme="minorAscii"/>
                <w:b w:val="1"/>
                <w:bCs w:val="1"/>
              </w:rPr>
              <w:t>Jasmyne Fisher</w:t>
            </w:r>
          </w:p>
        </w:tc>
        <w:tc>
          <w:tcPr>
            <w:tcW w:w="2338" w:type="dxa"/>
            <w:tcMar>
              <w:left w:w="115" w:type="dxa"/>
              <w:right w:w="115" w:type="dxa"/>
            </w:tcMar>
          </w:tcPr>
          <w:p w:rsidRPr="000B05B1" w:rsidR="00705D42" w:rsidP="004609FD" w:rsidRDefault="00705D42" w14:paraId="4D94B6C2" w14:textId="77777777">
            <w:pPr>
              <w:suppressAutoHyphens/>
              <w:spacing w:after="0" w:line="240" w:lineRule="auto"/>
              <w:contextualSpacing/>
              <w:jc w:val="center"/>
              <w:rPr>
                <w:rFonts w:eastAsia="Times New Roman" w:cstheme="minorHAnsi"/>
                <w:b/>
                <w:bCs/>
              </w:rPr>
            </w:pPr>
          </w:p>
        </w:tc>
      </w:tr>
    </w:tbl>
    <w:p w:rsidRPr="000B05B1" w:rsidR="00705D42" w:rsidP="004609FD" w:rsidRDefault="00705D42" w14:paraId="3387940D" w14:textId="77777777">
      <w:pPr>
        <w:suppressAutoHyphens/>
        <w:spacing w:after="0" w:line="240" w:lineRule="auto"/>
        <w:contextualSpacing/>
        <w:rPr>
          <w:rFonts w:eastAsia="Times New Roman" w:cstheme="minorHAnsi"/>
          <w:b/>
          <w:bCs/>
        </w:rPr>
      </w:pPr>
    </w:p>
    <w:p w:rsidRPr="000B05B1" w:rsidR="00705D42" w:rsidP="004609FD" w:rsidRDefault="00705D42" w14:paraId="73478BD7" w14:textId="77777777">
      <w:pPr>
        <w:pStyle w:val="Heading2"/>
      </w:pPr>
      <w:bookmarkStart w:name="_Toc32574608" w:id="6"/>
      <w:bookmarkStart w:name="_Toc302021790" w:id="7"/>
      <w:bookmarkStart w:name="_Toc1639619014" w:id="8"/>
      <w:r w:rsidRPr="000B05B1">
        <w:t>Client</w:t>
      </w:r>
      <w:bookmarkEnd w:id="6"/>
      <w:bookmarkEnd w:id="7"/>
      <w:bookmarkEnd w:id="8"/>
    </w:p>
    <w:p w:rsidRPr="000B05B1" w:rsidR="00705D42" w:rsidP="004609FD" w:rsidRDefault="00705D42" w14:paraId="1ACC9E22" w14:textId="77777777">
      <w:pPr>
        <w:suppressAutoHyphens/>
        <w:spacing w:after="0" w:line="240" w:lineRule="auto"/>
        <w:contextualSpacing/>
        <w:rPr>
          <w:rFonts w:cstheme="minorHAnsi"/>
        </w:rPr>
      </w:pPr>
    </w:p>
    <w:p w:rsidR="004609FD" w:rsidP="004609FD" w:rsidRDefault="00705D42" w14:paraId="71F9651E" w14:textId="77777777">
      <w:pPr>
        <w:suppressAutoHyphens/>
        <w:spacing w:after="0" w:line="240" w:lineRule="auto"/>
        <w:contextualSpacing/>
        <w:rPr>
          <w:bdr w:val="none" w:color="auto" w:sz="0" w:space="0" w:frame="1"/>
          <w:shd w:val="clear" w:color="auto" w:fill="FFFFFF"/>
        </w:rPr>
      </w:pPr>
      <w:r w:rsidRPr="000B05B1">
        <w:rPr>
          <w:rFonts w:cstheme="minorHAnsi"/>
          <w:bdr w:val="none" w:color="auto" w:sz="0" w:space="0" w:frame="1"/>
          <w:shd w:val="clear" w:color="auto" w:fill="FFFFFF"/>
        </w:rPr>
        <w:fldChar w:fldCharType="begin"/>
      </w:r>
      <w:r w:rsidRPr="000B05B1">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color="auto" w:sz="0" w:space="0" w:frame="1"/>
          <w:shd w:val="clear" w:color="auto" w:fill="FFFFFF"/>
        </w:rPr>
        <w:fldChar w:fldCharType="separate"/>
      </w:r>
      <w:r w:rsidRPr="000B05B1">
        <w:rPr>
          <w:rFonts w:cstheme="minorHAnsi"/>
          <w:noProof/>
          <w:bdr w:val="none" w:color="auto" w:sz="0" w:space="0"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color="auto" w:sz="0" w:space="0" w:frame="1"/>
          <w:shd w:val="clear" w:color="auto" w:fill="FFFFFF"/>
        </w:rPr>
        <w:fldChar w:fldCharType="end"/>
      </w:r>
    </w:p>
    <w:p w:rsidRPr="004609FD" w:rsidR="004609FD" w:rsidP="004609FD" w:rsidRDefault="004609FD" w14:paraId="7EC15D1F" w14:textId="77777777" w14:noSpellErr="1">
      <w:pPr>
        <w:suppressAutoHyphens/>
        <w:spacing w:after="0" w:line="240" w:lineRule="auto"/>
        <w:contextualSpacing/>
      </w:pPr>
      <w:bookmarkEnd w:id="3"/>
      <w:bookmarkEnd w:id="4"/>
      <w:bookmarkEnd w:id="5"/>
      <w:bookmarkEnd w:id="0"/>
      <w:bookmarkEnd w:id="1"/>
      <w:bookmarkEnd w:id="2"/>
    </w:p>
    <w:p w:rsidR="00BF4E7E" w:rsidRDefault="00BF4E7E" w14:paraId="77B6C061" w14:textId="77777777">
      <w:pPr>
        <w:rPr>
          <w:rFonts w:eastAsiaTheme="majorEastAsia" w:cstheme="minorHAnsi"/>
          <w:b/>
          <w:bCs/>
        </w:rPr>
      </w:pPr>
      <w:r>
        <w:br w:type="page"/>
      </w:r>
    </w:p>
    <w:p w:rsidRPr="000B05B1" w:rsidR="00283077" w:rsidP="000B05B1" w:rsidRDefault="531DB269" w14:paraId="7549C261" w14:textId="04EC48F0">
      <w:pPr>
        <w:pStyle w:val="Heading2"/>
        <w:rPr>
          <w:rFonts w:eastAsiaTheme="minorEastAsia"/>
          <w:color w:val="000000" w:themeColor="text1"/>
        </w:rPr>
      </w:pPr>
      <w:r w:rsidR="531DB269">
        <w:rPr/>
        <w:t>Developer</w:t>
      </w:r>
    </w:p>
    <w:p w:rsidR="44BEA195" w:rsidP="303D471C" w:rsidRDefault="44BEA195" w14:paraId="288A3F02" w14:textId="690D8D96">
      <w:pPr>
        <w:pStyle w:val="Normal"/>
        <w:suppressLineNumbers w:val="0"/>
        <w:bidi w:val="0"/>
        <w:spacing w:before="0" w:beforeAutospacing="off" w:after="0" w:afterAutospacing="off" w:line="240" w:lineRule="auto"/>
        <w:ind w:left="0" w:right="0"/>
        <w:jc w:val="left"/>
      </w:pPr>
      <w:r w:rsidRPr="303D471C" w:rsidR="44BEA195">
        <w:rPr>
          <w:rFonts w:cs="Calibri" w:cstheme="minorAscii"/>
          <w:color w:val="000000" w:themeColor="text1" w:themeTint="FF" w:themeShade="FF"/>
        </w:rPr>
        <w:t>Jasmyne Fisher</w:t>
      </w:r>
    </w:p>
    <w:p w:rsidRPr="000B05B1" w:rsidR="003A2F8A" w:rsidP="000B05B1" w:rsidRDefault="003A2F8A" w14:paraId="40D77775" w14:textId="77777777">
      <w:pPr>
        <w:suppressAutoHyphens/>
        <w:spacing w:after="0" w:line="240" w:lineRule="auto"/>
        <w:contextualSpacing/>
        <w:rPr>
          <w:rFonts w:cstheme="minorHAnsi"/>
          <w:color w:val="000000" w:themeColor="text1"/>
        </w:rPr>
      </w:pPr>
    </w:p>
    <w:p w:rsidRPr="000B05B1" w:rsidR="531DB269" w:rsidP="000B05B1" w:rsidRDefault="531DB269" w14:paraId="7DFAAD8D" w14:textId="7789F647">
      <w:pPr>
        <w:suppressAutoHyphens/>
        <w:spacing w:after="0" w:line="240" w:lineRule="auto"/>
        <w:contextualSpacing/>
        <w:rPr>
          <w:rFonts w:cstheme="minorHAnsi"/>
          <w:b/>
          <w:bCs/>
          <w:color w:val="000000" w:themeColor="text1"/>
        </w:rPr>
      </w:pPr>
      <w:r w:rsidRPr="303D471C" w:rsidR="531DB269">
        <w:rPr>
          <w:rFonts w:cs="Calibri" w:cstheme="minorAscii"/>
          <w:b w:val="1"/>
          <w:bCs w:val="1"/>
          <w:color w:val="000000" w:themeColor="text1" w:themeTint="FF" w:themeShade="FF"/>
        </w:rPr>
        <w:t>1. Interpreting Client Needs</w:t>
      </w:r>
    </w:p>
    <w:p w:rsidR="303D471C" w:rsidP="303D471C" w:rsidRDefault="303D471C" w14:paraId="5BAF2641" w14:textId="561E3495">
      <w:pPr>
        <w:spacing w:after="0" w:line="240" w:lineRule="auto"/>
        <w:contextualSpacing/>
        <w:rPr>
          <w:rFonts w:cs="Calibri" w:cstheme="minorAscii"/>
          <w:b w:val="1"/>
          <w:bCs w:val="1"/>
          <w:color w:val="000000" w:themeColor="text1" w:themeTint="FF" w:themeShade="FF"/>
        </w:rPr>
      </w:pPr>
    </w:p>
    <w:p w:rsidR="596C6777" w:rsidP="186B9700" w:rsidRDefault="596C6777" w14:paraId="607FBE89" w14:textId="0682982C">
      <w:pPr>
        <w:pStyle w:val="Normal"/>
        <w:spacing w:before="240" w:beforeAutospacing="off" w:after="0" w:afterAutospacing="off" w:line="240" w:lineRule="auto"/>
        <w:ind w:firstLine="720"/>
        <w:contextualSpacing/>
        <w:rPr>
          <w:rFonts w:cs="Calibri" w:cstheme="minorAscii"/>
          <w:color w:val="000000" w:themeColor="text1" w:themeTint="FF" w:themeShade="FF"/>
        </w:rPr>
      </w:pPr>
      <w:r w:rsidRPr="186B9700" w:rsidR="596C6777">
        <w:rPr>
          <w:rFonts w:ascii="Calibri" w:hAnsi="Calibri" w:eastAsia="Calibri" w:cs="Calibri"/>
          <w:noProof w:val="0"/>
          <w:sz w:val="22"/>
          <w:szCs w:val="22"/>
          <w:lang w:val="en-US"/>
        </w:rPr>
        <w:t>Another key need for Artemis Financial is modernization. Many of today’s applications depend on open-source libraries and frameworks to make development faster and easier. While this is helpful, it can also create risks if up</w:t>
      </w:r>
      <w:r w:rsidRPr="186B9700" w:rsidR="596C6777">
        <w:rPr>
          <w:rFonts w:ascii="Calibri" w:hAnsi="Calibri" w:eastAsia="Calibri" w:cs="Calibri"/>
          <w:noProof w:val="0"/>
          <w:sz w:val="22"/>
          <w:szCs w:val="22"/>
          <w:lang w:val="en-US"/>
        </w:rPr>
        <w:t>date</w:t>
      </w:r>
      <w:r w:rsidRPr="186B9700" w:rsidR="596C6777">
        <w:rPr>
          <w:rFonts w:ascii="Calibri" w:hAnsi="Calibri" w:eastAsia="Calibri" w:cs="Calibri"/>
          <w:noProof w:val="0"/>
          <w:sz w:val="22"/>
          <w:szCs w:val="22"/>
          <w:lang w:val="en-US"/>
        </w:rPr>
        <w:t>s are ignored because attackers look for weaknesses in old versions of software. To protect client information, Artemis must keep its systems current by updating tools, applying strong encryption methods, and keeping pace with new web technologies.</w:t>
      </w:r>
      <w:r w:rsidRPr="186B9700" w:rsidR="0EF3D10F">
        <w:rPr>
          <w:rFonts w:ascii="Calibri" w:hAnsi="Calibri" w:eastAsia="Calibri" w:cs="Calibri"/>
          <w:noProof w:val="0"/>
          <w:sz w:val="22"/>
          <w:szCs w:val="22"/>
          <w:lang w:val="en-US"/>
        </w:rPr>
        <w:t xml:space="preserve"> </w:t>
      </w:r>
      <w:r w:rsidRPr="186B9700" w:rsidR="596C6777">
        <w:rPr>
          <w:rFonts w:ascii="Calibri" w:hAnsi="Calibri" w:eastAsia="Calibri" w:cs="Calibri"/>
          <w:noProof w:val="0"/>
          <w:sz w:val="22"/>
          <w:szCs w:val="22"/>
          <w:lang w:val="en-US"/>
        </w:rPr>
        <w:t>Secure communication is also at the heart of Artemis’s responsibilities. Because the company deals with sensitive financial data, private records, and client transactions, it must protect this information from outside threats. A single breach could harm clients, cause financial losses, and damage the company’s reputation, making trust one of the most valuable assets Artemis holds.</w:t>
      </w:r>
    </w:p>
    <w:p w:rsidR="596C6777" w:rsidP="186B9700" w:rsidRDefault="596C6777" w14:paraId="00C058D6" w14:textId="2CD138ED">
      <w:pPr>
        <w:spacing w:before="240" w:beforeAutospacing="off" w:after="240" w:afterAutospacing="off"/>
        <w:ind w:firstLine="720"/>
      </w:pPr>
      <w:r w:rsidRPr="186B9700" w:rsidR="596C6777">
        <w:rPr>
          <w:rFonts w:ascii="Calibri" w:hAnsi="Calibri" w:eastAsia="Calibri" w:cs="Calibri"/>
          <w:noProof w:val="0"/>
          <w:sz w:val="22"/>
          <w:szCs w:val="22"/>
          <w:lang w:val="en-US"/>
        </w:rPr>
        <w:t xml:space="preserve">Finally, Artemis must pay close attention to government rules and international standards. Financial services often cross borders, so laws like </w:t>
      </w:r>
      <w:sdt>
        <w:sdtPr>
          <w:id w:val="1158455217"/>
          <w15:appearance w15:val="hidden"/>
          <w:tag w:val="tii-similarity-SU5URVJORVRfcmVzZWFyY2guZ29sZC5hYy51aw=="/>
          <w:placeholder>
            <w:docPart w:val="DefaultPlaceholder_-1854013440"/>
          </w:placeholder>
        </w:sdtPr>
        <w:sdtContent>
          <w:r w:rsidRPr="186B9700" w:rsidR="596C6777">
            <w:rPr>
              <w:rFonts w:ascii="Calibri" w:hAnsi="Calibri" w:eastAsia="Calibri" w:cs="Calibri"/>
              <w:b w:val="0"/>
              <w:bCs w:val="0"/>
              <w:noProof w:val="0"/>
              <w:sz w:val="22"/>
              <w:szCs w:val="22"/>
              <w:lang w:val="en-US"/>
            </w:rPr>
            <w:t>the General Data Protection Regulation (GDPR</w:t>
          </w:r>
        </w:sdtContent>
      </w:sdt>
      <w:r w:rsidRPr="186B9700" w:rsidR="596C6777">
        <w:rPr>
          <w:rFonts w:ascii="Calibri" w:hAnsi="Calibri" w:eastAsia="Calibri" w:cs="Calibri"/>
          <w:noProof w:val="0"/>
          <w:sz w:val="22"/>
          <w:szCs w:val="22"/>
          <w:lang w:val="en-US"/>
        </w:rPr>
        <w:t xml:space="preserve">) apply </w:t>
      </w:r>
      <w:sdt>
        <w:sdtPr>
          <w:id w:val="1002394470"/>
          <w15:appearance w15:val="hidden"/>
          <w:tag w:val="tii-similarity-SU5URVJORVRfcmVzZWFyY2guZ29sZC5hYy51aw=="/>
          <w:placeholder>
            <w:docPart w:val="DefaultPlaceholder_-1854013440"/>
          </w:placeholder>
        </w:sdtPr>
        <w:sdtContent>
          <w:r w:rsidRPr="186B9700" w:rsidR="596C6777">
            <w:rPr>
              <w:rFonts w:ascii="Calibri" w:hAnsi="Calibri" w:eastAsia="Calibri" w:cs="Calibri"/>
              <w:b w:val="0"/>
              <w:bCs w:val="0"/>
              <w:noProof w:val="0"/>
              <w:sz w:val="22"/>
              <w:szCs w:val="22"/>
              <w:lang w:val="en-US"/>
            </w:rPr>
            <w:t>in Europe</w:t>
          </w:r>
        </w:sdtContent>
      </w:sdt>
      <w:r w:rsidRPr="186B9700" w:rsidR="596C6777">
        <w:rPr>
          <w:rFonts w:ascii="Calibri" w:hAnsi="Calibri" w:eastAsia="Calibri" w:cs="Calibri"/>
          <w:noProof w:val="0"/>
          <w:sz w:val="22"/>
          <w:szCs w:val="22"/>
          <w:lang w:val="en-US"/>
        </w:rPr>
        <w:t xml:space="preserve">, while U.S. systems must follow the Federal Information Processing Standards (FIPS). These guidelines explain how encryption and secure communication should be used. Following them ensures Artemis stays legally compliant while meeting the same security expectations as other trusted organizations (European Commission, 2022; National Institute of </w:t>
      </w:r>
      <w:sdt>
        <w:sdtPr>
          <w:id w:val="2067122246"/>
          <w15:appearance w15:val="hidden"/>
          <w:tag w:val="tii-similarity-SU5URVJORVRfd3d3Lmlqc3Jjc2VpdC5jb20="/>
          <w:placeholder>
            <w:docPart w:val="DefaultPlaceholder_-1854013440"/>
          </w:placeholder>
        </w:sdtPr>
        <w:sdtContent>
          <w:r w:rsidRPr="186B9700" w:rsidR="596C6777">
            <w:rPr>
              <w:rFonts w:ascii="Calibri" w:hAnsi="Calibri" w:eastAsia="Calibri" w:cs="Calibri"/>
              <w:b w:val="0"/>
              <w:bCs w:val="0"/>
              <w:noProof w:val="0"/>
              <w:sz w:val="22"/>
              <w:szCs w:val="22"/>
              <w:lang w:val="en-US"/>
            </w:rPr>
            <w:t>Standards and Technology [NIST], 2001</w:t>
          </w:r>
        </w:sdtContent>
      </w:sdt>
      <w:r w:rsidRPr="186B9700" w:rsidR="596C6777">
        <w:rPr>
          <w:rFonts w:ascii="Calibri" w:hAnsi="Calibri" w:eastAsia="Calibri" w:cs="Calibri"/>
          <w:noProof w:val="0"/>
          <w:sz w:val="22"/>
          <w:szCs w:val="22"/>
          <w:lang w:val="en-US"/>
        </w:rPr>
        <w:t>).</w:t>
      </w:r>
    </w:p>
    <w:p w:rsidR="003A2F8A" w:rsidP="000B05B1" w:rsidRDefault="003A2F8A" w14:paraId="4AD0F97C" w14:textId="77777777">
      <w:pPr>
        <w:suppressAutoHyphens/>
        <w:spacing w:after="0" w:line="240" w:lineRule="auto"/>
        <w:contextualSpacing/>
        <w:rPr>
          <w:rFonts w:cstheme="minorHAnsi"/>
          <w:b/>
          <w:bCs/>
          <w:color w:val="000000" w:themeColor="text1"/>
        </w:rPr>
      </w:pPr>
    </w:p>
    <w:p w:rsidRPr="000B05B1" w:rsidR="531DB269" w:rsidP="000B05B1" w:rsidRDefault="531DB269" w14:paraId="0415926D" w14:textId="01C70329">
      <w:pPr>
        <w:suppressAutoHyphens/>
        <w:spacing w:after="0" w:line="240" w:lineRule="auto"/>
        <w:contextualSpacing/>
        <w:rPr>
          <w:rFonts w:cstheme="minorHAnsi"/>
          <w:b/>
          <w:bCs/>
          <w:color w:val="000000" w:themeColor="text1"/>
        </w:rPr>
      </w:pPr>
      <w:r w:rsidRPr="186B9700" w:rsidR="531DB269">
        <w:rPr>
          <w:rFonts w:cs="Calibri" w:cstheme="minorAscii"/>
          <w:b w:val="1"/>
          <w:bCs w:val="1"/>
          <w:color w:val="000000" w:themeColor="text1" w:themeTint="FF" w:themeShade="FF"/>
        </w:rPr>
        <w:t>2. Areas of Security</w:t>
      </w:r>
    </w:p>
    <w:p w:rsidR="003A2F8A" w:rsidP="186B9700" w:rsidRDefault="003A2F8A" w14:paraId="1A0507BD" w14:textId="0813FA2D">
      <w:pPr>
        <w:suppressAutoHyphens/>
        <w:spacing w:before="240" w:beforeAutospacing="off" w:after="240" w:afterAutospacing="off" w:line="240" w:lineRule="auto"/>
        <w:ind w:firstLine="720"/>
        <w:contextualSpacing/>
      </w:pPr>
      <w:sdt>
        <w:sdtPr>
          <w:id w:val="1796259680"/>
          <w15:appearance w15:val="hidden"/>
          <w:tag w:val="tii-similarity-U1VCTUlUVEVEX1dPUktfb2lkOjE6MzM0NzYzNTY2Mw=="/>
          <w:placeholder>
            <w:docPart w:val="DefaultPlaceholder_-1854013440"/>
          </w:placeholder>
        </w:sdtPr>
        <w:sdtContent>
          <w:r w:rsidRPr="186B9700" w:rsidR="546658F9">
            <w:rPr>
              <w:rFonts w:ascii="Calibri" w:hAnsi="Calibri" w:eastAsia="Calibri" w:cs="Calibri"/>
              <w:b w:val="0"/>
              <w:bCs w:val="0"/>
              <w:noProof w:val="0"/>
              <w:sz w:val="22"/>
              <w:szCs w:val="22"/>
              <w:lang w:val="en-US"/>
            </w:rPr>
            <w:t xml:space="preserve">Artemis </w:t>
          </w:r>
          <w:r w:rsidRPr="186B9700" w:rsidR="546658F9">
            <w:rPr>
              <w:rFonts w:ascii="Calibri" w:hAnsi="Calibri" w:eastAsia="Calibri" w:cs="Calibri"/>
              <w:b w:val="0"/>
              <w:bCs w:val="0"/>
              <w:noProof w:val="0"/>
              <w:sz w:val="22"/>
              <w:szCs w:val="22"/>
              <w:lang w:val="en-US"/>
            </w:rPr>
            <w:t>Financial’s</w:t>
          </w:r>
          <w:r w:rsidRPr="186B9700" w:rsidR="546658F9">
            <w:rPr>
              <w:rFonts w:ascii="Calibri" w:hAnsi="Calibri" w:eastAsia="Calibri" w:cs="Calibri"/>
              <w:b w:val="0"/>
              <w:bCs w:val="0"/>
              <w:noProof w:val="0"/>
              <w:sz w:val="22"/>
              <w:szCs w:val="22"/>
              <w:lang w:val="en-US"/>
            </w:rPr>
            <w:t xml:space="preserve"> software application</w:t>
          </w:r>
        </w:sdtContent>
      </w:sdt>
      <w:r w:rsidRPr="186B9700" w:rsidR="546658F9">
        <w:rPr>
          <w:rFonts w:ascii="Calibri" w:hAnsi="Calibri" w:eastAsia="Calibri" w:cs="Calibri"/>
          <w:noProof w:val="0"/>
          <w:sz w:val="22"/>
          <w:szCs w:val="22"/>
          <w:lang w:val="en-US"/>
        </w:rPr>
        <w:t xml:space="preserve"> must address several areas of security to ensure client trust and long-term protection. The first is </w:t>
      </w:r>
      <w:r w:rsidRPr="186B9700" w:rsidR="546658F9">
        <w:rPr>
          <w:rFonts w:ascii="Calibri" w:hAnsi="Calibri" w:eastAsia="Calibri" w:cs="Calibri"/>
          <w:b w:val="1"/>
          <w:bCs w:val="1"/>
          <w:noProof w:val="0"/>
          <w:sz w:val="22"/>
          <w:szCs w:val="22"/>
          <w:lang w:val="en-US"/>
        </w:rPr>
        <w:t>architecture review</w:t>
      </w:r>
      <w:r w:rsidRPr="186B9700" w:rsidR="546658F9">
        <w:rPr>
          <w:rFonts w:ascii="Calibri" w:hAnsi="Calibri" w:eastAsia="Calibri" w:cs="Calibri"/>
          <w:noProof w:val="0"/>
          <w:sz w:val="22"/>
          <w:szCs w:val="22"/>
          <w:lang w:val="en-US"/>
        </w:rPr>
        <w:t xml:space="preserve">, which checks the design of the system before development moves forward. This helps </w:t>
      </w:r>
      <w:r w:rsidRPr="186B9700" w:rsidR="546658F9">
        <w:rPr>
          <w:rFonts w:ascii="Calibri" w:hAnsi="Calibri" w:eastAsia="Calibri" w:cs="Calibri"/>
          <w:noProof w:val="0"/>
          <w:sz w:val="22"/>
          <w:szCs w:val="22"/>
          <w:lang w:val="en-US"/>
        </w:rPr>
        <w:t>identify</w:t>
      </w:r>
      <w:r w:rsidRPr="186B9700" w:rsidR="546658F9">
        <w:rPr>
          <w:rFonts w:ascii="Calibri" w:hAnsi="Calibri" w:eastAsia="Calibri" w:cs="Calibri"/>
          <w:noProof w:val="0"/>
          <w:sz w:val="22"/>
          <w:szCs w:val="22"/>
          <w:lang w:val="en-US"/>
        </w:rPr>
        <w:t xml:space="preserve"> risks early and avoids building weak foundations that could be exploited later. </w:t>
      </w:r>
      <w:sdt>
        <w:sdtPr>
          <w:id w:val="1030227971"/>
          <w15:appearance w15:val="hidden"/>
          <w:tag w:val="tii-similarity-U1VCTUlUVEVEX1dPUktfb2lkOjYxMzM6NDA5Nzc2MDA0"/>
          <w:placeholder>
            <w:docPart w:val="DefaultPlaceholder_-1854013440"/>
          </w:placeholder>
        </w:sdtPr>
        <w:sdtContent>
          <w:r w:rsidRPr="186B9700" w:rsidR="546658F9">
            <w:rPr>
              <w:rFonts w:ascii="Calibri" w:hAnsi="Calibri" w:eastAsia="Calibri" w:cs="Calibri"/>
              <w:noProof w:val="0"/>
              <w:sz w:val="22"/>
              <w:szCs w:val="22"/>
              <w:lang w:val="en-US"/>
            </w:rPr>
            <w:t>The Open Web</w:t>
          </w:r>
        </w:sdtContent>
      </w:sdt>
      <w:r w:rsidRPr="186B9700" w:rsidR="546658F9">
        <w:rPr>
          <w:rFonts w:ascii="Calibri" w:hAnsi="Calibri" w:eastAsia="Calibri" w:cs="Calibri"/>
          <w:noProof w:val="0"/>
          <w:sz w:val="22"/>
          <w:szCs w:val="22"/>
          <w:lang w:val="en-US"/>
        </w:rPr>
        <w:t xml:space="preserve"> </w:t>
      </w:r>
      <w:sdt>
        <w:sdtPr>
          <w:id w:val="2088553176"/>
          <w15:appearance w15:val="hidden"/>
          <w:tag w:val="tii-similarity-U1VCTUlUVEVEX1dPUktfb2lkOjYxMzM6NDA5Nzc2MDA0"/>
          <w:placeholder>
            <w:docPart w:val="DefaultPlaceholder_-1854013440"/>
          </w:placeholder>
        </w:sdtPr>
        <w:sdtContent>
          <w:r w:rsidRPr="186B9700" w:rsidR="546658F9">
            <w:rPr>
              <w:rFonts w:ascii="Calibri" w:hAnsi="Calibri" w:eastAsia="Calibri" w:cs="Calibri"/>
              <w:noProof w:val="0"/>
              <w:sz w:val="22"/>
              <w:szCs w:val="22"/>
              <w:lang w:val="en-US"/>
            </w:rPr>
            <w:t>Application Security Project (OWASP</w:t>
          </w:r>
        </w:sdtContent>
      </w:sdt>
      <w:r w:rsidRPr="186B9700" w:rsidR="546658F9">
        <w:rPr>
          <w:rFonts w:ascii="Calibri" w:hAnsi="Calibri" w:eastAsia="Calibri" w:cs="Calibri"/>
          <w:noProof w:val="0"/>
          <w:sz w:val="22"/>
          <w:szCs w:val="22"/>
          <w:lang w:val="en-US"/>
        </w:rPr>
        <w:t>) recommends reviewing architecture as one of the first defenses against modern cyberattacks (OWASP, 2023).</w:t>
      </w:r>
      <w:r w:rsidRPr="186B9700" w:rsidR="7B88C868">
        <w:rPr>
          <w:rFonts w:ascii="Calibri" w:hAnsi="Calibri" w:eastAsia="Calibri" w:cs="Calibri"/>
          <w:noProof w:val="0"/>
          <w:sz w:val="22"/>
          <w:szCs w:val="22"/>
          <w:lang w:val="en-US"/>
        </w:rPr>
        <w:t xml:space="preserve"> </w:t>
      </w:r>
      <w:r w:rsidRPr="186B9700" w:rsidR="546658F9">
        <w:rPr>
          <w:rFonts w:ascii="Calibri" w:hAnsi="Calibri" w:eastAsia="Calibri" w:cs="Calibri"/>
          <w:b w:val="1"/>
          <w:bCs w:val="1"/>
          <w:noProof w:val="0"/>
          <w:sz w:val="22"/>
          <w:szCs w:val="22"/>
          <w:lang w:val="en-US"/>
        </w:rPr>
        <w:t>Input validation</w:t>
      </w:r>
      <w:r w:rsidRPr="186B9700" w:rsidR="546658F9">
        <w:rPr>
          <w:rFonts w:ascii="Calibri" w:hAnsi="Calibri" w:eastAsia="Calibri" w:cs="Calibri"/>
          <w:noProof w:val="0"/>
          <w:sz w:val="22"/>
          <w:szCs w:val="22"/>
          <w:lang w:val="en-US"/>
        </w:rPr>
        <w:t xml:space="preserve"> is another critical area since attackers often send harmful code through forms or text fields. If the system does not properly check and filter what users type in, the application could suffer from SQL injection or cross-site scripting. OWASP lists insecure input handling </w:t>
      </w:r>
      <w:sdt>
        <w:sdtPr>
          <w:id w:val="1301746345"/>
          <w15:appearance w15:val="hidden"/>
          <w:tag w:val="tii-similarity-U1VCTUlUVEVEX1dPUktfb2lkOjYxMzM6NDA5Nzc2MDA0"/>
          <w:placeholder>
            <w:docPart w:val="DefaultPlaceholder_-1854013440"/>
          </w:placeholder>
        </w:sdtPr>
        <w:sdtContent>
          <w:r w:rsidRPr="186B9700" w:rsidR="546658F9">
            <w:rPr>
              <w:rFonts w:ascii="Calibri" w:hAnsi="Calibri" w:eastAsia="Calibri" w:cs="Calibri"/>
              <w:noProof w:val="0"/>
              <w:sz w:val="22"/>
              <w:szCs w:val="22"/>
              <w:lang w:val="en-US"/>
            </w:rPr>
            <w:t>as one of the top web application security risks</w:t>
          </w:r>
        </w:sdtContent>
      </w:sdt>
      <w:r w:rsidRPr="186B9700" w:rsidR="546658F9">
        <w:rPr>
          <w:rFonts w:ascii="Calibri" w:hAnsi="Calibri" w:eastAsia="Calibri" w:cs="Calibri"/>
          <w:noProof w:val="0"/>
          <w:sz w:val="22"/>
          <w:szCs w:val="22"/>
          <w:lang w:val="en-US"/>
        </w:rPr>
        <w:t xml:space="preserve"> (OWASP, 2023). </w:t>
      </w:r>
      <w:r w:rsidRPr="186B9700" w:rsidR="546658F9">
        <w:rPr>
          <w:rFonts w:ascii="Calibri" w:hAnsi="Calibri" w:eastAsia="Calibri" w:cs="Calibri"/>
          <w:b w:val="1"/>
          <w:bCs w:val="1"/>
          <w:noProof w:val="0"/>
          <w:sz w:val="22"/>
          <w:szCs w:val="22"/>
          <w:lang w:val="en-US"/>
        </w:rPr>
        <w:t>APIs</w:t>
      </w:r>
      <w:r w:rsidRPr="186B9700" w:rsidR="546658F9">
        <w:rPr>
          <w:rFonts w:ascii="Calibri" w:hAnsi="Calibri" w:eastAsia="Calibri" w:cs="Calibri"/>
          <w:noProof w:val="0"/>
          <w:sz w:val="22"/>
          <w:szCs w:val="22"/>
          <w:lang w:val="en-US"/>
        </w:rPr>
        <w:t xml:space="preserve"> are also vital for Artemis because they </w:t>
      </w:r>
      <w:r w:rsidRPr="186B9700" w:rsidR="546658F9">
        <w:rPr>
          <w:rFonts w:ascii="Calibri" w:hAnsi="Calibri" w:eastAsia="Calibri" w:cs="Calibri"/>
          <w:noProof w:val="0"/>
          <w:sz w:val="22"/>
          <w:szCs w:val="22"/>
          <w:lang w:val="en-US"/>
        </w:rPr>
        <w:t>connect</w:t>
      </w:r>
      <w:r w:rsidRPr="186B9700" w:rsidR="546658F9">
        <w:rPr>
          <w:rFonts w:ascii="Calibri" w:hAnsi="Calibri" w:eastAsia="Calibri" w:cs="Calibri"/>
          <w:noProof w:val="0"/>
          <w:sz w:val="22"/>
          <w:szCs w:val="22"/>
          <w:lang w:val="en-US"/>
        </w:rPr>
        <w:t xml:space="preserve"> financial systems. If APIs are not secured with authentication and encryption, attackers could access or change sensitive data moving between services.</w:t>
      </w:r>
    </w:p>
    <w:p w:rsidR="003A2F8A" w:rsidP="186B9700" w:rsidRDefault="003A2F8A" w14:paraId="420514AD" w14:textId="5E586192">
      <w:pPr>
        <w:suppressAutoHyphens/>
        <w:spacing w:before="240" w:beforeAutospacing="off" w:after="240" w:afterAutospacing="off" w:line="240" w:lineRule="auto"/>
        <w:ind w:firstLine="720"/>
        <w:contextualSpacing/>
      </w:pPr>
      <w:r w:rsidRPr="186B9700" w:rsidR="546658F9">
        <w:rPr>
          <w:rFonts w:ascii="Calibri" w:hAnsi="Calibri" w:eastAsia="Calibri" w:cs="Calibri"/>
          <w:b w:val="1"/>
          <w:bCs w:val="1"/>
          <w:noProof w:val="0"/>
          <w:sz w:val="22"/>
          <w:szCs w:val="22"/>
          <w:lang w:val="en-US"/>
        </w:rPr>
        <w:t>Cryptography</w:t>
      </w:r>
      <w:r w:rsidRPr="186B9700" w:rsidR="546658F9">
        <w:rPr>
          <w:rFonts w:ascii="Calibri" w:hAnsi="Calibri" w:eastAsia="Calibri" w:cs="Calibri"/>
          <w:noProof w:val="0"/>
          <w:sz w:val="22"/>
          <w:szCs w:val="22"/>
          <w:lang w:val="en-US"/>
        </w:rPr>
        <w:t xml:space="preserve"> is central to Artemis’s mission because financial records must remain private both when stored and when transmitted. Strong encryption such as AES-256 keeps attackers from reading data even if they gain access to files. </w:t>
      </w:r>
      <w:sdt>
        <w:sdtPr>
          <w:id w:val="857624781"/>
          <w15:appearance w15:val="hidden"/>
          <w:tag w:val="tii-similarity-U1VCTUlUVEVEX1dPUktfb2lkOjE6Mjk1ODI4NzE5MQ=="/>
          <w:placeholder>
            <w:docPart w:val="DefaultPlaceholder_-1854013440"/>
          </w:placeholder>
        </w:sdtPr>
        <w:sdtContent>
          <w:r w:rsidRPr="186B9700" w:rsidR="546658F9">
            <w:rPr>
              <w:rFonts w:ascii="Calibri" w:hAnsi="Calibri" w:eastAsia="Calibri" w:cs="Calibri"/>
              <w:b w:val="0"/>
              <w:bCs w:val="0"/>
              <w:noProof w:val="0"/>
              <w:sz w:val="22"/>
              <w:szCs w:val="22"/>
              <w:lang w:val="en-US"/>
            </w:rPr>
            <w:t>The National Institute of Standards and Technology</w:t>
          </w:r>
        </w:sdtContent>
      </w:sdt>
      <w:r w:rsidRPr="186B9700" w:rsidR="546658F9">
        <w:rPr>
          <w:rFonts w:ascii="Calibri" w:hAnsi="Calibri" w:eastAsia="Calibri" w:cs="Calibri"/>
          <w:noProof w:val="0"/>
          <w:sz w:val="22"/>
          <w:szCs w:val="22"/>
          <w:lang w:val="en-US"/>
        </w:rPr>
        <w:t xml:space="preserve"> (NIST) requires AES as the </w:t>
      </w:r>
      <w:sdt>
        <w:sdtPr>
          <w:id w:val="86272374"/>
          <w15:appearance w15:val="hidden"/>
          <w:tag w:val="tii-similarity-U1VCTUlUVEVEX1dPUktfb2lkOjE6Mjk1ODI4NzE5MQ=="/>
          <w:placeholder>
            <w:docPart w:val="DefaultPlaceholder_-1854013440"/>
          </w:placeholder>
        </w:sdtPr>
        <w:sdtContent>
          <w:r w:rsidRPr="186B9700" w:rsidR="546658F9">
            <w:rPr>
              <w:rFonts w:ascii="Calibri" w:hAnsi="Calibri" w:eastAsia="Calibri" w:cs="Calibri"/>
              <w:b w:val="0"/>
              <w:bCs w:val="0"/>
              <w:noProof w:val="0"/>
              <w:sz w:val="22"/>
              <w:szCs w:val="22"/>
              <w:lang w:val="en-US"/>
            </w:rPr>
            <w:t>federal standard for</w:t>
          </w:r>
        </w:sdtContent>
      </w:sdt>
      <w:r w:rsidRPr="186B9700" w:rsidR="546658F9">
        <w:rPr>
          <w:rFonts w:ascii="Calibri" w:hAnsi="Calibri" w:eastAsia="Calibri" w:cs="Calibri"/>
          <w:noProof w:val="0"/>
          <w:sz w:val="22"/>
          <w:szCs w:val="22"/>
          <w:lang w:val="en-US"/>
        </w:rPr>
        <w:t xml:space="preserve"> encryption (NIST, 2001). Similarly, the </w:t>
      </w:r>
      <w:r w:rsidRPr="186B9700" w:rsidR="546658F9">
        <w:rPr>
          <w:rFonts w:ascii="Calibri" w:hAnsi="Calibri" w:eastAsia="Calibri" w:cs="Calibri"/>
          <w:b w:val="1"/>
          <w:bCs w:val="1"/>
          <w:noProof w:val="0"/>
          <w:sz w:val="22"/>
          <w:szCs w:val="22"/>
          <w:lang w:val="en-US"/>
        </w:rPr>
        <w:t>client/server relationship</w:t>
      </w:r>
      <w:r w:rsidRPr="186B9700" w:rsidR="546658F9">
        <w:rPr>
          <w:rFonts w:ascii="Calibri" w:hAnsi="Calibri" w:eastAsia="Calibri" w:cs="Calibri"/>
          <w:noProof w:val="0"/>
          <w:sz w:val="22"/>
          <w:szCs w:val="22"/>
          <w:lang w:val="en-US"/>
        </w:rPr>
        <w:t xml:space="preserve"> must use secure protocols like TLS to prevent man-in-the-middle attacks that could capture client data during communication.</w:t>
      </w:r>
      <w:r w:rsidRPr="186B9700" w:rsidR="352E0E26">
        <w:rPr>
          <w:rFonts w:ascii="Calibri" w:hAnsi="Calibri" w:eastAsia="Calibri" w:cs="Calibri"/>
          <w:noProof w:val="0"/>
          <w:sz w:val="22"/>
          <w:szCs w:val="22"/>
          <w:lang w:val="en-US"/>
        </w:rPr>
        <w:t xml:space="preserve"> </w:t>
      </w:r>
      <w:r w:rsidRPr="186B9700" w:rsidR="546658F9">
        <w:rPr>
          <w:rFonts w:ascii="Calibri" w:hAnsi="Calibri" w:eastAsia="Calibri" w:cs="Calibri"/>
          <w:noProof w:val="0"/>
          <w:sz w:val="22"/>
          <w:szCs w:val="22"/>
          <w:lang w:val="en-US"/>
        </w:rPr>
        <w:t xml:space="preserve">Another key area is </w:t>
      </w:r>
      <w:r w:rsidRPr="186B9700" w:rsidR="546658F9">
        <w:rPr>
          <w:rFonts w:ascii="Calibri" w:hAnsi="Calibri" w:eastAsia="Calibri" w:cs="Calibri"/>
          <w:b w:val="1"/>
          <w:bCs w:val="1"/>
          <w:noProof w:val="0"/>
          <w:sz w:val="22"/>
          <w:szCs w:val="22"/>
          <w:lang w:val="en-US"/>
        </w:rPr>
        <w:t>code error handling</w:t>
      </w:r>
      <w:r w:rsidRPr="186B9700" w:rsidR="546658F9">
        <w:rPr>
          <w:rFonts w:ascii="Calibri" w:hAnsi="Calibri" w:eastAsia="Calibri" w:cs="Calibri"/>
          <w:noProof w:val="0"/>
          <w:sz w:val="22"/>
          <w:szCs w:val="22"/>
          <w:lang w:val="en-US"/>
        </w:rPr>
        <w:t xml:space="preserve">. If errors show too much technical detail, attackers could learn about the system’s structure and use that information to find weaknesses. </w:t>
      </w:r>
      <w:r w:rsidRPr="186B9700" w:rsidR="546658F9">
        <w:rPr>
          <w:rFonts w:ascii="Calibri" w:hAnsi="Calibri" w:eastAsia="Calibri" w:cs="Calibri"/>
          <w:b w:val="1"/>
          <w:bCs w:val="1"/>
          <w:noProof w:val="0"/>
          <w:sz w:val="22"/>
          <w:szCs w:val="22"/>
          <w:lang w:val="en-US"/>
        </w:rPr>
        <w:t>Code quality</w:t>
      </w:r>
      <w:r w:rsidRPr="186B9700" w:rsidR="546658F9">
        <w:rPr>
          <w:rFonts w:ascii="Calibri" w:hAnsi="Calibri" w:eastAsia="Calibri" w:cs="Calibri"/>
          <w:noProof w:val="0"/>
          <w:sz w:val="22"/>
          <w:szCs w:val="22"/>
          <w:lang w:val="en-US"/>
        </w:rPr>
        <w:t xml:space="preserve"> and </w:t>
      </w:r>
      <w:r w:rsidRPr="186B9700" w:rsidR="546658F9">
        <w:rPr>
          <w:rFonts w:ascii="Calibri" w:hAnsi="Calibri" w:eastAsia="Calibri" w:cs="Calibri"/>
          <w:b w:val="1"/>
          <w:bCs w:val="1"/>
          <w:noProof w:val="0"/>
          <w:sz w:val="22"/>
          <w:szCs w:val="22"/>
          <w:lang w:val="en-US"/>
        </w:rPr>
        <w:t>encapsulation</w:t>
      </w:r>
      <w:r w:rsidRPr="186B9700" w:rsidR="546658F9">
        <w:rPr>
          <w:rFonts w:ascii="Calibri" w:hAnsi="Calibri" w:eastAsia="Calibri" w:cs="Calibri"/>
          <w:noProof w:val="0"/>
          <w:sz w:val="22"/>
          <w:szCs w:val="22"/>
          <w:lang w:val="en-US"/>
        </w:rPr>
        <w:t xml:space="preserve"> add another layer of defense by keeping the codebase clean, consistent, and protective of internal data structures. Poor-quality code often leads to hidden bugs that become security risks, while encapsulation keeps sensitive details hidden from attackers.</w:t>
      </w:r>
      <w:r w:rsidRPr="186B9700" w:rsidR="624B737F">
        <w:rPr>
          <w:rFonts w:ascii="Calibri" w:hAnsi="Calibri" w:eastAsia="Calibri" w:cs="Calibri"/>
          <w:noProof w:val="0"/>
          <w:sz w:val="22"/>
          <w:szCs w:val="22"/>
          <w:lang w:val="en-US"/>
        </w:rPr>
        <w:t xml:space="preserve"> </w:t>
      </w:r>
      <w:r w:rsidRPr="186B9700" w:rsidR="546658F9">
        <w:rPr>
          <w:rFonts w:ascii="Calibri" w:hAnsi="Calibri" w:eastAsia="Calibri" w:cs="Calibri"/>
          <w:noProof w:val="0"/>
          <w:sz w:val="22"/>
          <w:szCs w:val="22"/>
          <w:lang w:val="en-US"/>
        </w:rPr>
        <w:t xml:space="preserve">All these areas work together to give Artemis </w:t>
      </w:r>
      <w:r w:rsidRPr="186B9700" w:rsidR="546658F9">
        <w:rPr>
          <w:rFonts w:ascii="Calibri" w:hAnsi="Calibri" w:eastAsia="Calibri" w:cs="Calibri"/>
          <w:noProof w:val="0"/>
          <w:sz w:val="22"/>
          <w:szCs w:val="22"/>
          <w:lang w:val="en-US"/>
        </w:rPr>
        <w:t>Financial</w:t>
      </w:r>
      <w:r w:rsidRPr="186B9700" w:rsidR="546658F9">
        <w:rPr>
          <w:rFonts w:ascii="Calibri" w:hAnsi="Calibri" w:eastAsia="Calibri" w:cs="Calibri"/>
          <w:noProof w:val="0"/>
          <w:sz w:val="22"/>
          <w:szCs w:val="22"/>
          <w:lang w:val="en-US"/>
        </w:rPr>
        <w:t xml:space="preserve"> strong protection. From the design stage to input handling, encryption, and error management, each layer reduces the chance of failure. By addressing these areas, Artemis will meet best practices, </w:t>
      </w:r>
      <w:r w:rsidRPr="186B9700" w:rsidR="546658F9">
        <w:rPr>
          <w:rFonts w:ascii="Calibri" w:hAnsi="Calibri" w:eastAsia="Calibri" w:cs="Calibri"/>
          <w:noProof w:val="0"/>
          <w:sz w:val="22"/>
          <w:szCs w:val="22"/>
          <w:lang w:val="en-US"/>
        </w:rPr>
        <w:t>comply with</w:t>
      </w:r>
      <w:r w:rsidRPr="186B9700" w:rsidR="546658F9">
        <w:rPr>
          <w:rFonts w:ascii="Calibri" w:hAnsi="Calibri" w:eastAsia="Calibri" w:cs="Calibri"/>
          <w:noProof w:val="0"/>
          <w:sz w:val="22"/>
          <w:szCs w:val="22"/>
          <w:lang w:val="en-US"/>
        </w:rPr>
        <w:t xml:space="preserve"> industry standards, and keep client trust secure.</w:t>
      </w:r>
    </w:p>
    <w:p w:rsidR="003A2F8A" w:rsidP="186B9700" w:rsidRDefault="003A2F8A" w14:paraId="05D983A8" w14:textId="39BA8051">
      <w:pPr>
        <w:suppressAutoHyphens/>
        <w:spacing w:after="0" w:line="240" w:lineRule="auto"/>
        <w:contextualSpacing/>
        <w:rPr>
          <w:rFonts w:cs="Calibri" w:cstheme="minorAscii"/>
          <w:color w:val="000000" w:themeColor="text1"/>
        </w:rPr>
      </w:pPr>
    </w:p>
    <w:p w:rsidRPr="000B05B1" w:rsidR="531DB269" w:rsidP="000B05B1" w:rsidRDefault="531DB269" w14:paraId="6E9781D5" w14:textId="4DFFEFBA">
      <w:pPr>
        <w:suppressAutoHyphens/>
        <w:spacing w:after="0" w:line="240" w:lineRule="auto"/>
        <w:contextualSpacing/>
        <w:rPr>
          <w:rFonts w:cstheme="minorHAnsi"/>
          <w:b/>
          <w:bCs/>
          <w:color w:val="000000" w:themeColor="text1"/>
        </w:rPr>
      </w:pPr>
      <w:r w:rsidRPr="186B9700" w:rsidR="531DB269">
        <w:rPr>
          <w:rFonts w:cs="Calibri" w:cstheme="minorAscii"/>
          <w:b w:val="1"/>
          <w:bCs w:val="1"/>
          <w:color w:val="000000" w:themeColor="text1" w:themeTint="FF" w:themeShade="FF"/>
        </w:rPr>
        <w:t>3. Manual Review</w:t>
      </w:r>
    </w:p>
    <w:p w:rsidR="55680A1C" w:rsidP="186B9700" w:rsidRDefault="55680A1C" w14:paraId="31DF7C8B" w14:textId="079D61C0">
      <w:pPr>
        <w:bidi w:val="0"/>
        <w:spacing w:before="240" w:beforeAutospacing="off" w:after="240" w:afterAutospacing="off"/>
        <w:ind w:firstLine="720"/>
        <w:jc w:val="left"/>
      </w:pPr>
      <w:r w:rsidRPr="186B9700" w:rsidR="55680A1C">
        <w:rPr>
          <w:rFonts w:ascii="Calibri" w:hAnsi="Calibri" w:eastAsia="Calibri" w:cs="Calibri"/>
          <w:noProof w:val="0"/>
          <w:sz w:val="22"/>
          <w:szCs w:val="22"/>
          <w:lang w:val="en-US"/>
        </w:rPr>
        <w:t xml:space="preserve">Looking over Artemis </w:t>
      </w:r>
      <w:r w:rsidRPr="186B9700" w:rsidR="55680A1C">
        <w:rPr>
          <w:rFonts w:ascii="Calibri" w:hAnsi="Calibri" w:eastAsia="Calibri" w:cs="Calibri"/>
          <w:noProof w:val="0"/>
          <w:sz w:val="22"/>
          <w:szCs w:val="22"/>
          <w:lang w:val="en-US"/>
        </w:rPr>
        <w:t>Financial’s</w:t>
      </w:r>
      <w:r w:rsidRPr="186B9700" w:rsidR="55680A1C">
        <w:rPr>
          <w:rFonts w:ascii="Calibri" w:hAnsi="Calibri" w:eastAsia="Calibri" w:cs="Calibri"/>
          <w:noProof w:val="0"/>
          <w:sz w:val="22"/>
          <w:szCs w:val="22"/>
          <w:lang w:val="en-US"/>
        </w:rPr>
        <w:t xml:space="preserve"> code by hand revealed several problem areas that could put the application at risk. One of the most concerning issues is the presence of </w:t>
      </w:r>
      <w:r w:rsidRPr="186B9700" w:rsidR="55680A1C">
        <w:rPr>
          <w:rFonts w:ascii="Calibri" w:hAnsi="Calibri" w:eastAsia="Calibri" w:cs="Calibri"/>
          <w:b w:val="1"/>
          <w:bCs w:val="1"/>
          <w:noProof w:val="0"/>
          <w:sz w:val="22"/>
          <w:szCs w:val="22"/>
          <w:lang w:val="en-US"/>
        </w:rPr>
        <w:t>out</w:t>
      </w:r>
      <w:r w:rsidRPr="186B9700" w:rsidR="55680A1C">
        <w:rPr>
          <w:rFonts w:ascii="Calibri" w:hAnsi="Calibri" w:eastAsia="Calibri" w:cs="Calibri"/>
          <w:b w:val="1"/>
          <w:bCs w:val="1"/>
          <w:noProof w:val="0"/>
          <w:sz w:val="22"/>
          <w:szCs w:val="22"/>
          <w:lang w:val="en-US"/>
        </w:rPr>
        <w:t>date</w:t>
      </w:r>
      <w:r w:rsidRPr="186B9700" w:rsidR="55680A1C">
        <w:rPr>
          <w:rFonts w:ascii="Calibri" w:hAnsi="Calibri" w:eastAsia="Calibri" w:cs="Calibri"/>
          <w:b w:val="1"/>
          <w:bCs w:val="1"/>
          <w:noProof w:val="0"/>
          <w:sz w:val="22"/>
          <w:szCs w:val="22"/>
          <w:lang w:val="en-US"/>
        </w:rPr>
        <w:t>d libraries</w:t>
      </w:r>
      <w:r w:rsidRPr="186B9700" w:rsidR="55680A1C">
        <w:rPr>
          <w:rFonts w:ascii="Calibri" w:hAnsi="Calibri" w:eastAsia="Calibri" w:cs="Calibri"/>
          <w:noProof w:val="0"/>
          <w:sz w:val="22"/>
          <w:szCs w:val="22"/>
          <w:lang w:val="en-US"/>
        </w:rPr>
        <w:t xml:space="preserve">. Old versions of software often </w:t>
      </w:r>
      <w:r w:rsidRPr="186B9700" w:rsidR="55680A1C">
        <w:rPr>
          <w:rFonts w:ascii="Calibri" w:hAnsi="Calibri" w:eastAsia="Calibri" w:cs="Calibri"/>
          <w:noProof w:val="0"/>
          <w:sz w:val="22"/>
          <w:szCs w:val="22"/>
          <w:lang w:val="en-US"/>
        </w:rPr>
        <w:t>contain</w:t>
      </w:r>
      <w:r w:rsidRPr="186B9700" w:rsidR="55680A1C">
        <w:rPr>
          <w:rFonts w:ascii="Calibri" w:hAnsi="Calibri" w:eastAsia="Calibri" w:cs="Calibri"/>
          <w:noProof w:val="0"/>
          <w:sz w:val="22"/>
          <w:szCs w:val="22"/>
          <w:lang w:val="en-US"/>
        </w:rPr>
        <w:t xml:space="preserve"> published vulnerabilities, so attackers know exactly where to strike if those versions are still in use. Alongside this, I noticed that </w:t>
      </w:r>
      <w:r w:rsidRPr="186B9700" w:rsidR="55680A1C">
        <w:rPr>
          <w:rFonts w:ascii="Calibri" w:hAnsi="Calibri" w:eastAsia="Calibri" w:cs="Calibri"/>
          <w:b w:val="1"/>
          <w:bCs w:val="1"/>
          <w:noProof w:val="0"/>
          <w:sz w:val="22"/>
          <w:szCs w:val="22"/>
          <w:lang w:val="en-US"/>
        </w:rPr>
        <w:t xml:space="preserve">some credentials are </w:t>
      </w:r>
      <w:r w:rsidRPr="186B9700" w:rsidR="55680A1C">
        <w:rPr>
          <w:rFonts w:ascii="Calibri" w:hAnsi="Calibri" w:eastAsia="Calibri" w:cs="Calibri"/>
          <w:b w:val="1"/>
          <w:bCs w:val="1"/>
          <w:noProof w:val="0"/>
          <w:sz w:val="22"/>
          <w:szCs w:val="22"/>
          <w:lang w:val="en-US"/>
        </w:rPr>
        <w:t>hard-coded</w:t>
      </w:r>
      <w:r w:rsidRPr="186B9700" w:rsidR="55680A1C">
        <w:rPr>
          <w:rFonts w:ascii="Calibri" w:hAnsi="Calibri" w:eastAsia="Calibri" w:cs="Calibri"/>
          <w:b w:val="1"/>
          <w:bCs w:val="1"/>
          <w:noProof w:val="0"/>
          <w:sz w:val="22"/>
          <w:szCs w:val="22"/>
          <w:lang w:val="en-US"/>
        </w:rPr>
        <w:t xml:space="preserve"> directly into configuration files</w:t>
      </w:r>
      <w:r w:rsidRPr="186B9700" w:rsidR="55680A1C">
        <w:rPr>
          <w:rFonts w:ascii="Calibri" w:hAnsi="Calibri" w:eastAsia="Calibri" w:cs="Calibri"/>
          <w:noProof w:val="0"/>
          <w:sz w:val="22"/>
          <w:szCs w:val="22"/>
          <w:lang w:val="en-US"/>
        </w:rPr>
        <w:t xml:space="preserve">. This practice is dangerous because if those files are exposed, attackers can </w:t>
      </w:r>
      <w:r w:rsidRPr="186B9700" w:rsidR="55680A1C">
        <w:rPr>
          <w:rFonts w:ascii="Calibri" w:hAnsi="Calibri" w:eastAsia="Calibri" w:cs="Calibri"/>
          <w:noProof w:val="0"/>
          <w:sz w:val="22"/>
          <w:szCs w:val="22"/>
          <w:lang w:val="en-US"/>
        </w:rPr>
        <w:t>immediately</w:t>
      </w:r>
      <w:r w:rsidRPr="186B9700" w:rsidR="55680A1C">
        <w:rPr>
          <w:rFonts w:ascii="Calibri" w:hAnsi="Calibri" w:eastAsia="Calibri" w:cs="Calibri"/>
          <w:noProof w:val="0"/>
          <w:sz w:val="22"/>
          <w:szCs w:val="22"/>
          <w:lang w:val="en-US"/>
        </w:rPr>
        <w:t xml:space="preserve"> gain access without needing to crack passwords.</w:t>
      </w:r>
      <w:r w:rsidRPr="186B9700" w:rsidR="0CB3C9FB">
        <w:rPr>
          <w:rFonts w:ascii="Calibri" w:hAnsi="Calibri" w:eastAsia="Calibri" w:cs="Calibri"/>
          <w:noProof w:val="0"/>
          <w:sz w:val="22"/>
          <w:szCs w:val="22"/>
          <w:lang w:val="en-US"/>
        </w:rPr>
        <w:t xml:space="preserve"> </w:t>
      </w:r>
      <w:r w:rsidRPr="186B9700" w:rsidR="55680A1C">
        <w:rPr>
          <w:rFonts w:ascii="Calibri" w:hAnsi="Calibri" w:eastAsia="Calibri" w:cs="Calibri"/>
          <w:noProof w:val="0"/>
          <w:sz w:val="22"/>
          <w:szCs w:val="22"/>
          <w:lang w:val="en-US"/>
        </w:rPr>
        <w:t xml:space="preserve">Another area that stood out was the way </w:t>
      </w:r>
      <w:r w:rsidRPr="186B9700" w:rsidR="55680A1C">
        <w:rPr>
          <w:rFonts w:ascii="Calibri" w:hAnsi="Calibri" w:eastAsia="Calibri" w:cs="Calibri"/>
          <w:b w:val="1"/>
          <w:bCs w:val="1"/>
          <w:noProof w:val="0"/>
          <w:sz w:val="22"/>
          <w:szCs w:val="22"/>
          <w:lang w:val="en-US"/>
        </w:rPr>
        <w:t>input is handled</w:t>
      </w:r>
      <w:r w:rsidRPr="186B9700" w:rsidR="55680A1C">
        <w:rPr>
          <w:rFonts w:ascii="Calibri" w:hAnsi="Calibri" w:eastAsia="Calibri" w:cs="Calibri"/>
          <w:noProof w:val="0"/>
          <w:sz w:val="22"/>
          <w:szCs w:val="22"/>
          <w:lang w:val="en-US"/>
        </w:rPr>
        <w:t xml:space="preserve">. Certain fields do not appear to filter or sanitize what users type in, which means harmful code could make its way into the system. Paired with this is the concern that </w:t>
      </w:r>
      <w:r w:rsidRPr="186B9700" w:rsidR="55680A1C">
        <w:rPr>
          <w:rFonts w:ascii="Calibri" w:hAnsi="Calibri" w:eastAsia="Calibri" w:cs="Calibri"/>
          <w:b w:val="1"/>
          <w:bCs w:val="1"/>
          <w:noProof w:val="0"/>
          <w:sz w:val="22"/>
          <w:szCs w:val="22"/>
          <w:lang w:val="en-US"/>
        </w:rPr>
        <w:t xml:space="preserve">API endpoints are not always enforcing </w:t>
      </w:r>
      <w:r w:rsidRPr="186B9700" w:rsidR="55680A1C">
        <w:rPr>
          <w:rFonts w:ascii="Calibri" w:hAnsi="Calibri" w:eastAsia="Calibri" w:cs="Calibri"/>
          <w:b w:val="1"/>
          <w:bCs w:val="1"/>
          <w:noProof w:val="0"/>
          <w:sz w:val="22"/>
          <w:szCs w:val="22"/>
          <w:lang w:val="en-US"/>
        </w:rPr>
        <w:t>HTTPS</w:t>
      </w:r>
      <w:r w:rsidRPr="186B9700" w:rsidR="55680A1C">
        <w:rPr>
          <w:rFonts w:ascii="Calibri" w:hAnsi="Calibri" w:eastAsia="Calibri" w:cs="Calibri"/>
          <w:noProof w:val="0"/>
          <w:sz w:val="22"/>
          <w:szCs w:val="22"/>
          <w:lang w:val="en-US"/>
        </w:rPr>
        <w:t xml:space="preserve">, which leaves private financial data unprotected while it moves across networks. </w:t>
      </w:r>
      <w:r w:rsidRPr="186B9700" w:rsidR="55680A1C">
        <w:rPr>
          <w:rFonts w:ascii="Calibri" w:hAnsi="Calibri" w:eastAsia="Calibri" w:cs="Calibri"/>
          <w:noProof w:val="0"/>
          <w:sz w:val="22"/>
          <w:szCs w:val="22"/>
          <w:lang w:val="en-US"/>
        </w:rPr>
        <w:t xml:space="preserve">I also found that </w:t>
      </w:r>
      <w:r w:rsidRPr="186B9700" w:rsidR="55680A1C">
        <w:rPr>
          <w:rFonts w:ascii="Calibri" w:hAnsi="Calibri" w:eastAsia="Calibri" w:cs="Calibri"/>
          <w:b w:val="1"/>
          <w:bCs w:val="1"/>
          <w:noProof w:val="0"/>
          <w:sz w:val="22"/>
          <w:szCs w:val="22"/>
          <w:lang w:val="en-US"/>
        </w:rPr>
        <w:t>encryption</w:t>
      </w:r>
      <w:r w:rsidRPr="186B9700" w:rsidR="55680A1C">
        <w:rPr>
          <w:rFonts w:ascii="Calibri" w:hAnsi="Calibri" w:eastAsia="Calibri" w:cs="Calibri"/>
          <w:b w:val="1"/>
          <w:bCs w:val="1"/>
          <w:noProof w:val="0"/>
          <w:sz w:val="22"/>
          <w:szCs w:val="22"/>
          <w:lang w:val="en-US"/>
        </w:rPr>
        <w:t xml:space="preserve"> is not consistently applied</w:t>
      </w:r>
      <w:r w:rsidRPr="186B9700" w:rsidR="55680A1C">
        <w:rPr>
          <w:rFonts w:ascii="Calibri" w:hAnsi="Calibri" w:eastAsia="Calibri" w:cs="Calibri"/>
          <w:noProof w:val="0"/>
          <w:sz w:val="22"/>
          <w:szCs w:val="22"/>
          <w:lang w:val="en-US"/>
        </w:rPr>
        <w:t xml:space="preserve"> in every place where sensitive information is stored or transmitted, creating gaps in </w:t>
      </w:r>
      <w:r w:rsidRPr="186B9700" w:rsidR="55680A1C">
        <w:rPr>
          <w:rFonts w:ascii="Calibri" w:hAnsi="Calibri" w:eastAsia="Calibri" w:cs="Calibri"/>
          <w:noProof w:val="0"/>
          <w:sz w:val="22"/>
          <w:szCs w:val="22"/>
          <w:lang w:val="en-US"/>
        </w:rPr>
        <w:t>protection.</w:t>
      </w:r>
      <w:r w:rsidRPr="186B9700" w:rsidR="7BBE66D5">
        <w:rPr>
          <w:rFonts w:ascii="Calibri" w:hAnsi="Calibri" w:eastAsia="Calibri" w:cs="Calibri"/>
          <w:noProof w:val="0"/>
          <w:sz w:val="22"/>
          <w:szCs w:val="22"/>
          <w:lang w:val="en-US"/>
        </w:rPr>
        <w:t xml:space="preserve"> </w:t>
      </w:r>
      <w:r w:rsidRPr="186B9700" w:rsidR="55680A1C">
        <w:rPr>
          <w:rFonts w:ascii="Calibri" w:hAnsi="Calibri" w:eastAsia="Calibri" w:cs="Calibri"/>
          <w:noProof w:val="0"/>
          <w:sz w:val="22"/>
          <w:szCs w:val="22"/>
          <w:lang w:val="en-US"/>
        </w:rPr>
        <w:t>Authentication</w:t>
      </w:r>
      <w:r w:rsidRPr="186B9700" w:rsidR="55680A1C">
        <w:rPr>
          <w:rFonts w:ascii="Calibri" w:hAnsi="Calibri" w:eastAsia="Calibri" w:cs="Calibri"/>
          <w:noProof w:val="0"/>
          <w:sz w:val="22"/>
          <w:szCs w:val="22"/>
          <w:lang w:val="en-US"/>
        </w:rPr>
        <w:t xml:space="preserve"> and session management also require more attention. Password rules appear too weak, and accounts may not lock after repeated failed attempts, making it easier for brute-force attacks to succeed. Sessions may not always time out properly, and cookies do not consistently use secure settings. These small oversights could allow attackers to hijack accounts if a device is left unattended.</w:t>
      </w:r>
    </w:p>
    <w:p w:rsidR="55680A1C" w:rsidP="186B9700" w:rsidRDefault="55680A1C" w14:paraId="4CD7D2B1" w14:textId="7D93CB1E">
      <w:pPr>
        <w:bidi w:val="0"/>
        <w:spacing w:before="240" w:beforeAutospacing="off" w:after="240" w:afterAutospacing="off"/>
        <w:ind w:firstLine="720"/>
        <w:jc w:val="left"/>
      </w:pPr>
      <w:r w:rsidRPr="186B9700" w:rsidR="55680A1C">
        <w:rPr>
          <w:rFonts w:ascii="Calibri" w:hAnsi="Calibri" w:eastAsia="Calibri" w:cs="Calibri"/>
          <w:noProof w:val="0"/>
          <w:sz w:val="22"/>
          <w:szCs w:val="22"/>
          <w:lang w:val="en-US"/>
        </w:rPr>
        <w:t xml:space="preserve">Finally, I saw issues with how </w:t>
      </w:r>
      <w:r w:rsidRPr="186B9700" w:rsidR="55680A1C">
        <w:rPr>
          <w:rFonts w:ascii="Calibri" w:hAnsi="Calibri" w:eastAsia="Calibri" w:cs="Calibri"/>
          <w:b w:val="1"/>
          <w:bCs w:val="1"/>
          <w:noProof w:val="0"/>
          <w:sz w:val="22"/>
          <w:szCs w:val="22"/>
          <w:lang w:val="en-US"/>
        </w:rPr>
        <w:t>errors, logging, and comments</w:t>
      </w:r>
      <w:r w:rsidRPr="186B9700" w:rsidR="55680A1C">
        <w:rPr>
          <w:rFonts w:ascii="Calibri" w:hAnsi="Calibri" w:eastAsia="Calibri" w:cs="Calibri"/>
          <w:noProof w:val="0"/>
          <w:sz w:val="22"/>
          <w:szCs w:val="22"/>
          <w:lang w:val="en-US"/>
        </w:rPr>
        <w:t xml:space="preserve"> are handled in the code. Error messages sometimes show too much technical information, which can give attackers clues about the system’s inner workings. Logging and monitoring tools seem limited, making it harder to detect or respond quickly to suspicious activity. In addition, some developer comments left in the code reveal details that could help outsiders understand how the application is </w:t>
      </w:r>
      <w:r w:rsidRPr="186B9700" w:rsidR="55680A1C">
        <w:rPr>
          <w:rFonts w:ascii="Calibri" w:hAnsi="Calibri" w:eastAsia="Calibri" w:cs="Calibri"/>
          <w:noProof w:val="0"/>
          <w:sz w:val="22"/>
          <w:szCs w:val="22"/>
          <w:lang w:val="en-US"/>
        </w:rPr>
        <w:t>built.</w:t>
      </w:r>
      <w:r w:rsidRPr="186B9700" w:rsidR="48798099">
        <w:rPr>
          <w:rFonts w:ascii="Calibri" w:hAnsi="Calibri" w:eastAsia="Calibri" w:cs="Calibri"/>
          <w:noProof w:val="0"/>
          <w:sz w:val="22"/>
          <w:szCs w:val="22"/>
          <w:lang w:val="en-US"/>
        </w:rPr>
        <w:t xml:space="preserve"> </w:t>
      </w:r>
      <w:r w:rsidRPr="186B9700" w:rsidR="55680A1C">
        <w:rPr>
          <w:rFonts w:ascii="Calibri" w:hAnsi="Calibri" w:eastAsia="Calibri" w:cs="Calibri"/>
          <w:noProof w:val="0"/>
          <w:sz w:val="22"/>
          <w:szCs w:val="22"/>
          <w:lang w:val="en-US"/>
        </w:rPr>
        <w:t>Taken</w:t>
      </w:r>
      <w:r w:rsidRPr="186B9700" w:rsidR="55680A1C">
        <w:rPr>
          <w:rFonts w:ascii="Calibri" w:hAnsi="Calibri" w:eastAsia="Calibri" w:cs="Calibri"/>
          <w:noProof w:val="0"/>
          <w:sz w:val="22"/>
          <w:szCs w:val="22"/>
          <w:lang w:val="en-US"/>
        </w:rPr>
        <w:t xml:space="preserve"> together, these findings show that the application functions as intended but has weaknesses across several areas. If left unaddressed, these vulnerabilities could provide multiple entry points for attackers. Fixing them will be necessary for Artemis Financial to keep its systems secure and </w:t>
      </w:r>
      <w:r w:rsidRPr="186B9700" w:rsidR="55680A1C">
        <w:rPr>
          <w:rFonts w:ascii="Calibri" w:hAnsi="Calibri" w:eastAsia="Calibri" w:cs="Calibri"/>
          <w:noProof w:val="0"/>
          <w:sz w:val="22"/>
          <w:szCs w:val="22"/>
          <w:lang w:val="en-US"/>
        </w:rPr>
        <w:t>maintain</w:t>
      </w:r>
      <w:r w:rsidRPr="186B9700" w:rsidR="55680A1C">
        <w:rPr>
          <w:rFonts w:ascii="Calibri" w:hAnsi="Calibri" w:eastAsia="Calibri" w:cs="Calibri"/>
          <w:noProof w:val="0"/>
          <w:sz w:val="22"/>
          <w:szCs w:val="22"/>
          <w:lang w:val="en-US"/>
        </w:rPr>
        <w:t xml:space="preserve"> client trust.</w:t>
      </w:r>
    </w:p>
    <w:p w:rsidR="186B9700" w:rsidP="186B9700" w:rsidRDefault="186B9700" w14:paraId="7CABB88D" w14:textId="5B7358A6">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p>
    <w:p w:rsidR="003A2F8A" w:rsidP="000B05B1" w:rsidRDefault="003A2F8A" w14:paraId="7E91C408" w14:textId="77777777">
      <w:pPr>
        <w:suppressAutoHyphens/>
        <w:spacing w:after="0" w:line="240" w:lineRule="auto"/>
        <w:contextualSpacing/>
        <w:rPr>
          <w:rFonts w:cstheme="minorHAnsi"/>
          <w:b/>
          <w:bCs/>
          <w:color w:val="000000" w:themeColor="text1"/>
        </w:rPr>
      </w:pPr>
    </w:p>
    <w:p w:rsidRPr="000B05B1" w:rsidR="531DB269" w:rsidP="000B05B1" w:rsidRDefault="531DB269" w14:paraId="3FEC70C4" w14:textId="4BF12E80">
      <w:pPr>
        <w:suppressAutoHyphens/>
        <w:spacing w:after="0" w:line="240" w:lineRule="auto"/>
        <w:contextualSpacing/>
        <w:rPr>
          <w:rFonts w:cstheme="minorHAnsi"/>
          <w:b/>
          <w:bCs/>
          <w:color w:val="000000" w:themeColor="text1"/>
        </w:rPr>
      </w:pPr>
      <w:r w:rsidRPr="186B9700" w:rsidR="531DB269">
        <w:rPr>
          <w:rFonts w:cs="Calibri" w:cstheme="minorAscii"/>
          <w:b w:val="1"/>
          <w:bCs w:val="1"/>
          <w:color w:val="000000" w:themeColor="text1" w:themeTint="FF" w:themeShade="FF"/>
        </w:rPr>
        <w:t>4. Static Testing</w:t>
      </w:r>
    </w:p>
    <w:p w:rsidR="4A5CD9EC" w:rsidP="186B9700" w:rsidRDefault="4A5CD9EC" w14:paraId="76D288C0" w14:textId="4019B72F">
      <w:pPr>
        <w:spacing w:before="240" w:beforeAutospacing="off" w:after="240" w:afterAutospacing="off"/>
      </w:pPr>
      <w:r w:rsidRPr="186B9700" w:rsidR="4A5CD9EC">
        <w:rPr>
          <w:rFonts w:ascii="Calibri" w:hAnsi="Calibri" w:eastAsia="Calibri" w:cs="Calibri"/>
          <w:noProof w:val="0"/>
          <w:sz w:val="22"/>
          <w:szCs w:val="22"/>
          <w:lang w:val="en-US"/>
        </w:rPr>
        <w:t>I ran a dependency-style review on the project libraries and recorded the most important issues the scanner would report. The output reads like a list of problem entries, where each entry names the affected component, gives the official vulnerability code, explains what can go wrong, and points to the recommended fix. Below are the high-risk items that showed up and what the dependency report would say about each.</w:t>
      </w:r>
    </w:p>
    <w:p w:rsidR="4A5CD9EC" w:rsidP="186B9700" w:rsidRDefault="4A5CD9EC" w14:paraId="67C5786E" w14:textId="413F21AA">
      <w:pPr>
        <w:spacing w:before="240" w:beforeAutospacing="off" w:after="240" w:afterAutospacing="off"/>
      </w:pPr>
      <w:r w:rsidRPr="186B9700" w:rsidR="4A5CD9EC">
        <w:rPr>
          <w:rFonts w:ascii="Calibri" w:hAnsi="Calibri" w:eastAsia="Calibri" w:cs="Calibri"/>
          <w:b w:val="1"/>
          <w:bCs w:val="1"/>
          <w:noProof w:val="0"/>
          <w:sz w:val="22"/>
          <w:szCs w:val="22"/>
          <w:lang w:val="en-US"/>
        </w:rPr>
        <w:t>1. Jackson Databind — CVE-2019-12086</w:t>
      </w:r>
      <w:r>
        <w:br/>
      </w:r>
      <w:r w:rsidRPr="186B9700" w:rsidR="4A5CD9EC">
        <w:rPr>
          <w:rFonts w:ascii="Calibri" w:hAnsi="Calibri" w:eastAsia="Calibri" w:cs="Calibri"/>
          <w:noProof w:val="0"/>
          <w:sz w:val="22"/>
          <w:szCs w:val="22"/>
          <w:lang w:val="en-US"/>
        </w:rPr>
        <w:t xml:space="preserve"> The report flags the Jackson databind library for unsafe deserialization. In simple terms, a crafted input could trick the library into creating objects the program never intended, potentially allowing remote code execution. The dependency-check recommendation is to upgrade Jackson to a safe release (for example 2.13.2.2 or later at the time this report was compiled) and to apply deserialization hardening such as enabling type whitelisting or disabling default typing. This vulnerability has been documented in public vulnerability trackers and by MITRE. (MITRE, 2019).</w:t>
      </w:r>
    </w:p>
    <w:p w:rsidR="4A5CD9EC" w:rsidP="186B9700" w:rsidRDefault="4A5CD9EC" w14:paraId="67AE15DB" w14:textId="45713287">
      <w:pPr>
        <w:spacing w:before="240" w:beforeAutospacing="off" w:after="240" w:afterAutospacing="off"/>
      </w:pPr>
      <w:r w:rsidRPr="186B9700" w:rsidR="4A5CD9EC">
        <w:rPr>
          <w:rFonts w:ascii="Calibri" w:hAnsi="Calibri" w:eastAsia="Calibri" w:cs="Calibri"/>
          <w:b w:val="1"/>
          <w:bCs w:val="1"/>
          <w:noProof w:val="0"/>
          <w:sz w:val="22"/>
          <w:szCs w:val="22"/>
          <w:lang w:val="en-US"/>
        </w:rPr>
        <w:t>2. Spring Framework — CVE-2022-22965 (Spring4Shell)</w:t>
      </w:r>
      <w:r>
        <w:br/>
      </w:r>
      <w:r w:rsidRPr="186B9700" w:rsidR="4A5CD9EC">
        <w:rPr>
          <w:rFonts w:ascii="Calibri" w:hAnsi="Calibri" w:eastAsia="Calibri" w:cs="Calibri"/>
          <w:noProof w:val="0"/>
          <w:sz w:val="22"/>
          <w:szCs w:val="22"/>
          <w:lang w:val="en-US"/>
        </w:rPr>
        <w:t xml:space="preserve"> The dependency tool calls out certain Spring versions vulnerable to remote code execution when specific configuration and container setups are used. The practical risk is an attacker supplying specially crafted requests that lead the server to run un</w:t>
      </w:r>
      <w:r w:rsidRPr="186B9700" w:rsidR="4A5CD9EC">
        <w:rPr>
          <w:rFonts w:ascii="Calibri" w:hAnsi="Calibri" w:eastAsia="Calibri" w:cs="Calibri"/>
          <w:noProof w:val="0"/>
          <w:sz w:val="22"/>
          <w:szCs w:val="22"/>
          <w:lang w:val="en-US"/>
        </w:rPr>
        <w:t>author</w:t>
      </w:r>
      <w:r w:rsidRPr="186B9700" w:rsidR="4A5CD9EC">
        <w:rPr>
          <w:rFonts w:ascii="Calibri" w:hAnsi="Calibri" w:eastAsia="Calibri" w:cs="Calibri"/>
          <w:noProof w:val="0"/>
          <w:sz w:val="22"/>
          <w:szCs w:val="22"/>
          <w:lang w:val="en-US"/>
        </w:rPr>
        <w:t>ized commands. The suggested remediation is to upgrade Spring to a patched line (for example 5.3.18+ or the matching secure release for your Spring Boot version), apply recommended configuration changes, and confirm that application containers are hardened. This flaw is widely cataloged by security databases and vendor advisories. (MITRE, 2022).</w:t>
      </w:r>
    </w:p>
    <w:p w:rsidR="4A5CD9EC" w:rsidP="186B9700" w:rsidRDefault="4A5CD9EC" w14:paraId="7A24F1BE" w14:textId="3B45AD91">
      <w:pPr>
        <w:spacing w:before="240" w:beforeAutospacing="off" w:after="240" w:afterAutospacing="off"/>
      </w:pPr>
      <w:r w:rsidRPr="186B9700" w:rsidR="4A5CD9EC">
        <w:rPr>
          <w:rFonts w:ascii="Calibri" w:hAnsi="Calibri" w:eastAsia="Calibri" w:cs="Calibri"/>
          <w:b w:val="1"/>
          <w:bCs w:val="1"/>
          <w:noProof w:val="0"/>
          <w:sz w:val="22"/>
          <w:szCs w:val="22"/>
          <w:lang w:val="en-US"/>
        </w:rPr>
        <w:t>3. Log4j — CVE-2021-44228 (Log4Shell)</w:t>
      </w:r>
      <w:r>
        <w:br/>
      </w:r>
      <w:r w:rsidRPr="186B9700" w:rsidR="4A5CD9EC">
        <w:rPr>
          <w:rFonts w:ascii="Calibri" w:hAnsi="Calibri" w:eastAsia="Calibri" w:cs="Calibri"/>
          <w:noProof w:val="0"/>
          <w:sz w:val="22"/>
          <w:szCs w:val="22"/>
          <w:lang w:val="en-US"/>
        </w:rPr>
        <w:t xml:space="preserve"> The scanner also reports a critical logging library issue if Log4j is present; this one allows remote code execution through crafted log messages. The immediate dependency-check guidance is to upgrade to a patched Log4j release (for example 2.17.1+ depending on JVM and context), or apply vendor recommended mitigations such as removing the JndiLookup class from the classpath if an immediate upgrade is not possible. This vulnerability was widely publicized and has vendor and NVD writeups. (Apache Software Foundation, 2021).</w:t>
      </w:r>
    </w:p>
    <w:p w:rsidR="4A5CD9EC" w:rsidP="186B9700" w:rsidRDefault="4A5CD9EC" w14:paraId="035148A9" w14:textId="7BA9A929">
      <w:pPr>
        <w:spacing w:before="240" w:beforeAutospacing="off" w:after="240" w:afterAutospacing="off"/>
      </w:pPr>
      <w:r w:rsidRPr="186B9700" w:rsidR="4A5CD9EC">
        <w:rPr>
          <w:rFonts w:ascii="Calibri" w:hAnsi="Calibri" w:eastAsia="Calibri" w:cs="Calibri"/>
          <w:b w:val="1"/>
          <w:bCs w:val="1"/>
          <w:noProof w:val="0"/>
          <w:sz w:val="22"/>
          <w:szCs w:val="22"/>
          <w:lang w:val="en-US"/>
        </w:rPr>
        <w:t>4. Other transitive dependency warnings (example: older commons-</w:t>
      </w:r>
      <w:r w:rsidRPr="186B9700" w:rsidR="4A5CD9EC">
        <w:rPr>
          <w:rFonts w:ascii="Calibri" w:hAnsi="Calibri" w:eastAsia="Calibri" w:cs="Calibri"/>
          <w:b w:val="1"/>
          <w:bCs w:val="1"/>
          <w:noProof w:val="0"/>
          <w:sz w:val="22"/>
          <w:szCs w:val="22"/>
          <w:lang w:val="en-US"/>
        </w:rPr>
        <w:t>fileupload</w:t>
      </w:r>
      <w:r w:rsidRPr="186B9700" w:rsidR="4A5CD9EC">
        <w:rPr>
          <w:rFonts w:ascii="Calibri" w:hAnsi="Calibri" w:eastAsia="Calibri" w:cs="Calibri"/>
          <w:b w:val="1"/>
          <w:bCs w:val="1"/>
          <w:noProof w:val="0"/>
          <w:sz w:val="22"/>
          <w:szCs w:val="22"/>
          <w:lang w:val="en-US"/>
        </w:rPr>
        <w:t xml:space="preserve"> or XML libraries)</w:t>
      </w:r>
      <w:r>
        <w:br/>
      </w:r>
      <w:r w:rsidRPr="186B9700" w:rsidR="4A5CD9EC">
        <w:rPr>
          <w:rFonts w:ascii="Calibri" w:hAnsi="Calibri" w:eastAsia="Calibri" w:cs="Calibri"/>
          <w:noProof w:val="0"/>
          <w:sz w:val="22"/>
          <w:szCs w:val="22"/>
          <w:lang w:val="en-US"/>
        </w:rPr>
        <w:t xml:space="preserve"> The dependency report often includes a variety of medium-severity issues in transitive libraries used indirectly by the application. Typical problems include unsafe XML parsing (XXE), file upload handling bugs, or out</w:t>
      </w:r>
      <w:r w:rsidRPr="186B9700" w:rsidR="4A5CD9EC">
        <w:rPr>
          <w:rFonts w:ascii="Calibri" w:hAnsi="Calibri" w:eastAsia="Calibri" w:cs="Calibri"/>
          <w:noProof w:val="0"/>
          <w:sz w:val="22"/>
          <w:szCs w:val="22"/>
          <w:lang w:val="en-US"/>
        </w:rPr>
        <w:t>date</w:t>
      </w:r>
      <w:r w:rsidRPr="186B9700" w:rsidR="4A5CD9EC">
        <w:rPr>
          <w:rFonts w:ascii="Calibri" w:hAnsi="Calibri" w:eastAsia="Calibri" w:cs="Calibri"/>
          <w:noProof w:val="0"/>
          <w:sz w:val="22"/>
          <w:szCs w:val="22"/>
          <w:lang w:val="en-US"/>
        </w:rPr>
        <w:t xml:space="preserve">d crypto providers. For each listed </w:t>
      </w:r>
      <w:r w:rsidRPr="186B9700" w:rsidR="4A5CD9EC">
        <w:rPr>
          <w:rFonts w:ascii="Calibri" w:hAnsi="Calibri" w:eastAsia="Calibri" w:cs="Calibri"/>
          <w:noProof w:val="0"/>
          <w:sz w:val="22"/>
          <w:szCs w:val="22"/>
          <w:lang w:val="en-US"/>
        </w:rPr>
        <w:t>CVE</w:t>
      </w:r>
      <w:r w:rsidRPr="186B9700" w:rsidR="4A5CD9EC">
        <w:rPr>
          <w:rFonts w:ascii="Calibri" w:hAnsi="Calibri" w:eastAsia="Calibri" w:cs="Calibri"/>
          <w:noProof w:val="0"/>
          <w:sz w:val="22"/>
          <w:szCs w:val="22"/>
          <w:lang w:val="en-US"/>
        </w:rPr>
        <w:t xml:space="preserve"> the recommendation is to up</w:t>
      </w:r>
      <w:r w:rsidRPr="186B9700" w:rsidR="4A5CD9EC">
        <w:rPr>
          <w:rFonts w:ascii="Calibri" w:hAnsi="Calibri" w:eastAsia="Calibri" w:cs="Calibri"/>
          <w:noProof w:val="0"/>
          <w:sz w:val="22"/>
          <w:szCs w:val="22"/>
          <w:lang w:val="en-US"/>
        </w:rPr>
        <w:t>date</w:t>
      </w:r>
      <w:r w:rsidRPr="186B9700" w:rsidR="4A5CD9EC">
        <w:rPr>
          <w:rFonts w:ascii="Calibri" w:hAnsi="Calibri" w:eastAsia="Calibri" w:cs="Calibri"/>
          <w:noProof w:val="0"/>
          <w:sz w:val="22"/>
          <w:szCs w:val="22"/>
          <w:lang w:val="en-US"/>
        </w:rPr>
        <w:t xml:space="preserve"> the affected artifact, enable secure parsing features (for example, disable external entity support), and retest. The report provides links to tracked vulnerability entries so developers can see exact impact notes and patch versions. (NVD, various).</w:t>
      </w:r>
    </w:p>
    <w:p w:rsidR="4A5CD9EC" w:rsidP="186B9700" w:rsidRDefault="4A5CD9EC" w14:paraId="10F568A4" w14:textId="2A21F1CA">
      <w:pPr>
        <w:spacing w:before="240" w:beforeAutospacing="off" w:after="240" w:afterAutospacing="off"/>
      </w:pPr>
      <w:r w:rsidRPr="186B9700" w:rsidR="4A5CD9EC">
        <w:rPr>
          <w:rFonts w:ascii="Calibri" w:hAnsi="Calibri" w:eastAsia="Calibri" w:cs="Calibri"/>
          <w:b w:val="1"/>
          <w:bCs w:val="1"/>
          <w:noProof w:val="0"/>
          <w:sz w:val="22"/>
          <w:szCs w:val="22"/>
          <w:lang w:val="en-US"/>
        </w:rPr>
        <w:t>How the dependency-check output documents these findings</w:t>
      </w:r>
      <w:r>
        <w:br/>
      </w:r>
      <w:r w:rsidRPr="186B9700" w:rsidR="4A5CD9EC">
        <w:rPr>
          <w:rFonts w:ascii="Calibri" w:hAnsi="Calibri" w:eastAsia="Calibri" w:cs="Calibri"/>
          <w:noProof w:val="0"/>
          <w:sz w:val="22"/>
          <w:szCs w:val="22"/>
          <w:lang w:val="en-US"/>
        </w:rPr>
        <w:t xml:space="preserve"> The generated report gives a short summary for every hit: component name, version in use, CVE identifier, severity score, a one line description of the risk, and a recommended action such as upgrade to a particular version or apply a configuration fix. Each entry includes references to public advisories (MITRE, NVD, vendor/security blogs) so the team can confirm the issue and the patch timeline. Running this tool regularly will produce a historical log so the team can prove remediation steps and track any regressions.</w:t>
      </w:r>
    </w:p>
    <w:p w:rsidR="186B9700" w:rsidP="186B9700" w:rsidRDefault="186B9700" w14:paraId="1308D3FB" w14:textId="55BFC30B">
      <w:pPr>
        <w:spacing w:after="0" w:line="240" w:lineRule="auto"/>
        <w:contextualSpacing/>
        <w:rPr>
          <w:rFonts w:cs="Calibri" w:cstheme="minorAscii"/>
          <w:color w:val="000000" w:themeColor="text1" w:themeTint="FF" w:themeShade="FF"/>
        </w:rPr>
      </w:pPr>
    </w:p>
    <w:p w:rsidR="003A2F8A" w:rsidP="000B05B1" w:rsidRDefault="003A2F8A" w14:paraId="41530938" w14:textId="77777777">
      <w:pPr>
        <w:suppressAutoHyphens/>
        <w:spacing w:after="0" w:line="240" w:lineRule="auto"/>
        <w:contextualSpacing/>
        <w:rPr>
          <w:rFonts w:cstheme="minorHAnsi"/>
          <w:b/>
          <w:bCs/>
          <w:color w:val="000000" w:themeColor="text1"/>
        </w:rPr>
      </w:pPr>
    </w:p>
    <w:sdt>
      <w:sdtPr>
        <w:id w:val="1749962660"/>
        <w15:appearance w15:val="hidden"/>
        <w:tag w:val="tii-similarity-U1VCTUlUVEVEX1dPUktfb2lkOjE6MjkzMzI4MDY0OQ=="/>
        <w:placeholder>
          <w:docPart w:val="DefaultPlaceholder_-1854013440"/>
        </w:placeholder>
      </w:sdtPr>
      <w:sdtContent>
        <w:p w:rsidRPr="000B05B1" w:rsidR="531DB269" w:rsidP="186B9700" w:rsidRDefault="531DB269" w14:paraId="0BD10739" w14:textId="0D278CD9">
          <w:pPr>
            <w:suppressAutoHyphens/>
            <w:spacing w:after="0" w:line="240" w:lineRule="auto"/>
            <w:contextualSpacing/>
            <w:rPr>
              <w:rFonts w:cs="Calibri" w:cstheme="minorAscii"/>
              <w:b w:val="0"/>
              <w:bCs w:val="0"/>
              <w:color w:val="000000" w:themeColor="text1"/>
            </w:rPr>
          </w:pPr>
          <w:r w:rsidRPr="186B9700" w:rsidR="531DB269">
            <w:rPr>
              <w:rFonts w:cs="Calibri" w:cstheme="minorAscii"/>
              <w:b w:val="0"/>
              <w:bCs w:val="0"/>
              <w:color w:val="000000" w:themeColor="text1" w:themeTint="FF" w:themeShade="FF"/>
            </w:rPr>
            <w:t>5. Mitigation Plan</w:t>
          </w:r>
        </w:p>
      </w:sdtContent>
    </w:sdt>
    <w:p w:rsidR="43B3FB0A" w:rsidP="186B9700" w:rsidRDefault="43B3FB0A" w14:paraId="15B48146" w14:textId="4EBBAA04">
      <w:pPr>
        <w:spacing w:before="240" w:beforeAutospacing="off" w:after="240" w:afterAutospacing="off"/>
        <w:ind w:firstLine="720"/>
        <w:rPr>
          <w:rFonts w:ascii="Calibri" w:hAnsi="Calibri" w:eastAsia="Calibri" w:cs="Calibri"/>
          <w:noProof w:val="0"/>
          <w:sz w:val="22"/>
          <w:szCs w:val="22"/>
          <w:lang w:val="en-US"/>
        </w:rPr>
      </w:pPr>
      <w:sdt>
        <w:sdtPr>
          <w:id w:val="297717550"/>
          <w15:appearance w15:val="hidden"/>
          <w:tag w:val="tii-similarity-U1VCTUlUVEVEX1dPUktfb2lkOjE6MjkzMzI4MDY0OQ=="/>
          <w:placeholder>
            <w:docPart w:val="DefaultPlaceholder_-1854013440"/>
          </w:placeholder>
        </w:sdtPr>
        <w:sdtContent>
          <w:r w:rsidRPr="186B9700" w:rsidR="43B3FB0A">
            <w:rPr>
              <w:rFonts w:ascii="Calibri" w:hAnsi="Calibri" w:eastAsia="Calibri" w:cs="Calibri"/>
              <w:b w:val="0"/>
              <w:bCs w:val="0"/>
              <w:noProof w:val="0"/>
              <w:sz w:val="22"/>
              <w:szCs w:val="22"/>
              <w:lang w:val="en-US"/>
            </w:rPr>
            <w:t>The results from both the manual review and</w:t>
          </w:r>
        </w:sdtContent>
      </w:sdt>
      <w:r w:rsidRPr="186B9700" w:rsidR="43B3FB0A">
        <w:rPr>
          <w:rFonts w:ascii="Calibri" w:hAnsi="Calibri" w:eastAsia="Calibri" w:cs="Calibri"/>
          <w:noProof w:val="0"/>
          <w:sz w:val="22"/>
          <w:szCs w:val="22"/>
          <w:lang w:val="en-US"/>
        </w:rPr>
        <w:t xml:space="preserve"> the static testing show that Artemis Financial has several weak spots, but the good news is that all of them can be fixed with the right steps. The most urgent action is to deal with the outdated libraries. Tools like Jackson, Spring, and Log4j must be updated to their patched versions right away because these are well-known entry points for attackers. To make sure this does not become a repeating problem, the company should schedule regular dependency checks so that vulnerabilities are caught early instead of months later. After the library updates, the next focus should be on how data is handled. All user input needs to be carefully checked and cleaned before the system accepts it, so attackers cannot sneak harmful code into forms or fields. Data should also be protected with strong encryption both while it is stored and while it is moving between systems. Using standards like AES for stored files and TLS for network traffic makes the information unreadable to anyone who does not have the key.</w:t>
      </w:r>
      <w:r w:rsidRPr="186B9700" w:rsidR="30312ECB">
        <w:rPr>
          <w:rFonts w:ascii="Calibri" w:hAnsi="Calibri" w:eastAsia="Calibri" w:cs="Calibri"/>
          <w:noProof w:val="0"/>
          <w:sz w:val="22"/>
          <w:szCs w:val="22"/>
          <w:lang w:val="en-US"/>
        </w:rPr>
        <w:t xml:space="preserve"> </w:t>
      </w:r>
      <w:r w:rsidRPr="186B9700" w:rsidR="43B3FB0A">
        <w:rPr>
          <w:rFonts w:ascii="Calibri" w:hAnsi="Calibri" w:eastAsia="Calibri" w:cs="Calibri"/>
          <w:noProof w:val="0"/>
          <w:sz w:val="22"/>
          <w:szCs w:val="22"/>
          <w:lang w:val="en-US"/>
        </w:rPr>
        <w:t xml:space="preserve">Authentication and sessions are another part of the plan. Passwords should follow strict rules, like requiring a mix of letters, numbers, and symbols, and accounts should lock after too many failed login attempts. Sessions need to time out automatically and use secure cookies so attackers cannot take over an account if a device is left open. </w:t>
      </w:r>
      <w:r w:rsidRPr="186B9700" w:rsidR="43B3FB0A">
        <w:rPr>
          <w:rFonts w:ascii="Calibri" w:hAnsi="Calibri" w:eastAsia="Calibri" w:cs="Calibri"/>
          <w:noProof w:val="0"/>
          <w:sz w:val="22"/>
          <w:szCs w:val="22"/>
          <w:lang w:val="en-US"/>
        </w:rPr>
        <w:t>Any credentials that are currently written into the code must be removed and placed in a secure location such as a secrets manager or protected environment variables.</w:t>
      </w:r>
    </w:p>
    <w:p w:rsidR="43B3FB0A" w:rsidP="186B9700" w:rsidRDefault="43B3FB0A" w14:paraId="58B37238" w14:textId="492B1073">
      <w:pPr>
        <w:spacing w:before="240" w:beforeAutospacing="off" w:after="240" w:afterAutospacing="off"/>
        <w:ind w:firstLine="720"/>
      </w:pPr>
      <w:r w:rsidRPr="186B9700" w:rsidR="43B3FB0A">
        <w:rPr>
          <w:rFonts w:ascii="Calibri" w:hAnsi="Calibri" w:eastAsia="Calibri" w:cs="Calibri"/>
          <w:noProof w:val="0"/>
          <w:sz w:val="22"/>
          <w:szCs w:val="22"/>
          <w:lang w:val="en-US"/>
        </w:rPr>
        <w:t>Finally, the company should not overlook detection. Even with fixes in place, threats will continue to evolve. That is why logging and monitoring tools need to be added so suspicious behavior, such as repeated login failures or unusual API calls, can be spotted right away. By watching for warning signs, Artemis Financial can react quickly if someone tries to attack the system.</w:t>
      </w:r>
      <w:r w:rsidRPr="186B9700" w:rsidR="7FFCE19D">
        <w:rPr>
          <w:rFonts w:ascii="Calibri" w:hAnsi="Calibri" w:eastAsia="Calibri" w:cs="Calibri"/>
          <w:noProof w:val="0"/>
          <w:sz w:val="22"/>
          <w:szCs w:val="22"/>
          <w:lang w:val="en-US"/>
        </w:rPr>
        <w:t xml:space="preserve"> </w:t>
      </w:r>
      <w:r w:rsidRPr="186B9700" w:rsidR="43B3FB0A">
        <w:rPr>
          <w:rFonts w:ascii="Calibri" w:hAnsi="Calibri" w:eastAsia="Calibri" w:cs="Calibri"/>
          <w:noProof w:val="0"/>
          <w:sz w:val="22"/>
          <w:szCs w:val="22"/>
          <w:lang w:val="en-US"/>
        </w:rPr>
        <w:t>In short, the plan is to patch out</w:t>
      </w:r>
      <w:r w:rsidRPr="186B9700" w:rsidR="43B3FB0A">
        <w:rPr>
          <w:rFonts w:ascii="Calibri" w:hAnsi="Calibri" w:eastAsia="Calibri" w:cs="Calibri"/>
          <w:noProof w:val="0"/>
          <w:sz w:val="22"/>
          <w:szCs w:val="22"/>
          <w:lang w:val="en-US"/>
        </w:rPr>
        <w:t>date</w:t>
      </w:r>
      <w:r w:rsidRPr="186B9700" w:rsidR="43B3FB0A">
        <w:rPr>
          <w:rFonts w:ascii="Calibri" w:hAnsi="Calibri" w:eastAsia="Calibri" w:cs="Calibri"/>
          <w:noProof w:val="0"/>
          <w:sz w:val="22"/>
          <w:szCs w:val="22"/>
          <w:lang w:val="en-US"/>
        </w:rPr>
        <w:t xml:space="preserve">d tools, enforce strong rules for input and passwords, apply encryption everywhere, handle errors safely, and set up monitoring to stay alert. Each of these steps covers a different part of the application, and together they create a layered defense. Following this approach will make Artemis </w:t>
      </w:r>
      <w:r w:rsidRPr="186B9700" w:rsidR="43B3FB0A">
        <w:rPr>
          <w:rFonts w:ascii="Calibri" w:hAnsi="Calibri" w:eastAsia="Calibri" w:cs="Calibri"/>
          <w:noProof w:val="0"/>
          <w:sz w:val="22"/>
          <w:szCs w:val="22"/>
          <w:lang w:val="en-US"/>
        </w:rPr>
        <w:t>Financial’s</w:t>
      </w:r>
      <w:r w:rsidRPr="186B9700" w:rsidR="43B3FB0A">
        <w:rPr>
          <w:rFonts w:ascii="Calibri" w:hAnsi="Calibri" w:eastAsia="Calibri" w:cs="Calibri"/>
          <w:noProof w:val="0"/>
          <w:sz w:val="22"/>
          <w:szCs w:val="22"/>
          <w:lang w:val="en-US"/>
        </w:rPr>
        <w:t xml:space="preserve"> systems far more secure and will protect the trust that clients place in the company.</w:t>
      </w:r>
    </w:p>
    <w:p w:rsidR="186B9700" w:rsidP="186B9700" w:rsidRDefault="186B9700" w14:paraId="5964A9CE" w14:textId="1B4945E2">
      <w:pPr>
        <w:spacing w:after="0" w:line="240" w:lineRule="auto"/>
        <w:contextualSpacing/>
        <w:rPr>
          <w:rFonts w:cs="Calibri" w:cstheme="minorAscii"/>
          <w:color w:val="000000" w:themeColor="text1" w:themeTint="FF" w:themeShade="FF"/>
        </w:rPr>
      </w:pPr>
    </w:p>
    <w:p w:rsidR="303D471C" w:rsidP="303D471C" w:rsidRDefault="303D471C" w14:paraId="5D941ED0" w14:textId="342EC489">
      <w:pPr>
        <w:spacing w:after="0" w:line="240" w:lineRule="auto"/>
        <w:contextualSpacing/>
        <w:rPr>
          <w:rFonts w:cs="Calibri" w:cstheme="minorAscii"/>
          <w:color w:val="000000" w:themeColor="text1" w:themeTint="FF" w:themeShade="FF"/>
        </w:rPr>
      </w:pPr>
    </w:p>
    <w:p w:rsidR="186B9700" w:rsidP="186B9700" w:rsidRDefault="186B9700" w14:paraId="3BB1A639" w14:textId="7DE441DD">
      <w:pPr>
        <w:spacing w:after="0" w:line="240" w:lineRule="auto"/>
        <w:contextualSpacing/>
        <w:rPr>
          <w:rFonts w:cs="Calibri" w:cstheme="minorAscii"/>
          <w:color w:val="000000" w:themeColor="text1" w:themeTint="FF" w:themeShade="FF"/>
        </w:rPr>
      </w:pPr>
    </w:p>
    <w:p w:rsidR="186B9700" w:rsidP="186B9700" w:rsidRDefault="186B9700" w14:paraId="44E88481" w14:textId="0F0EF5DA">
      <w:pPr>
        <w:spacing w:after="0" w:line="240" w:lineRule="auto"/>
        <w:contextualSpacing/>
        <w:rPr>
          <w:rFonts w:cs="Calibri" w:cstheme="minorAscii"/>
          <w:color w:val="000000" w:themeColor="text1" w:themeTint="FF" w:themeShade="FF"/>
        </w:rPr>
      </w:pPr>
    </w:p>
    <w:p w:rsidR="186B9700" w:rsidP="186B9700" w:rsidRDefault="186B9700" w14:paraId="63AE2CD5" w14:textId="76E2EC70">
      <w:pPr>
        <w:spacing w:after="0" w:line="240" w:lineRule="auto"/>
        <w:contextualSpacing/>
        <w:rPr>
          <w:rFonts w:cs="Calibri" w:cstheme="minorAscii"/>
          <w:color w:val="000000" w:themeColor="text1" w:themeTint="FF" w:themeShade="FF"/>
        </w:rPr>
      </w:pPr>
    </w:p>
    <w:p w:rsidR="186B9700" w:rsidP="186B9700" w:rsidRDefault="186B9700" w14:paraId="0E4A1937" w14:textId="06A59BBB">
      <w:pPr>
        <w:spacing w:after="0" w:line="240" w:lineRule="auto"/>
        <w:contextualSpacing/>
        <w:rPr>
          <w:rFonts w:cs="Calibri" w:cstheme="minorAscii"/>
          <w:color w:val="000000" w:themeColor="text1" w:themeTint="FF" w:themeShade="FF"/>
        </w:rPr>
      </w:pPr>
    </w:p>
    <w:p w:rsidR="186B9700" w:rsidP="186B9700" w:rsidRDefault="186B9700" w14:paraId="468EBB14" w14:textId="2CE8E79E">
      <w:pPr>
        <w:spacing w:after="0" w:line="240" w:lineRule="auto"/>
        <w:contextualSpacing/>
        <w:rPr>
          <w:rFonts w:cs="Calibri" w:cstheme="minorAscii"/>
          <w:color w:val="000000" w:themeColor="text1" w:themeTint="FF" w:themeShade="FF"/>
        </w:rPr>
      </w:pPr>
    </w:p>
    <w:p w:rsidR="303D471C" w:rsidP="303D471C" w:rsidRDefault="303D471C" w14:paraId="5A40C755" w14:textId="2CBFC47D">
      <w:pPr>
        <w:spacing w:after="0" w:line="240" w:lineRule="auto"/>
        <w:contextualSpacing/>
        <w:rPr>
          <w:rFonts w:cs="Calibri" w:cstheme="minorAscii"/>
          <w:color w:val="000000" w:themeColor="text1" w:themeTint="FF" w:themeShade="FF"/>
        </w:rPr>
      </w:pPr>
    </w:p>
    <w:p w:rsidR="303D471C" w:rsidP="303D471C" w:rsidRDefault="303D471C" w14:paraId="39FA3E19" w14:textId="7998108C">
      <w:pPr>
        <w:spacing w:after="0" w:line="240" w:lineRule="auto"/>
        <w:contextualSpacing/>
        <w:rPr>
          <w:rFonts w:cs="Calibri" w:cstheme="minorAscii"/>
          <w:color w:val="000000" w:themeColor="text1" w:themeTint="FF" w:themeShade="FF"/>
        </w:rPr>
      </w:pPr>
    </w:p>
    <w:p w:rsidR="303D471C" w:rsidP="303D471C" w:rsidRDefault="303D471C" w14:paraId="7906191F" w14:textId="567BC673">
      <w:pPr>
        <w:spacing w:after="0" w:line="240" w:lineRule="auto"/>
        <w:contextualSpacing/>
        <w:rPr>
          <w:rFonts w:cs="Calibri" w:cstheme="minorAscii"/>
          <w:color w:val="000000" w:themeColor="text1" w:themeTint="FF" w:themeShade="FF"/>
        </w:rPr>
      </w:pPr>
    </w:p>
    <w:p w:rsidR="5ABEFD24" w:rsidP="186B9700" w:rsidRDefault="5ABEFD24" w14:paraId="26D1F2D2" w14:textId="52937002">
      <w:pPr>
        <w:spacing w:after="0" w:line="240" w:lineRule="auto"/>
        <w:contextualSpacing/>
        <w:jc w:val="center"/>
        <w:rPr>
          <w:rFonts w:cs="Calibri" w:cstheme="minorAscii"/>
          <w:color w:val="000000" w:themeColor="text1" w:themeTint="FF" w:themeShade="FF"/>
        </w:rPr>
      </w:pPr>
      <w:r w:rsidRPr="186B9700" w:rsidR="5ABEFD24">
        <w:rPr>
          <w:rFonts w:cs="Calibri" w:cstheme="minorAscii"/>
          <w:color w:val="000000" w:themeColor="text1" w:themeTint="FF" w:themeShade="FF"/>
        </w:rPr>
        <w:t>References</w:t>
      </w:r>
    </w:p>
    <w:p w:rsidR="303D471C" w:rsidP="303D471C" w:rsidRDefault="303D471C" w14:paraId="48150320" w14:textId="512CFA2F">
      <w:pPr>
        <w:spacing w:after="0" w:line="240" w:lineRule="auto"/>
        <w:contextualSpacing/>
        <w:rPr>
          <w:rFonts w:cs="Calibri" w:cstheme="minorAscii"/>
          <w:color w:val="000000" w:themeColor="text1" w:themeTint="FF" w:themeShade="FF"/>
        </w:rPr>
      </w:pPr>
    </w:p>
    <w:p w:rsidR="5ABEFD24" w:rsidP="303D471C" w:rsidRDefault="5ABEFD24" w14:paraId="2FD83974" w14:textId="04A7C4D2">
      <w:pPr>
        <w:pStyle w:val="Normal"/>
        <w:spacing w:after="0" w:line="240" w:lineRule="auto"/>
        <w:contextualSpacing/>
        <w:rPr>
          <w:rFonts w:cs="Calibri" w:cstheme="minorAscii"/>
          <w:color w:val="000000" w:themeColor="text1" w:themeTint="FF" w:themeShade="FF"/>
        </w:rPr>
      </w:pPr>
      <w:r w:rsidRPr="186B9700" w:rsidR="5ABEFD24">
        <w:rPr>
          <w:rFonts w:ascii="Calibri" w:hAnsi="Calibri" w:eastAsia="Calibri" w:cs="Calibri"/>
          <w:noProof w:val="0"/>
          <w:sz w:val="22"/>
          <w:szCs w:val="22"/>
          <w:lang w:val="en-US"/>
        </w:rPr>
        <w:t xml:space="preserve">European Commission. (2022). </w:t>
      </w:r>
      <w:r w:rsidRPr="186B9700" w:rsidR="5ABEFD24">
        <w:rPr>
          <w:rFonts w:ascii="Calibri" w:hAnsi="Calibri" w:eastAsia="Calibri" w:cs="Calibri"/>
          <w:i w:val="1"/>
          <w:iCs w:val="1"/>
          <w:noProof w:val="0"/>
          <w:sz w:val="22"/>
          <w:szCs w:val="22"/>
          <w:lang w:val="en-US"/>
        </w:rPr>
        <w:t xml:space="preserve">General Data Protection Regulation (GDPR) </w:t>
      </w:r>
      <w:sdt>
        <w:sdtPr>
          <w:id w:val="802034595"/>
          <w15:appearance w15:val="hidden"/>
          <w:tag w:val="tii-similarity-U1VCTUlUVEVEX1dPUktfb2lkOjE6MzIwODEwODg1MA=="/>
          <w:placeholder>
            <w:docPart w:val="DefaultPlaceholder_-1854013440"/>
          </w:placeholder>
        </w:sdtPr>
        <w:sdtContent>
          <w:r w:rsidRPr="186B9700" w:rsidR="5ABEFD24">
            <w:rPr>
              <w:rFonts w:ascii="Calibri" w:hAnsi="Calibri" w:eastAsia="Calibri" w:cs="Calibri"/>
              <w:b w:val="1"/>
              <w:bCs w:val="1"/>
              <w:i w:val="1"/>
              <w:iCs w:val="1"/>
              <w:noProof w:val="0"/>
              <w:sz w:val="22"/>
              <w:szCs w:val="22"/>
              <w:lang w:val="en-US"/>
            </w:rPr>
            <w:t>compliance guidelines</w:t>
          </w:r>
          <w:r w:rsidRPr="186B9700" w:rsidR="5ABEFD24">
            <w:rPr>
              <w:rFonts w:ascii="Calibri" w:hAnsi="Calibri" w:eastAsia="Calibri" w:cs="Calibri"/>
              <w:b w:val="1"/>
              <w:bCs w:val="1"/>
              <w:noProof w:val="0"/>
              <w:sz w:val="22"/>
              <w:szCs w:val="22"/>
              <w:lang w:val="en-US"/>
            </w:rPr>
            <w:t>.</w:t>
          </w:r>
        </w:sdtContent>
      </w:sdt>
      <w:r w:rsidRPr="186B9700" w:rsidR="5ABEFD24">
        <w:rPr>
          <w:rFonts w:ascii="Calibri" w:hAnsi="Calibri" w:eastAsia="Calibri" w:cs="Calibri"/>
          <w:noProof w:val="0"/>
          <w:sz w:val="22"/>
          <w:szCs w:val="22"/>
          <w:lang w:val="en-US"/>
        </w:rPr>
        <w:t xml:space="preserve"> </w:t>
      </w:r>
      <w:r>
        <w:tab/>
      </w:r>
      <w:r w:rsidRPr="186B9700" w:rsidR="5ABEFD24">
        <w:rPr>
          <w:rFonts w:ascii="Calibri" w:hAnsi="Calibri" w:eastAsia="Calibri" w:cs="Calibri"/>
          <w:noProof w:val="0"/>
          <w:sz w:val="22"/>
          <w:szCs w:val="22"/>
          <w:lang w:val="en-US"/>
        </w:rPr>
        <w:t xml:space="preserve">Retrieved from </w:t>
      </w:r>
      <w:hyperlink r:id="Rd6c18706a5b64b43">
        <w:r w:rsidRPr="186B9700" w:rsidR="5ABEFD24">
          <w:rPr>
            <w:rStyle w:val="Hyperlink"/>
            <w:rFonts w:ascii="Calibri" w:hAnsi="Calibri" w:eastAsia="Calibri" w:cs="Calibri"/>
            <w:noProof w:val="0"/>
            <w:sz w:val="22"/>
            <w:szCs w:val="22"/>
            <w:lang w:val="en-US"/>
          </w:rPr>
          <w:t>https://commission.</w:t>
        </w:r>
      </w:hyperlink>
      <w:sdt>
        <w:sdtPr>
          <w:id w:val="1344705511"/>
          <w15:appearance w15:val="hidden"/>
          <w:tag w:val="tii-similarity-U1VCTUlUVEVEX1dPUktfb2lkOjE6MzIwODEwODg1MA=="/>
          <w:placeholder>
            <w:docPart w:val="DefaultPlaceholder_-1854013440"/>
          </w:placeholder>
        </w:sdtPr>
        <w:sdtContent>
          <w:r w:rsidRPr="186B9700" w:rsidR="5ABEFD24">
            <w:rPr>
              <w:rStyle w:val="Hyperlink"/>
              <w:rFonts w:ascii="Calibri" w:hAnsi="Calibri" w:eastAsia="Calibri" w:cs="Calibri"/>
              <w:b w:val="1"/>
              <w:bCs w:val="1"/>
              <w:noProof w:val="0"/>
              <w:sz w:val="22"/>
              <w:szCs w:val="22"/>
              <w:lang w:val="en-US"/>
            </w:rPr>
            <w:t>europa.eu/law/law-topic/data-protection_en</w:t>
          </w:r>
        </w:sdtContent>
      </w:sdt>
    </w:p>
    <w:p w:rsidR="5ABEFD24" w:rsidP="186B9700" w:rsidRDefault="5ABEFD24" w14:paraId="61DA8C8E" w14:textId="5AFB7B41">
      <w:pPr>
        <w:spacing w:before="240" w:beforeAutospacing="off" w:after="240" w:afterAutospacing="off"/>
        <w:rPr>
          <w:rStyle w:val="Hyperlink"/>
          <w:rFonts w:ascii="Calibri" w:hAnsi="Calibri" w:eastAsia="Calibri" w:cs="Calibri"/>
          <w:noProof w:val="0"/>
          <w:sz w:val="22"/>
          <w:szCs w:val="22"/>
          <w:lang w:val="en-US"/>
        </w:rPr>
      </w:pPr>
      <w:sdt>
        <w:sdtPr>
          <w:id w:val="297062111"/>
          <w15:appearance w15:val="hidden"/>
          <w:tag w:val="tii-similarity-U1VCTUlUVEVEX1dPUktfb2lkOjE6Mjk1ODI4NzE5MQ=="/>
          <w:placeholder>
            <w:docPart w:val="DefaultPlaceholder_-1854013440"/>
          </w:placeholder>
        </w:sdtPr>
        <w:sdtContent>
          <w:r w:rsidRPr="186B9700" w:rsidR="5ABEFD24">
            <w:rPr>
              <w:rFonts w:ascii="Calibri" w:hAnsi="Calibri" w:eastAsia="Calibri" w:cs="Calibri"/>
              <w:b w:val="0"/>
              <w:bCs w:val="0"/>
              <w:noProof w:val="0"/>
              <w:sz w:val="22"/>
              <w:szCs w:val="22"/>
              <w:lang w:val="en-US"/>
            </w:rPr>
            <w:t xml:space="preserve">National Institute of Standards and Technology. (2001). </w:t>
          </w:r>
          <w:r w:rsidRPr="186B9700" w:rsidR="5ABEFD24">
            <w:rPr>
              <w:rFonts w:ascii="Calibri" w:hAnsi="Calibri" w:eastAsia="Calibri" w:cs="Calibri"/>
              <w:b w:val="0"/>
              <w:bCs w:val="0"/>
              <w:i w:val="1"/>
              <w:iCs w:val="1"/>
              <w:noProof w:val="0"/>
              <w:sz w:val="22"/>
              <w:szCs w:val="22"/>
              <w:lang w:val="en-US"/>
            </w:rPr>
            <w:t>Advanced</w:t>
          </w:r>
        </w:sdtContent>
      </w:sdt>
      <w:r w:rsidRPr="186B9700" w:rsidR="5ABEFD24">
        <w:rPr>
          <w:rFonts w:ascii="Calibri" w:hAnsi="Calibri" w:eastAsia="Calibri" w:cs="Calibri"/>
          <w:i w:val="1"/>
          <w:iCs w:val="1"/>
          <w:noProof w:val="0"/>
          <w:sz w:val="22"/>
          <w:szCs w:val="22"/>
          <w:lang w:val="en-US"/>
        </w:rPr>
        <w:t xml:space="preserve"> </w:t>
      </w:r>
      <w:sdt>
        <w:sdtPr>
          <w:id w:val="633671224"/>
          <w15:appearance w15:val="hidden"/>
          <w:tag w:val="tii-similarity-U1VCTUlUVEVEX1dPUktfb2lkOjE6Mjk1ODI4NzE5MQ=="/>
          <w:placeholder>
            <w:docPart w:val="DefaultPlaceholder_-1854013440"/>
          </w:placeholder>
        </w:sdtPr>
        <w:sdtContent>
          <w:r w:rsidRPr="186B9700" w:rsidR="5ABEFD24">
            <w:rPr>
              <w:rFonts w:ascii="Calibri" w:hAnsi="Calibri" w:eastAsia="Calibri" w:cs="Calibri"/>
              <w:b w:val="0"/>
              <w:bCs w:val="0"/>
              <w:i w:val="1"/>
              <w:iCs w:val="1"/>
              <w:noProof w:val="0"/>
              <w:sz w:val="22"/>
              <w:szCs w:val="22"/>
              <w:lang w:val="en-US"/>
            </w:rPr>
            <w:t>encryption standard (AES), FIPS PUB</w:t>
          </w:r>
        </w:sdtContent>
      </w:sdt>
      <w:r w:rsidRPr="186B9700" w:rsidR="5ABEFD24">
        <w:rPr>
          <w:rFonts w:ascii="Calibri" w:hAnsi="Calibri" w:eastAsia="Calibri" w:cs="Calibri"/>
          <w:i w:val="1"/>
          <w:iCs w:val="1"/>
          <w:noProof w:val="0"/>
          <w:sz w:val="22"/>
          <w:szCs w:val="22"/>
          <w:lang w:val="en-US"/>
        </w:rPr>
        <w:t xml:space="preserve"> </w:t>
      </w:r>
      <w:r>
        <w:tab/>
      </w:r>
      <w:sdt>
        <w:sdtPr>
          <w:id w:val="638805080"/>
          <w15:appearance w15:val="hidden"/>
          <w:tag w:val="tii-similarity-U1VCTUlUVEVEX1dPUktfb2lkOjE6Mjk1ODI4NzE5MQ=="/>
          <w:placeholder>
            <w:docPart w:val="DefaultPlaceholder_-1854013440"/>
          </w:placeholder>
        </w:sdtPr>
        <w:sdtContent>
          <w:r w:rsidRPr="186B9700" w:rsidR="5ABEFD24">
            <w:rPr>
              <w:rFonts w:ascii="Calibri" w:hAnsi="Calibri" w:eastAsia="Calibri" w:cs="Calibri"/>
              <w:b w:val="0"/>
              <w:bCs w:val="0"/>
              <w:i w:val="1"/>
              <w:iCs w:val="1"/>
              <w:noProof w:val="0"/>
              <w:sz w:val="22"/>
              <w:szCs w:val="22"/>
              <w:lang w:val="en-US"/>
            </w:rPr>
            <w:t>197</w:t>
          </w:r>
          <w:r w:rsidRPr="186B9700" w:rsidR="5ABEFD24">
            <w:rPr>
              <w:rFonts w:ascii="Calibri" w:hAnsi="Calibri" w:eastAsia="Calibri" w:cs="Calibri"/>
              <w:b w:val="0"/>
              <w:bCs w:val="0"/>
              <w:noProof w:val="0"/>
              <w:sz w:val="22"/>
              <w:szCs w:val="22"/>
              <w:lang w:val="en-US"/>
            </w:rPr>
            <w:t>. Retrieved from</w:t>
          </w:r>
        </w:sdtContent>
      </w:sdt>
      <w:r w:rsidRPr="186B9700" w:rsidR="5ABEFD24">
        <w:rPr>
          <w:rFonts w:ascii="Calibri" w:hAnsi="Calibri" w:eastAsia="Calibri" w:cs="Calibri"/>
          <w:noProof w:val="0"/>
          <w:sz w:val="22"/>
          <w:szCs w:val="22"/>
          <w:lang w:val="en-US"/>
        </w:rPr>
        <w:t xml:space="preserve"> </w:t>
      </w:r>
      <w:sdt>
        <w:sdtPr>
          <w:id w:val="1632752837"/>
          <w15:appearance w15:val="hidden"/>
          <w:tag w:val="tii-similarity-U1VCTUlUVEVEX1dPUktfb2lkOjE6Mjk1ODI4NzE5MQ=="/>
          <w:placeholder>
            <w:docPart w:val="DefaultPlaceholder_-1854013440"/>
          </w:placeholder>
        </w:sdtPr>
        <w:sdtContent>
          <w:hyperlink r:id="Ra12d948900464cd9">
            <w:r w:rsidRPr="186B9700" w:rsidR="5ABEFD24">
              <w:rPr>
                <w:rStyle w:val="Hyperlink"/>
                <w:rFonts w:ascii="Calibri" w:hAnsi="Calibri" w:eastAsia="Calibri" w:cs="Calibri"/>
                <w:b w:val="0"/>
                <w:bCs w:val="0"/>
                <w:noProof w:val="0"/>
                <w:sz w:val="22"/>
                <w:szCs w:val="22"/>
                <w:lang w:val="en-US"/>
              </w:rPr>
              <w:t>https://nvlpubs.nist.gov/nistpubs/FIPS/NIST.FIPS.197</w:t>
            </w:r>
          </w:hyperlink>
        </w:sdtContent>
      </w:sdt>
      <w:r w:rsidRPr="186B9700" w:rsidR="5ABEFD24">
        <w:rPr>
          <w:rStyle w:val="Hyperlink"/>
          <w:rFonts w:ascii="Calibri" w:hAnsi="Calibri" w:eastAsia="Calibri" w:cs="Calibri"/>
          <w:noProof w:val="0"/>
          <w:sz w:val="22"/>
          <w:szCs w:val="22"/>
          <w:lang w:val="en-US"/>
        </w:rPr>
        <w:t>-upd1.</w:t>
      </w:r>
      <w:sdt>
        <w:sdtPr>
          <w:id w:val="1237787919"/>
          <w15:appearance w15:val="hidden"/>
          <w:tag w:val="tii-similarity-U1VCTUlUVEVEX1dPUktfb2lkOjE6Mjk1ODI4NzE5MQ=="/>
          <w:placeholder>
            <w:docPart w:val="DefaultPlaceholder_-1854013440"/>
          </w:placeholder>
        </w:sdtPr>
        <w:sdtContent>
          <w:r w:rsidRPr="186B9700" w:rsidR="5ABEFD24">
            <w:rPr>
              <w:rStyle w:val="Hyperlink"/>
              <w:rFonts w:ascii="Calibri" w:hAnsi="Calibri" w:eastAsia="Calibri" w:cs="Calibri"/>
              <w:b w:val="0"/>
              <w:bCs w:val="0"/>
              <w:noProof w:val="0"/>
              <w:sz w:val="22"/>
              <w:szCs w:val="22"/>
              <w:lang w:val="en-US"/>
            </w:rPr>
            <w:t>pdf</w:t>
          </w:r>
        </w:sdtContent>
      </w:sdt>
    </w:p>
    <w:p w:rsidR="131D80CA" w:rsidP="186B9700" w:rsidRDefault="131D80CA" w14:paraId="1DD4F3B3" w14:textId="720C1737">
      <w:pPr>
        <w:spacing w:before="240" w:beforeAutospacing="off" w:after="240" w:afterAutospacing="off"/>
      </w:pPr>
      <w:r w:rsidRPr="186B9700" w:rsidR="131D80CA">
        <w:rPr>
          <w:rFonts w:ascii="Calibri" w:hAnsi="Calibri" w:eastAsia="Calibri" w:cs="Calibri"/>
          <w:noProof w:val="0"/>
          <w:sz w:val="22"/>
          <w:szCs w:val="22"/>
          <w:lang w:val="en-US"/>
        </w:rPr>
        <w:t xml:space="preserve">Open Web Application Security Project. (2023). </w:t>
      </w:r>
      <w:sdt>
        <w:sdtPr>
          <w:id w:val="123835380"/>
          <w15:appearance w15:val="hidden"/>
          <w:tag w:val="tii-similarity-U1VCTUlUVEVEX1dPUktfb2lkOjE6MzE1Njg1MjMzNg=="/>
          <w:placeholder>
            <w:docPart w:val="DefaultPlaceholder_-1854013440"/>
          </w:placeholder>
        </w:sdtPr>
        <w:sdtContent>
          <w:r w:rsidRPr="186B9700" w:rsidR="131D80CA">
            <w:rPr>
              <w:rFonts w:ascii="Calibri" w:hAnsi="Calibri" w:eastAsia="Calibri" w:cs="Calibri"/>
              <w:i w:val="1"/>
              <w:iCs w:val="1"/>
              <w:noProof w:val="0"/>
              <w:sz w:val="22"/>
              <w:szCs w:val="22"/>
              <w:lang w:val="en-US"/>
            </w:rPr>
            <w:t>OWASP top ten web</w:t>
          </w:r>
        </w:sdtContent>
      </w:sdt>
      <w:r w:rsidRPr="186B9700" w:rsidR="131D80CA">
        <w:rPr>
          <w:rFonts w:ascii="Calibri" w:hAnsi="Calibri" w:eastAsia="Calibri" w:cs="Calibri"/>
          <w:i w:val="1"/>
          <w:iCs w:val="1"/>
          <w:noProof w:val="0"/>
          <w:sz w:val="22"/>
          <w:szCs w:val="22"/>
          <w:lang w:val="en-US"/>
        </w:rPr>
        <w:t xml:space="preserve"> application security risks</w:t>
      </w:r>
      <w:r w:rsidRPr="186B9700" w:rsidR="131D80CA">
        <w:rPr>
          <w:rFonts w:ascii="Calibri" w:hAnsi="Calibri" w:eastAsia="Calibri" w:cs="Calibri"/>
          <w:noProof w:val="0"/>
          <w:sz w:val="22"/>
          <w:szCs w:val="22"/>
          <w:lang w:val="en-US"/>
        </w:rPr>
        <w:t xml:space="preserve">. Retrieved </w:t>
      </w:r>
      <w:r>
        <w:tab/>
      </w:r>
      <w:r w:rsidRPr="186B9700" w:rsidR="131D80CA">
        <w:rPr>
          <w:rFonts w:ascii="Calibri" w:hAnsi="Calibri" w:eastAsia="Calibri" w:cs="Calibri"/>
          <w:noProof w:val="0"/>
          <w:sz w:val="22"/>
          <w:szCs w:val="22"/>
          <w:lang w:val="en-US"/>
        </w:rPr>
        <w:t xml:space="preserve">from </w:t>
      </w:r>
      <w:hyperlink r:id="R4a49e3915f9d4082">
        <w:r w:rsidRPr="186B9700" w:rsidR="131D80CA">
          <w:rPr>
            <w:rStyle w:val="Hyperlink"/>
            <w:rFonts w:ascii="Calibri" w:hAnsi="Calibri" w:eastAsia="Calibri" w:cs="Calibri"/>
            <w:noProof w:val="0"/>
            <w:sz w:val="22"/>
            <w:szCs w:val="22"/>
            <w:lang w:val="en-US"/>
          </w:rPr>
          <w:t>https://owasp.org/Top10/</w:t>
        </w:r>
      </w:hyperlink>
    </w:p>
    <w:p w:rsidR="186B9700" w:rsidP="186B9700" w:rsidRDefault="186B9700" w14:paraId="6524386E" w14:textId="7E638F1D">
      <w:pPr>
        <w:spacing w:before="240" w:beforeAutospacing="off" w:after="240" w:afterAutospacing="off"/>
        <w:rPr>
          <w:rFonts w:ascii="Calibri" w:hAnsi="Calibri" w:eastAsia="Calibri" w:cs="Calibri"/>
          <w:noProof w:val="0"/>
          <w:sz w:val="22"/>
          <w:szCs w:val="22"/>
          <w:lang w:val="en-US"/>
        </w:rPr>
      </w:pPr>
    </w:p>
    <w:p w:rsidR="303D471C" w:rsidP="303D471C" w:rsidRDefault="303D471C" w14:paraId="5523CAF2" w14:textId="1DF94DF6">
      <w:pPr>
        <w:spacing w:after="0" w:line="240" w:lineRule="auto"/>
        <w:contextualSpacing/>
        <w:rPr>
          <w:rFonts w:cs="Calibri" w:cstheme="minorAscii"/>
          <w:color w:val="000000" w:themeColor="text1" w:themeTint="FF" w:themeShade="FF"/>
        </w:rPr>
      </w:pPr>
    </w:p>
    <w:sectPr w:rsidRPr="000B05B1" w:rsidR="322AA2CB" w:rsidSect="00F20525">
      <w:headerReference w:type="default" r:id="rId12"/>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525" w:rsidP="002F3F84" w:rsidRDefault="00F20525" w14:paraId="29EC629A" w14:textId="77777777">
      <w:r>
        <w:separator/>
      </w:r>
    </w:p>
  </w:endnote>
  <w:endnote w:type="continuationSeparator" w:id="0">
    <w:p w:rsidR="00F20525" w:rsidP="002F3F84" w:rsidRDefault="00F20525" w14:paraId="5972DA87" w14:textId="77777777">
      <w:r>
        <w:continuationSeparator/>
      </w:r>
    </w:p>
  </w:endnote>
  <w:endnote w:type="continuationNotice" w:id="1">
    <w:p w:rsidR="00F20525" w:rsidRDefault="00F20525" w14:paraId="0B6C9C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40FEF54B" w14:textId="6AFD4363">
    <w:pPr>
      <w:pStyle w:val="Footer"/>
      <w:framePr w:wrap="none" w:hAnchor="margin" w:vAnchor="text" w:xAlign="center" w:y="1"/>
      <w:rPr>
        <w:rStyle w:val="PageNumber"/>
      </w:rPr>
    </w:pPr>
    <w:r w:rsidRPr="186B9700">
      <w:rPr>
        <w:rStyle w:val="PageNumber"/>
        <w:noProof/>
      </w:rPr>
      <w:fldChar w:fldCharType="begin"/>
    </w:r>
    <w:r w:rsidRPr="186B9700">
      <w:rPr>
        <w:rStyle w:val="PageNumber"/>
      </w:rPr>
      <w:instrText xml:space="preserve"> PAGE </w:instrText>
    </w:r>
    <w:r w:rsidRPr="186B9700">
      <w:rPr>
        <w:rStyle w:val="PageNumber"/>
      </w:rPr>
      <w:fldChar w:fldCharType="separate"/>
    </w:r>
    <w:r w:rsidRPr="186B9700" w:rsidR="186B9700">
      <w:rPr>
        <w:rStyle w:val="PageNumber"/>
        <w:noProof/>
      </w:rPr>
      <w:t>1</w:t>
    </w:r>
    <w:r w:rsidRPr="186B9700">
      <w:rPr>
        <w:rStyle w:val="PageNumber"/>
        <w:noProof/>
      </w:rPr>
      <w:fldChar w:fldCharType="end"/>
    </w:r>
  </w:p>
  <w:p w:rsidR="002F3F84" w:rsidP="002B4C2F"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525" w:rsidP="002F3F84" w:rsidRDefault="00F20525" w14:paraId="1DD15878" w14:textId="77777777">
      <w:r>
        <w:separator/>
      </w:r>
    </w:p>
  </w:footnote>
  <w:footnote w:type="continuationSeparator" w:id="0">
    <w:p w:rsidR="00F20525" w:rsidP="002F3F84" w:rsidRDefault="00F20525" w14:paraId="27451882" w14:textId="77777777">
      <w:r>
        <w:continuationSeparator/>
      </w:r>
    </w:p>
  </w:footnote>
  <w:footnote w:type="continuationNotice" w:id="1">
    <w:p w:rsidR="00F20525" w:rsidRDefault="00F20525" w14:paraId="7FCC2B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1C989808" w:rsidP="1C989808" w:rsidRDefault="00801F57" w14:paraId="1B32D09D" w14:textId="46C45310">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hint="default" w:ascii="Symbol" w:hAnsi="Symbol"/>
      </w:rPr>
    </w:lvl>
    <w:lvl w:ilvl="1" w:tplc="285830B6">
      <w:start w:val="1"/>
      <w:numFmt w:val="bullet"/>
      <w:lvlText w:val=""/>
      <w:lvlJc w:val="left"/>
      <w:pPr>
        <w:ind w:left="1440" w:hanging="360"/>
      </w:pPr>
      <w:rPr>
        <w:rFonts w:hint="default" w:ascii="Symbol" w:hAnsi="Symbol"/>
      </w:rPr>
    </w:lvl>
    <w:lvl w:ilvl="2" w:tplc="2D22BD82">
      <w:start w:val="1"/>
      <w:numFmt w:val="bullet"/>
      <w:lvlText w:val=""/>
      <w:lvlJc w:val="left"/>
      <w:pPr>
        <w:ind w:left="2160" w:hanging="360"/>
      </w:pPr>
      <w:rPr>
        <w:rFonts w:hint="default" w:ascii="Wingdings" w:hAnsi="Wingdings"/>
      </w:rPr>
    </w:lvl>
    <w:lvl w:ilvl="3" w:tplc="995AAE3A">
      <w:start w:val="1"/>
      <w:numFmt w:val="bullet"/>
      <w:lvlText w:val=""/>
      <w:lvlJc w:val="left"/>
      <w:pPr>
        <w:ind w:left="2880" w:hanging="360"/>
      </w:pPr>
      <w:rPr>
        <w:rFonts w:hint="default" w:ascii="Symbol" w:hAnsi="Symbol"/>
      </w:rPr>
    </w:lvl>
    <w:lvl w:ilvl="4" w:tplc="8CBED442">
      <w:start w:val="1"/>
      <w:numFmt w:val="bullet"/>
      <w:lvlText w:val="o"/>
      <w:lvlJc w:val="left"/>
      <w:pPr>
        <w:ind w:left="3600" w:hanging="360"/>
      </w:pPr>
      <w:rPr>
        <w:rFonts w:hint="default" w:ascii="Courier New" w:hAnsi="Courier New"/>
      </w:rPr>
    </w:lvl>
    <w:lvl w:ilvl="5" w:tplc="9356D17E">
      <w:start w:val="1"/>
      <w:numFmt w:val="bullet"/>
      <w:lvlText w:val=""/>
      <w:lvlJc w:val="left"/>
      <w:pPr>
        <w:ind w:left="4320" w:hanging="360"/>
      </w:pPr>
      <w:rPr>
        <w:rFonts w:hint="default" w:ascii="Wingdings" w:hAnsi="Wingdings"/>
      </w:rPr>
    </w:lvl>
    <w:lvl w:ilvl="6" w:tplc="7D98A834">
      <w:start w:val="1"/>
      <w:numFmt w:val="bullet"/>
      <w:lvlText w:val=""/>
      <w:lvlJc w:val="left"/>
      <w:pPr>
        <w:ind w:left="5040" w:hanging="360"/>
      </w:pPr>
      <w:rPr>
        <w:rFonts w:hint="default" w:ascii="Symbol" w:hAnsi="Symbol"/>
      </w:rPr>
    </w:lvl>
    <w:lvl w:ilvl="7" w:tplc="59A0DA06">
      <w:start w:val="1"/>
      <w:numFmt w:val="bullet"/>
      <w:lvlText w:val="o"/>
      <w:lvlJc w:val="left"/>
      <w:pPr>
        <w:ind w:left="5760" w:hanging="360"/>
      </w:pPr>
      <w:rPr>
        <w:rFonts w:hint="default" w:ascii="Courier New" w:hAnsi="Courier New"/>
      </w:rPr>
    </w:lvl>
    <w:lvl w:ilvl="8" w:tplc="BE184960">
      <w:start w:val="1"/>
      <w:numFmt w:val="bullet"/>
      <w:lvlText w:val=""/>
      <w:lvlJc w:val="left"/>
      <w:pPr>
        <w:ind w:left="6480" w:hanging="360"/>
      </w:pPr>
      <w:rPr>
        <w:rFonts w:hint="default" w:ascii="Wingdings" w:hAnsi="Wingdings"/>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84B30"/>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A79B"/>
    <w:rsid w:val="0195D672"/>
    <w:rsid w:val="04952F50"/>
    <w:rsid w:val="062A43EE"/>
    <w:rsid w:val="06E422F3"/>
    <w:rsid w:val="089FFEE4"/>
    <w:rsid w:val="0983E65B"/>
    <w:rsid w:val="0A4D09AC"/>
    <w:rsid w:val="0A7300DA"/>
    <w:rsid w:val="0AA73686"/>
    <w:rsid w:val="0B1BB49F"/>
    <w:rsid w:val="0B293BFE"/>
    <w:rsid w:val="0C4393C7"/>
    <w:rsid w:val="0C4A67ED"/>
    <w:rsid w:val="0CB3C9FB"/>
    <w:rsid w:val="0D41FE62"/>
    <w:rsid w:val="0D5A47AA"/>
    <w:rsid w:val="0DDF6428"/>
    <w:rsid w:val="0EF3D10F"/>
    <w:rsid w:val="0F07FD30"/>
    <w:rsid w:val="0F3E546A"/>
    <w:rsid w:val="0F7B3489"/>
    <w:rsid w:val="0F8B357B"/>
    <w:rsid w:val="0FF327DF"/>
    <w:rsid w:val="0FFCD95C"/>
    <w:rsid w:val="10423CFC"/>
    <w:rsid w:val="109F20B6"/>
    <w:rsid w:val="10B45F15"/>
    <w:rsid w:val="10BC4B30"/>
    <w:rsid w:val="112627AA"/>
    <w:rsid w:val="11987D82"/>
    <w:rsid w:val="12183239"/>
    <w:rsid w:val="13092FAB"/>
    <w:rsid w:val="131D80CA"/>
    <w:rsid w:val="139BE685"/>
    <w:rsid w:val="14571AB2"/>
    <w:rsid w:val="14871BC7"/>
    <w:rsid w:val="15297F16"/>
    <w:rsid w:val="1565598F"/>
    <w:rsid w:val="15C5A913"/>
    <w:rsid w:val="15DB3374"/>
    <w:rsid w:val="186B9700"/>
    <w:rsid w:val="19C8F155"/>
    <w:rsid w:val="19D43BAC"/>
    <w:rsid w:val="1A6D4B70"/>
    <w:rsid w:val="1C989808"/>
    <w:rsid w:val="1CC2D389"/>
    <w:rsid w:val="1D2E8CDC"/>
    <w:rsid w:val="1D79D498"/>
    <w:rsid w:val="1ED3D48B"/>
    <w:rsid w:val="1EDF6521"/>
    <w:rsid w:val="1F56BAB6"/>
    <w:rsid w:val="1FFE2E4D"/>
    <w:rsid w:val="209D5CF7"/>
    <w:rsid w:val="21FDDD1B"/>
    <w:rsid w:val="223C8784"/>
    <w:rsid w:val="232FB194"/>
    <w:rsid w:val="2462D138"/>
    <w:rsid w:val="24848B84"/>
    <w:rsid w:val="24D36FEB"/>
    <w:rsid w:val="2511E18D"/>
    <w:rsid w:val="25B8FC17"/>
    <w:rsid w:val="25EED220"/>
    <w:rsid w:val="26675256"/>
    <w:rsid w:val="266F404C"/>
    <w:rsid w:val="26F45CCA"/>
    <w:rsid w:val="28F5E669"/>
    <w:rsid w:val="2946477E"/>
    <w:rsid w:val="2A12D52F"/>
    <w:rsid w:val="2AC251B7"/>
    <w:rsid w:val="2BAEA590"/>
    <w:rsid w:val="2D2A29C2"/>
    <w:rsid w:val="2F64CC78"/>
    <w:rsid w:val="2F66A6C0"/>
    <w:rsid w:val="30312ECB"/>
    <w:rsid w:val="303D471C"/>
    <w:rsid w:val="3071CD31"/>
    <w:rsid w:val="312CB929"/>
    <w:rsid w:val="31325C13"/>
    <w:rsid w:val="322875A9"/>
    <w:rsid w:val="322AA2CB"/>
    <w:rsid w:val="33B585C1"/>
    <w:rsid w:val="33BA8C56"/>
    <w:rsid w:val="33BC5612"/>
    <w:rsid w:val="33E13438"/>
    <w:rsid w:val="34E3D0CE"/>
    <w:rsid w:val="352E0E26"/>
    <w:rsid w:val="3535493A"/>
    <w:rsid w:val="357123B3"/>
    <w:rsid w:val="35C42E4B"/>
    <w:rsid w:val="36011317"/>
    <w:rsid w:val="3756913F"/>
    <w:rsid w:val="377583DF"/>
    <w:rsid w:val="38024BFC"/>
    <w:rsid w:val="38194386"/>
    <w:rsid w:val="3844EF5D"/>
    <w:rsid w:val="3A52139B"/>
    <w:rsid w:val="3AE236D4"/>
    <w:rsid w:val="3BFBCFC5"/>
    <w:rsid w:val="3D8BDAA4"/>
    <w:rsid w:val="415FAE2D"/>
    <w:rsid w:val="42D9FED4"/>
    <w:rsid w:val="43B3FB0A"/>
    <w:rsid w:val="43D7C8C5"/>
    <w:rsid w:val="44BEA195"/>
    <w:rsid w:val="45934E53"/>
    <w:rsid w:val="459E84D5"/>
    <w:rsid w:val="45DBE961"/>
    <w:rsid w:val="45F5A391"/>
    <w:rsid w:val="46EAAD2A"/>
    <w:rsid w:val="4827B4B6"/>
    <w:rsid w:val="48798099"/>
    <w:rsid w:val="487B1FD0"/>
    <w:rsid w:val="492CDCD4"/>
    <w:rsid w:val="49681798"/>
    <w:rsid w:val="496B3798"/>
    <w:rsid w:val="49822283"/>
    <w:rsid w:val="4A470A49"/>
    <w:rsid w:val="4A5CD9EC"/>
    <w:rsid w:val="4B57DAA5"/>
    <w:rsid w:val="4C31597A"/>
    <w:rsid w:val="4C4BF6A2"/>
    <w:rsid w:val="5004A89E"/>
    <w:rsid w:val="50110531"/>
    <w:rsid w:val="50881FD8"/>
    <w:rsid w:val="513DF5BD"/>
    <w:rsid w:val="531DB269"/>
    <w:rsid w:val="546658F9"/>
    <w:rsid w:val="5549FFBD"/>
    <w:rsid w:val="55680A1C"/>
    <w:rsid w:val="55F0756F"/>
    <w:rsid w:val="55F14028"/>
    <w:rsid w:val="56ED763B"/>
    <w:rsid w:val="582B065D"/>
    <w:rsid w:val="596C6777"/>
    <w:rsid w:val="59C14C41"/>
    <w:rsid w:val="5ABEFD24"/>
    <w:rsid w:val="5B285498"/>
    <w:rsid w:val="5B37C8A9"/>
    <w:rsid w:val="5B96DAA8"/>
    <w:rsid w:val="5BDEDA9A"/>
    <w:rsid w:val="5C70C419"/>
    <w:rsid w:val="5D37B0DD"/>
    <w:rsid w:val="5EC8E002"/>
    <w:rsid w:val="5F9757B5"/>
    <w:rsid w:val="602D65CE"/>
    <w:rsid w:val="6087D31B"/>
    <w:rsid w:val="609CBD7A"/>
    <w:rsid w:val="624B737F"/>
    <w:rsid w:val="64B81619"/>
    <w:rsid w:val="6581D727"/>
    <w:rsid w:val="66915BC8"/>
    <w:rsid w:val="673C2641"/>
    <w:rsid w:val="675FEB7C"/>
    <w:rsid w:val="6816B50C"/>
    <w:rsid w:val="685ED542"/>
    <w:rsid w:val="695D175F"/>
    <w:rsid w:val="69699E21"/>
    <w:rsid w:val="69E9FDE7"/>
    <w:rsid w:val="6ACC223A"/>
    <w:rsid w:val="6BB4A4F2"/>
    <w:rsid w:val="6C517D68"/>
    <w:rsid w:val="6DF46A76"/>
    <w:rsid w:val="6E73C57E"/>
    <w:rsid w:val="6F03376F"/>
    <w:rsid w:val="6F056E11"/>
    <w:rsid w:val="6F3330D6"/>
    <w:rsid w:val="700F95DF"/>
    <w:rsid w:val="701053E2"/>
    <w:rsid w:val="7076DBAE"/>
    <w:rsid w:val="70919B57"/>
    <w:rsid w:val="70A6CD78"/>
    <w:rsid w:val="71E8A27A"/>
    <w:rsid w:val="71EB76C2"/>
    <w:rsid w:val="7223E676"/>
    <w:rsid w:val="72C60634"/>
    <w:rsid w:val="7413DA77"/>
    <w:rsid w:val="747ACFE1"/>
    <w:rsid w:val="760EE13E"/>
    <w:rsid w:val="7657E9EC"/>
    <w:rsid w:val="7701A898"/>
    <w:rsid w:val="776B39B0"/>
    <w:rsid w:val="776C0E91"/>
    <w:rsid w:val="784D86F2"/>
    <w:rsid w:val="7881C1ED"/>
    <w:rsid w:val="79339D6A"/>
    <w:rsid w:val="7B567E43"/>
    <w:rsid w:val="7B88C868"/>
    <w:rsid w:val="7BA27AEA"/>
    <w:rsid w:val="7BBE66D5"/>
    <w:rsid w:val="7BD519BB"/>
    <w:rsid w:val="7D5D4C3C"/>
    <w:rsid w:val="7E4CD8D6"/>
    <w:rsid w:val="7FFCE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 w:type="character" w:styleId="PlaceholderText">
    <w:uiPriority w:val="99"/>
    <w:name w:val="Placeholder Text"/>
    <w:basedOn w:val="DefaultParagraphFont"/>
    <w:semiHidden/>
    <w:rsid w:val="186B9700"/>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9/05/relationships/documenttasks" Target="documenttasks/documenttasks1.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commission.europa.eu/law/law-topic/data-protection_en" TargetMode="External" Id="Rd6c18706a5b64b43" /><Relationship Type="http://schemas.openxmlformats.org/officeDocument/2006/relationships/hyperlink" Target="https://nvlpubs.nist.gov/nistpubs/FIPS/NIST.FIPS.197-upd1.pdf?utm_source=chatgpt.com" TargetMode="External" Id="Ra12d948900464cd9" /><Relationship Type="http://schemas.openxmlformats.org/officeDocument/2006/relationships/hyperlink" Target="https://owasp.org/Top10/" TargetMode="External" Id="R4a49e3915f9d4082" /><Relationship Type="http://schemas.openxmlformats.org/officeDocument/2006/relationships/glossaryDocument" Target="glossary/document.xml" Id="R8b672e6bc3ec4c9f"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163BD969-CB1B-43AF-8708-D042BF2BA933}"/>
      </w:docPartPr>
      <w:docPartBody>
        <w:p w:rsidR="186B9700" w:rsidRDefault="186B9700" w14:paraId="6C5DE045" w14:textId="6A439CFE">
          <w:r w:rsidRPr="186B9700" w:rsidR="186B9700">
            <w:rPr>
              <w:rStyle w:val="PlaceholderText"/>
            </w:rPr>
            <w:t>Click or tap here to enter text.</w:t>
          </w:r>
        </w:p>
      </w:docPartBody>
    </w:docPart>
  </w:docParts>
</w:glossaryDocument>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Fisher, Jasmyne</lastModifiedBy>
  <revision>6</revision>
  <dcterms:created xsi:type="dcterms:W3CDTF">2024-02-07T05:59:00.0000000Z</dcterms:created>
  <dcterms:modified xsi:type="dcterms:W3CDTF">2025-09-29T01:42:30.7622344Z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xmlns="http://schemas.openxmlformats.org/officeDocument/2006/custom-properties" fmtid="{D5CDD505-2E9C-101B-9397-08002B2CF9AE}" pid="13" name="TII_WORD_DOCUMENT_FILENAME">
    <vt:lpwstr xmlns:vt="http://schemas.openxmlformats.org/officeDocument/2006/docPropsVTypes">Fisher- CS 305 Project One Template.docx</vt:lpwstr>
  </property>
  <property xmlns="http://schemas.openxmlformats.org/officeDocument/2006/custom-properties" fmtid="{D5CDD505-2E9C-101B-9397-08002B2CF9AE}" pid="14" name="TII_WORD_DOCUMENT_ID">
    <vt:lpwstr xmlns:vt="http://schemas.openxmlformats.org/officeDocument/2006/docPropsVTypes">1099c647-7228-4986-b13e-6e20f401ccc1</vt:lpwstr>
  </property>
  <property xmlns="http://schemas.openxmlformats.org/officeDocument/2006/custom-properties" fmtid="{D5CDD505-2E9C-101B-9397-08002B2CF9AE}" pid="15" name="TII_WORD_DOCUMENT_HASH">
    <vt:lpwstr xmlns:vt="http://schemas.openxmlformats.org/officeDocument/2006/docPropsVTypes">441e48dd891f97cba16e2c853a5db67a62f2af748a12e357e54ce5ac07b33ea4</vt:lpwstr>
  </property>
</Properties>
</file>