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83548" w14:textId="77777777" w:rsidR="00944419" w:rsidRPr="000A7811" w:rsidRDefault="00944419" w:rsidP="0011004E">
      <w:pPr>
        <w:spacing w:after="0" w:line="480" w:lineRule="auto"/>
        <w:jc w:val="center"/>
        <w:rPr>
          <w:rFonts w:ascii="Bookman Old Style" w:hAnsi="Bookman Old Style"/>
          <w:sz w:val="22"/>
          <w:szCs w:val="22"/>
        </w:rPr>
      </w:pPr>
    </w:p>
    <w:p w14:paraId="16111987" w14:textId="781C7743" w:rsidR="003F6B54" w:rsidRPr="000A7811" w:rsidRDefault="00944419" w:rsidP="0011004E">
      <w:pPr>
        <w:spacing w:after="0" w:line="480" w:lineRule="auto"/>
        <w:jc w:val="center"/>
        <w:rPr>
          <w:rFonts w:ascii="Bookman Old Style" w:hAnsi="Bookman Old Style"/>
          <w:sz w:val="22"/>
          <w:szCs w:val="22"/>
        </w:rPr>
      </w:pPr>
      <w:r w:rsidRPr="000A7811">
        <w:rPr>
          <w:rFonts w:ascii="Bookman Old Style" w:hAnsi="Bookman Old Style"/>
          <w:sz w:val="22"/>
          <w:szCs w:val="22"/>
        </w:rPr>
        <w:t>COUNTERSTATEMENT OF CASE</w:t>
      </w:r>
    </w:p>
    <w:p w14:paraId="6345C38D" w14:textId="77777777" w:rsidR="00944419" w:rsidRPr="000A7811" w:rsidRDefault="00944419" w:rsidP="0011004E">
      <w:pPr>
        <w:spacing w:after="0" w:line="480" w:lineRule="auto"/>
        <w:jc w:val="center"/>
        <w:rPr>
          <w:rFonts w:ascii="Bookman Old Style" w:hAnsi="Bookman Old Style"/>
          <w:sz w:val="22"/>
          <w:szCs w:val="22"/>
        </w:rPr>
      </w:pPr>
    </w:p>
    <w:p w14:paraId="748B5D45" w14:textId="1ADBC240" w:rsidR="00944419" w:rsidRPr="000A7811" w:rsidRDefault="00944419" w:rsidP="0011004E">
      <w:pPr>
        <w:spacing w:after="0" w:line="480" w:lineRule="auto"/>
        <w:rPr>
          <w:rFonts w:ascii="Bookman Old Style" w:hAnsi="Bookman Old Style"/>
          <w:sz w:val="22"/>
          <w:szCs w:val="22"/>
          <w:u w:val="single"/>
        </w:rPr>
      </w:pPr>
      <w:r w:rsidRPr="000A7811">
        <w:rPr>
          <w:rFonts w:ascii="Bookman Old Style" w:hAnsi="Bookman Old Style"/>
          <w:sz w:val="22"/>
          <w:szCs w:val="22"/>
          <w:u w:val="single"/>
        </w:rPr>
        <w:t>PROCEDURAL HISTORY</w:t>
      </w:r>
    </w:p>
    <w:p w14:paraId="55AC521A" w14:textId="77777777" w:rsidR="00944419" w:rsidRPr="000A7811" w:rsidRDefault="00944419" w:rsidP="0011004E">
      <w:pPr>
        <w:spacing w:after="0" w:line="480" w:lineRule="auto"/>
        <w:rPr>
          <w:rFonts w:ascii="Bookman Old Style" w:hAnsi="Bookman Old Style"/>
          <w:sz w:val="22"/>
          <w:szCs w:val="22"/>
          <w:u w:val="single"/>
        </w:rPr>
      </w:pPr>
    </w:p>
    <w:p w14:paraId="17E780FD" w14:textId="254DA94E" w:rsidR="00944419" w:rsidRPr="000A7811" w:rsidRDefault="00944419" w:rsidP="0011004E">
      <w:pPr>
        <w:spacing w:after="0" w:line="480" w:lineRule="auto"/>
        <w:rPr>
          <w:rFonts w:ascii="Bookman Old Style" w:hAnsi="Bookman Old Style"/>
          <w:sz w:val="22"/>
          <w:szCs w:val="22"/>
        </w:rPr>
      </w:pPr>
      <w:r w:rsidRPr="000A7811">
        <w:rPr>
          <w:rFonts w:ascii="Bookman Old Style" w:hAnsi="Bookman Old Style"/>
          <w:sz w:val="22"/>
          <w:szCs w:val="22"/>
        </w:rPr>
        <w:tab/>
        <w:t>On March 1o, 1991, Mortgage One Small Business Credit, hereafter referred to as Mortgage One filed three mortgage foreclose actions against John and Jane Smith, hereafter referred to as the Smiths. The Smiths borrowed money to expand their retail space and eventually defaulted on the loans secured by mortgages held by Mortgage One They now owe in excess of $700,000.</w:t>
      </w:r>
    </w:p>
    <w:p w14:paraId="4D5B0CFA" w14:textId="3ECCEB25" w:rsidR="00944419" w:rsidRPr="000A7811" w:rsidRDefault="00944419" w:rsidP="0011004E">
      <w:pPr>
        <w:spacing w:after="0" w:line="480" w:lineRule="auto"/>
        <w:rPr>
          <w:rFonts w:ascii="Bookman Old Style" w:hAnsi="Bookman Old Style"/>
          <w:sz w:val="22"/>
          <w:szCs w:val="22"/>
        </w:rPr>
      </w:pPr>
      <w:r w:rsidRPr="000A7811">
        <w:rPr>
          <w:rFonts w:ascii="Bookman Old Style" w:hAnsi="Bookman Old Style"/>
          <w:sz w:val="22"/>
          <w:szCs w:val="22"/>
        </w:rPr>
        <w:tab/>
        <w:t>On August 1, 1992, Mortgage One filed amended complaints and, on August 20, 1992, the Smiths filed answers with new matter and counterclaims to the amended complaints. The new matter alleged that Mortgage One violated the Small Business Credit Act, 12 U.S.C. &amp;</w:t>
      </w:r>
      <w:r w:rsidR="004C2CFF" w:rsidRPr="000A7811">
        <w:rPr>
          <w:rFonts w:ascii="Bookman Old Style" w:hAnsi="Bookman Old Style"/>
          <w:sz w:val="22"/>
          <w:szCs w:val="22"/>
        </w:rPr>
        <w:t>201-1 - &amp;201-9.2.</w:t>
      </w:r>
    </w:p>
    <w:p w14:paraId="4B505A5C" w14:textId="310E3599" w:rsidR="000A7811" w:rsidRPr="000A7811" w:rsidRDefault="004C2CFF" w:rsidP="0011004E">
      <w:pPr>
        <w:spacing w:after="0" w:line="480" w:lineRule="auto"/>
        <w:rPr>
          <w:rFonts w:ascii="Bookman Old Style" w:hAnsi="Bookman Old Style"/>
          <w:sz w:val="22"/>
          <w:szCs w:val="22"/>
        </w:rPr>
      </w:pPr>
      <w:r w:rsidRPr="000A7811">
        <w:rPr>
          <w:rFonts w:ascii="Bookman Old Style" w:hAnsi="Bookman Old Style"/>
          <w:sz w:val="22"/>
          <w:szCs w:val="22"/>
        </w:rPr>
        <w:tab/>
        <w:t xml:space="preserve">On September 10, 1992, Mortgage One filed preliminary objections to the new matter and counterclaims. Following extensive briefing and two oral arguments, in an order and option dated October 1, 1993, the trial court sustained Mortgage One’s preliminary objections to the Smiths’ new matter counterclaims and dismissed them with prejudice. On November 20, 1994, the Superior Court affirmed the trial court’s order, dismissing the new matter and counterclaims. </w:t>
      </w:r>
      <w:r w:rsidRPr="000A7811">
        <w:rPr>
          <w:rFonts w:ascii="Bookman Old Style" w:hAnsi="Bookman Old Style"/>
          <w:sz w:val="22"/>
          <w:szCs w:val="22"/>
          <w:u w:val="single"/>
        </w:rPr>
        <w:t xml:space="preserve">Mortgage One Small Business Credit, ACA v. John Smith, et al.. </w:t>
      </w:r>
      <w:r w:rsidRPr="000A7811">
        <w:rPr>
          <w:rFonts w:ascii="Bookman Old Style" w:hAnsi="Bookman Old Style"/>
          <w:sz w:val="22"/>
          <w:szCs w:val="22"/>
        </w:rPr>
        <w:t>On December 1, 1994, the Smiths filed a petition for allowance of appeal to the Supreme Court. On February 28, 1994, the petition for allowance of appeal was denied.</w:t>
      </w:r>
    </w:p>
    <w:p w14:paraId="2B2E7A15" w14:textId="53958784" w:rsidR="004C2CFF" w:rsidRDefault="000A7811" w:rsidP="0011004E">
      <w:pPr>
        <w:spacing w:after="0" w:line="480" w:lineRule="auto"/>
        <w:rPr>
          <w:rFonts w:ascii="Bookman Old Style" w:hAnsi="Bookman Old Style"/>
          <w:sz w:val="22"/>
          <w:szCs w:val="22"/>
        </w:rPr>
      </w:pPr>
      <w:r w:rsidRPr="000A7811">
        <w:rPr>
          <w:rFonts w:ascii="Bookman Old Style" w:hAnsi="Bookman Old Style"/>
          <w:sz w:val="22"/>
          <w:szCs w:val="22"/>
        </w:rPr>
        <w:br w:type="page"/>
      </w:r>
      <w:r>
        <w:rPr>
          <w:rFonts w:ascii="Bookman Old Style" w:hAnsi="Bookman Old Style"/>
          <w:sz w:val="22"/>
          <w:szCs w:val="22"/>
        </w:rPr>
        <w:lastRenderedPageBreak/>
        <w:tab/>
        <w:t>On July 5, 1994, Mortgage One moved for summary judgment because the Smiths had admitted they failed to repay the loans secured by mortgages and because they had no valid defenses remaining. On August 11, 1994, the Smiths’ counsel filed a motion to withdraw because she refused to raise a new defense under the Small Business Credit Act that she believed was frivolous.</w:t>
      </w:r>
    </w:p>
    <w:p w14:paraId="0B0F2428" w14:textId="2E4A549F" w:rsidR="00873533" w:rsidRDefault="000A7811" w:rsidP="0011004E">
      <w:pPr>
        <w:spacing w:after="0" w:line="480" w:lineRule="auto"/>
        <w:rPr>
          <w:rFonts w:ascii="Bookman Old Style" w:hAnsi="Bookman Old Style"/>
          <w:sz w:val="22"/>
          <w:szCs w:val="22"/>
        </w:rPr>
      </w:pPr>
      <w:r>
        <w:rPr>
          <w:rFonts w:ascii="Bookman Old Style" w:hAnsi="Bookman Old Style"/>
          <w:sz w:val="22"/>
          <w:szCs w:val="22"/>
        </w:rPr>
        <w:tab/>
        <w:t xml:space="preserve">The Smiths retained new counsel and, on January 1, 1995, filed a response to Mortgage One’s motion for summary judgment and an opposing affidavit, which raised a new defense under the Small Business Credit Act. On January 25, 1995, Mortgage One filed a reply brief and supplemental affidavits and, on January 30, 1995, the Smiths filed a counter-affidavit. On May 8, 1995, after </w:t>
      </w:r>
      <w:r w:rsidR="006D1EEE">
        <w:rPr>
          <w:rFonts w:ascii="Bookman Old Style" w:hAnsi="Bookman Old Style"/>
          <w:sz w:val="22"/>
          <w:szCs w:val="22"/>
        </w:rPr>
        <w:t>oral argument, the trial court granted summary judgement to Mortgage One. On June 5, 1995, the Smiths filed this appeal, which the superior court has ordered to be placed on an expedited schedule.</w:t>
      </w:r>
    </w:p>
    <w:p w14:paraId="749D1CB1" w14:textId="77777777" w:rsidR="00873533" w:rsidRDefault="00873533" w:rsidP="0011004E">
      <w:pPr>
        <w:spacing w:after="0"/>
        <w:rPr>
          <w:rFonts w:ascii="Bookman Old Style" w:hAnsi="Bookman Old Style"/>
          <w:sz w:val="22"/>
          <w:szCs w:val="22"/>
        </w:rPr>
      </w:pPr>
      <w:r>
        <w:rPr>
          <w:rFonts w:ascii="Bookman Old Style" w:hAnsi="Bookman Old Style"/>
          <w:sz w:val="22"/>
          <w:szCs w:val="22"/>
        </w:rPr>
        <w:br w:type="page"/>
      </w:r>
    </w:p>
    <w:p w14:paraId="2E42F2B1" w14:textId="77777777" w:rsidR="00873533" w:rsidRDefault="00873533" w:rsidP="0011004E">
      <w:pPr>
        <w:spacing w:after="0" w:line="480" w:lineRule="auto"/>
        <w:jc w:val="center"/>
        <w:rPr>
          <w:rFonts w:ascii="Bookman Old Style" w:hAnsi="Bookman Old Style"/>
          <w:sz w:val="22"/>
          <w:szCs w:val="22"/>
        </w:rPr>
      </w:pPr>
    </w:p>
    <w:p w14:paraId="1DFC9733" w14:textId="61089DBA" w:rsidR="00873533" w:rsidRDefault="00873533" w:rsidP="0011004E">
      <w:pPr>
        <w:spacing w:after="0" w:line="480" w:lineRule="auto"/>
        <w:jc w:val="center"/>
        <w:rPr>
          <w:rFonts w:ascii="Bookman Old Style" w:hAnsi="Bookman Old Style"/>
          <w:sz w:val="22"/>
          <w:szCs w:val="22"/>
          <w:u w:val="single"/>
        </w:rPr>
      </w:pPr>
      <w:r w:rsidRPr="00873533">
        <w:rPr>
          <w:rFonts w:ascii="Bookman Old Style" w:hAnsi="Bookman Old Style"/>
          <w:sz w:val="22"/>
          <w:szCs w:val="22"/>
          <w:u w:val="single"/>
        </w:rPr>
        <w:t>ARGUMENT</w:t>
      </w:r>
    </w:p>
    <w:p w14:paraId="38202D3C" w14:textId="77777777" w:rsidR="00873533" w:rsidRDefault="00873533" w:rsidP="0011004E">
      <w:pPr>
        <w:spacing w:after="0" w:line="480" w:lineRule="auto"/>
        <w:jc w:val="center"/>
        <w:rPr>
          <w:rFonts w:ascii="Bookman Old Style" w:hAnsi="Bookman Old Style"/>
          <w:sz w:val="22"/>
          <w:szCs w:val="22"/>
          <w:u w:val="single"/>
        </w:rPr>
      </w:pPr>
    </w:p>
    <w:p w14:paraId="74BAC771" w14:textId="31F8D775" w:rsidR="00873533" w:rsidRPr="00873533" w:rsidRDefault="00873533" w:rsidP="0011004E">
      <w:pPr>
        <w:pStyle w:val="ListParagraph"/>
        <w:numPr>
          <w:ilvl w:val="0"/>
          <w:numId w:val="2"/>
        </w:numPr>
        <w:spacing w:after="0" w:line="240" w:lineRule="auto"/>
        <w:rPr>
          <w:rFonts w:ascii="Bookman Old Style" w:hAnsi="Bookman Old Style"/>
          <w:sz w:val="22"/>
          <w:szCs w:val="22"/>
        </w:rPr>
      </w:pPr>
      <w:r w:rsidRPr="00873533">
        <w:rPr>
          <w:rFonts w:ascii="Bookman Old Style" w:hAnsi="Bookman Old Style"/>
          <w:sz w:val="22"/>
          <w:szCs w:val="22"/>
        </w:rPr>
        <w:t xml:space="preserve">THE SMITHS DEFENSES BOUGHT UNDER THE MALL BUSSINESS CREDIT </w:t>
      </w:r>
      <w:r w:rsidRPr="0011004E">
        <w:rPr>
          <w:rFonts w:ascii="Bookman Old Style" w:hAnsi="Bookman Old Style"/>
          <w:sz w:val="22"/>
          <w:szCs w:val="22"/>
          <w:u w:val="single"/>
        </w:rPr>
        <w:t>ACT ARE LEGALY INVALID</w:t>
      </w:r>
      <w:r w:rsidR="0011004E" w:rsidRPr="0011004E">
        <w:rPr>
          <w:rFonts w:ascii="Bookman Old Style" w:hAnsi="Bookman Old Style"/>
          <w:sz w:val="22"/>
          <w:szCs w:val="22"/>
          <w:u w:val="single"/>
        </w:rPr>
        <w:tab/>
      </w:r>
      <w:r w:rsidR="0011004E" w:rsidRPr="0011004E">
        <w:rPr>
          <w:rFonts w:ascii="Bookman Old Style" w:hAnsi="Bookman Old Style"/>
          <w:sz w:val="22"/>
          <w:szCs w:val="22"/>
          <w:u w:val="single"/>
        </w:rPr>
        <w:tab/>
      </w:r>
      <w:r w:rsidR="0011004E" w:rsidRPr="0011004E">
        <w:rPr>
          <w:rFonts w:ascii="Bookman Old Style" w:hAnsi="Bookman Old Style"/>
          <w:sz w:val="22"/>
          <w:szCs w:val="22"/>
          <w:u w:val="single"/>
        </w:rPr>
        <w:tab/>
      </w:r>
      <w:r w:rsidR="0011004E" w:rsidRPr="0011004E">
        <w:rPr>
          <w:rFonts w:ascii="Bookman Old Style" w:hAnsi="Bookman Old Style"/>
          <w:sz w:val="22"/>
          <w:szCs w:val="22"/>
          <w:u w:val="single"/>
        </w:rPr>
        <w:tab/>
      </w:r>
      <w:r w:rsidR="0011004E" w:rsidRPr="0011004E">
        <w:rPr>
          <w:rFonts w:ascii="Bookman Old Style" w:hAnsi="Bookman Old Style"/>
          <w:sz w:val="22"/>
          <w:szCs w:val="22"/>
          <w:u w:val="single"/>
        </w:rPr>
        <w:tab/>
      </w:r>
      <w:r w:rsidR="0011004E" w:rsidRPr="0011004E">
        <w:rPr>
          <w:rFonts w:ascii="Bookman Old Style" w:hAnsi="Bookman Old Style"/>
          <w:sz w:val="22"/>
          <w:szCs w:val="22"/>
          <w:u w:val="single"/>
        </w:rPr>
        <w:tab/>
      </w:r>
      <w:r w:rsidR="0011004E" w:rsidRPr="0011004E">
        <w:rPr>
          <w:rFonts w:ascii="Bookman Old Style" w:hAnsi="Bookman Old Style"/>
          <w:sz w:val="22"/>
          <w:szCs w:val="22"/>
          <w:u w:val="single"/>
        </w:rPr>
        <w:tab/>
      </w:r>
      <w:r w:rsidR="0011004E" w:rsidRPr="0011004E">
        <w:rPr>
          <w:rFonts w:ascii="Bookman Old Style" w:hAnsi="Bookman Old Style"/>
          <w:sz w:val="22"/>
          <w:szCs w:val="22"/>
          <w:u w:val="single"/>
        </w:rPr>
        <w:tab/>
      </w:r>
    </w:p>
    <w:p w14:paraId="15D12C8A" w14:textId="77777777" w:rsidR="003E12E0" w:rsidRDefault="003E12E0" w:rsidP="0011004E">
      <w:pPr>
        <w:spacing w:after="0" w:line="360" w:lineRule="auto"/>
        <w:ind w:firstLine="360"/>
        <w:rPr>
          <w:rFonts w:ascii="Bookman Old Style" w:hAnsi="Bookman Old Style"/>
          <w:sz w:val="22"/>
          <w:szCs w:val="22"/>
        </w:rPr>
      </w:pPr>
    </w:p>
    <w:p w14:paraId="441475A7" w14:textId="38D6719B" w:rsidR="00873533" w:rsidRDefault="00873533" w:rsidP="0011004E">
      <w:pPr>
        <w:spacing w:after="0" w:line="480" w:lineRule="auto"/>
        <w:ind w:firstLine="360"/>
        <w:rPr>
          <w:rFonts w:ascii="Bookman Old Style" w:hAnsi="Bookman Old Style"/>
          <w:sz w:val="22"/>
          <w:szCs w:val="22"/>
        </w:rPr>
      </w:pPr>
      <w:r>
        <w:rPr>
          <w:rFonts w:ascii="Bookman Old Style" w:hAnsi="Bookman Old Style"/>
          <w:sz w:val="22"/>
          <w:szCs w:val="22"/>
        </w:rPr>
        <w:t>The Smiths argue that they have two defenses under the Small Business Credit Act that prevent Mortgage One from colleting the $700,000 they owe Mortgage One. They argue that these defenses, one raised one after Mortgage One’s motion for summary judgement and the other raised for the first time on appeal, bar Mortgage One’s foreclosure. Both these defenses, however, are invalid.</w:t>
      </w:r>
    </w:p>
    <w:p w14:paraId="751B9900" w14:textId="5D4919BA" w:rsidR="000E15DC" w:rsidRDefault="00873533" w:rsidP="0011004E">
      <w:pPr>
        <w:spacing w:after="0" w:line="480" w:lineRule="auto"/>
        <w:ind w:firstLine="360"/>
        <w:rPr>
          <w:rFonts w:ascii="Bookman Old Style" w:hAnsi="Bookman Old Style"/>
          <w:sz w:val="22"/>
          <w:szCs w:val="22"/>
        </w:rPr>
      </w:pPr>
      <w:r>
        <w:rPr>
          <w:rFonts w:ascii="Bookman Old Style" w:hAnsi="Bookman Old Style"/>
          <w:sz w:val="22"/>
          <w:szCs w:val="22"/>
        </w:rPr>
        <w:t xml:space="preserve">The law is well-settled that no duty exists under the Small Business Credit Act. </w:t>
      </w:r>
      <w:r w:rsidRPr="000E15DC">
        <w:rPr>
          <w:rFonts w:ascii="Bookman Old Style" w:hAnsi="Bookman Old Style"/>
          <w:sz w:val="22"/>
          <w:szCs w:val="22"/>
          <w:u w:val="single"/>
        </w:rPr>
        <w:t xml:space="preserve">Production </w:t>
      </w:r>
      <w:r w:rsidR="000E15DC" w:rsidRPr="000E15DC">
        <w:rPr>
          <w:rFonts w:ascii="Bookman Old Style" w:hAnsi="Bookman Old Style"/>
          <w:sz w:val="22"/>
          <w:szCs w:val="22"/>
          <w:u w:val="single"/>
        </w:rPr>
        <w:t>Credit Ass’n of Worthington v. Van Iperen,</w:t>
      </w:r>
      <w:r w:rsidR="000E15DC">
        <w:rPr>
          <w:rFonts w:ascii="Bookman Old Style" w:hAnsi="Bookman Old Style"/>
          <w:sz w:val="22"/>
          <w:szCs w:val="22"/>
          <w:u w:val="single"/>
        </w:rPr>
        <w:t xml:space="preserve"> </w:t>
      </w:r>
      <w:r w:rsidR="000E15DC">
        <w:rPr>
          <w:rFonts w:ascii="Bookman Old Style" w:hAnsi="Bookman Old Style"/>
          <w:sz w:val="22"/>
          <w:szCs w:val="22"/>
        </w:rPr>
        <w:t xml:space="preserve">396 N.W. 2d 35, 38 (Minn. App 1986); </w:t>
      </w:r>
      <w:r w:rsidR="000E15DC" w:rsidRPr="000E15DC">
        <w:rPr>
          <w:rFonts w:ascii="Bookman Old Style" w:hAnsi="Bookman Old Style"/>
          <w:sz w:val="22"/>
          <w:szCs w:val="22"/>
          <w:u w:val="single"/>
        </w:rPr>
        <w:t>Griffin v. Federal Land Bank of Wichita</w:t>
      </w:r>
      <w:r w:rsidR="000E15DC">
        <w:rPr>
          <w:rFonts w:ascii="Bookman Old Style" w:hAnsi="Bookman Old Style"/>
          <w:sz w:val="22"/>
          <w:szCs w:val="22"/>
          <w:u w:val="single"/>
        </w:rPr>
        <w:t xml:space="preserve">, </w:t>
      </w:r>
      <w:r w:rsidR="000E15DC">
        <w:rPr>
          <w:rFonts w:ascii="Bookman Old Style" w:hAnsi="Bookman Old Style"/>
          <w:sz w:val="22"/>
          <w:szCs w:val="22"/>
        </w:rPr>
        <w:t>902 F.2d 22, 24 (10th Cir. 1990). Moreover, court have held that the Small Business Credit Act and its amendments are guidelines to be followed by a small business credit entity, violation of which subject the small business credit entity to penalties by its regulators, but not an action defense by n.5 (Ct, App. 1991).</w:t>
      </w:r>
    </w:p>
    <w:p w14:paraId="615DAF7C" w14:textId="24685C99" w:rsidR="0011004E" w:rsidRDefault="000E15DC" w:rsidP="0011004E">
      <w:pPr>
        <w:spacing w:after="0" w:line="480" w:lineRule="auto"/>
        <w:ind w:firstLine="360"/>
        <w:rPr>
          <w:rFonts w:ascii="Bookman Old Style" w:hAnsi="Bookman Old Style"/>
          <w:sz w:val="22"/>
          <w:szCs w:val="22"/>
          <w:u w:val="single"/>
        </w:rPr>
      </w:pPr>
      <w:r>
        <w:rPr>
          <w:rFonts w:ascii="Bookman Old Style" w:hAnsi="Bookman Old Style"/>
          <w:sz w:val="22"/>
          <w:szCs w:val="22"/>
        </w:rPr>
        <w:t xml:space="preserve">Therefore, the Small Business Credit Act does not create any obligation or duty on the part of Mortgage One to the Smiths. The regulations of the act do not create any affirmative duties or prohibitions. </w:t>
      </w:r>
      <w:r>
        <w:rPr>
          <w:rFonts w:ascii="Bookman Old Style" w:hAnsi="Bookman Old Style"/>
          <w:sz w:val="22"/>
          <w:szCs w:val="22"/>
          <w:u w:val="single"/>
        </w:rPr>
        <w:t xml:space="preserve">Production Credit Ass’n of Worthington v. Van Iperen, </w:t>
      </w:r>
      <w:r>
        <w:rPr>
          <w:rFonts w:ascii="Bookman Old Style" w:hAnsi="Bookman Old Style"/>
          <w:sz w:val="22"/>
          <w:szCs w:val="22"/>
        </w:rPr>
        <w:t xml:space="preserve">396 N.W. 2d 35, 38 (Minn. App 1986); </w:t>
      </w:r>
      <w:r>
        <w:rPr>
          <w:rFonts w:ascii="Bookman Old Style" w:hAnsi="Bookman Old Style"/>
          <w:sz w:val="22"/>
          <w:szCs w:val="22"/>
          <w:u w:val="single"/>
        </w:rPr>
        <w:t>see</w:t>
      </w:r>
      <w:r>
        <w:rPr>
          <w:rFonts w:ascii="Bookman Old Style" w:hAnsi="Bookman Old Style"/>
          <w:sz w:val="22"/>
          <w:szCs w:val="22"/>
        </w:rPr>
        <w:t xml:space="preserve"> </w:t>
      </w:r>
      <w:r>
        <w:rPr>
          <w:rFonts w:ascii="Bookman Old Style" w:hAnsi="Bookman Old Style"/>
          <w:sz w:val="22"/>
          <w:szCs w:val="22"/>
          <w:u w:val="single"/>
        </w:rPr>
        <w:t>Griffin v. Federal Land Bank of Wichita, 902 F.2d 22, 24 (10th Cir. 1990).</w:t>
      </w:r>
    </w:p>
    <w:p w14:paraId="519F20EE" w14:textId="7C7CA51E" w:rsidR="0011004E" w:rsidRPr="0011004E" w:rsidRDefault="0011004E" w:rsidP="0011004E">
      <w:pPr>
        <w:rPr>
          <w:rFonts w:ascii="Bookman Old Style" w:hAnsi="Bookman Old Style"/>
          <w:sz w:val="22"/>
          <w:szCs w:val="22"/>
          <w:u w:val="single"/>
        </w:rPr>
      </w:pPr>
    </w:p>
    <w:p w14:paraId="5D4734E4" w14:textId="604EFF25" w:rsidR="0011004E" w:rsidRPr="0011004E" w:rsidRDefault="0011004E" w:rsidP="0011004E">
      <w:pPr>
        <w:pStyle w:val="ListParagraph"/>
        <w:numPr>
          <w:ilvl w:val="0"/>
          <w:numId w:val="2"/>
        </w:numPr>
        <w:spacing w:after="0"/>
        <w:rPr>
          <w:rFonts w:ascii="Bookman Old Style" w:hAnsi="Bookman Old Style"/>
          <w:sz w:val="22"/>
          <w:szCs w:val="22"/>
          <w:u w:val="single"/>
        </w:rPr>
      </w:pPr>
      <w:r w:rsidRPr="0011004E">
        <w:br w:type="page"/>
      </w:r>
      <w:r w:rsidRPr="0011004E">
        <w:rPr>
          <w:rFonts w:ascii="Bookman Old Style" w:hAnsi="Bookman Old Style"/>
          <w:sz w:val="22"/>
          <w:szCs w:val="22"/>
        </w:rPr>
        <w:lastRenderedPageBreak/>
        <w:t xml:space="preserve">THE SMITHS WAIVED THEIR CLAIM A RECOUPMENT DEFENSE BASED ON THE SMALL BUSINESS CREDIT ACT CAN BE BROUGHT AS A BREACH OF CONTRACT CLAIM BECAUSE THEY RAISED IT FOR THE FIRST TIME ON </w:t>
      </w:r>
      <w:r w:rsidRPr="0011004E">
        <w:rPr>
          <w:rFonts w:ascii="Bookman Old Style" w:hAnsi="Bookman Old Style"/>
          <w:sz w:val="22"/>
          <w:szCs w:val="22"/>
          <w:u w:val="single"/>
        </w:rPr>
        <w:t>APPEAL.</w:t>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r w:rsidRPr="0011004E">
        <w:rPr>
          <w:rFonts w:ascii="Bookman Old Style" w:hAnsi="Bookman Old Style"/>
          <w:sz w:val="22"/>
          <w:szCs w:val="22"/>
          <w:u w:val="single"/>
        </w:rPr>
        <w:tab/>
      </w:r>
    </w:p>
    <w:p w14:paraId="0FC500F2" w14:textId="77777777" w:rsidR="0011004E" w:rsidRDefault="0011004E" w:rsidP="0011004E">
      <w:pPr>
        <w:spacing w:after="0"/>
        <w:rPr>
          <w:rFonts w:ascii="Bookman Old Style" w:hAnsi="Bookman Old Style"/>
          <w:sz w:val="22"/>
          <w:szCs w:val="22"/>
        </w:rPr>
      </w:pPr>
    </w:p>
    <w:p w14:paraId="13C20FE5" w14:textId="77777777" w:rsidR="0011004E" w:rsidRDefault="0011004E" w:rsidP="0011004E">
      <w:pPr>
        <w:spacing w:after="0" w:line="480" w:lineRule="auto"/>
        <w:ind w:firstLine="720"/>
        <w:rPr>
          <w:rFonts w:ascii="Bookman Old Style" w:hAnsi="Bookman Old Style"/>
          <w:sz w:val="22"/>
          <w:szCs w:val="22"/>
        </w:rPr>
      </w:pPr>
      <w:r>
        <w:rPr>
          <w:rFonts w:ascii="Bookman Old Style" w:hAnsi="Bookman Old Style"/>
          <w:sz w:val="22"/>
          <w:szCs w:val="22"/>
        </w:rPr>
        <w:t>In their appellant brief, the Smiths raise for the fist time a claim that a recoupment defense based on the Small Business Credit Act can be brought as a breach of contract claim. The Smiths waived this new claim by failing to raise it with the trial court.</w:t>
      </w:r>
    </w:p>
    <w:p w14:paraId="16E87EB7" w14:textId="77777777" w:rsidR="0011004E" w:rsidRDefault="0011004E" w:rsidP="0011004E">
      <w:pPr>
        <w:spacing w:after="0" w:line="480" w:lineRule="auto"/>
        <w:ind w:firstLine="720"/>
        <w:rPr>
          <w:rFonts w:ascii="Bookman Old Style" w:hAnsi="Bookman Old Style"/>
          <w:sz w:val="22"/>
          <w:szCs w:val="22"/>
        </w:rPr>
      </w:pPr>
      <w:r>
        <w:rPr>
          <w:rFonts w:ascii="Bookman Old Style" w:hAnsi="Bookman Old Style"/>
          <w:sz w:val="22"/>
          <w:szCs w:val="22"/>
        </w:rPr>
        <w:t xml:space="preserve">Pennsylvania Rule of Appellate Procedure 302(a) state in unequivocal fashion that “Issues not raised in the lower court are waived and cannot be raised for the first time on appeal.” Pa. R.A.P. Rule 302(a). Courts have interpreted this rule to require the issue both to be raised and preserved in order for the issue to be appealable. </w:t>
      </w:r>
      <w:r>
        <w:rPr>
          <w:rFonts w:ascii="Bookman Old Style" w:hAnsi="Bookman Old Style"/>
          <w:sz w:val="22"/>
          <w:szCs w:val="22"/>
          <w:u w:val="single"/>
        </w:rPr>
        <w:t>Yudacufski v. Com., Dept. of Transp.</w:t>
      </w:r>
      <w:r w:rsidRPr="00D1697C">
        <w:rPr>
          <w:rFonts w:ascii="Bookman Old Style" w:hAnsi="Bookman Old Style"/>
          <w:sz w:val="22"/>
          <w:szCs w:val="22"/>
        </w:rPr>
        <w:t>, 499 Pa. 60</w:t>
      </w:r>
      <w:r>
        <w:rPr>
          <w:rFonts w:ascii="Bookman Old Style" w:hAnsi="Bookman Old Style"/>
          <w:sz w:val="22"/>
          <w:szCs w:val="22"/>
        </w:rPr>
        <w:t xml:space="preserve">5, 454 A.2d 923 (1982). For purpose of the rule, an “issue” is a disputed point or question on which the parties to an action desire the court to decide. </w:t>
      </w:r>
      <w:r>
        <w:rPr>
          <w:rFonts w:ascii="Bookman Old Style" w:hAnsi="Bookman Old Style"/>
          <w:sz w:val="22"/>
          <w:szCs w:val="22"/>
          <w:u w:val="single"/>
        </w:rPr>
        <w:t>Com., Pennsylvania Liquor Control Bd. v. Willow Grove Veterans Home Ass’n, Inc.</w:t>
      </w:r>
      <w:r>
        <w:rPr>
          <w:rFonts w:ascii="Bookman Old Style" w:hAnsi="Bookman Old Style"/>
          <w:sz w:val="22"/>
          <w:szCs w:val="22"/>
        </w:rPr>
        <w:t>, 97 Pa. Commw. 391, 509 A.2d 958 (1986).</w:t>
      </w:r>
    </w:p>
    <w:p w14:paraId="79D0E0A6" w14:textId="3041E09B" w:rsidR="003E12E0" w:rsidRPr="0011004E" w:rsidRDefault="0011004E" w:rsidP="0011004E">
      <w:pPr>
        <w:spacing w:after="0"/>
        <w:rPr>
          <w:rFonts w:ascii="Bookman Old Style" w:hAnsi="Bookman Old Style"/>
          <w:sz w:val="22"/>
          <w:szCs w:val="22"/>
        </w:rPr>
      </w:pPr>
      <w:r>
        <w:rPr>
          <w:rFonts w:ascii="Bookman Old Style" w:hAnsi="Bookman Old Style"/>
          <w:sz w:val="22"/>
          <w:szCs w:val="22"/>
        </w:rPr>
        <w:br w:type="page"/>
      </w:r>
    </w:p>
    <w:p w14:paraId="74C94F4E" w14:textId="77777777" w:rsidR="0011004E" w:rsidRDefault="0011004E" w:rsidP="0011004E">
      <w:pPr>
        <w:spacing w:after="0" w:line="240" w:lineRule="auto"/>
        <w:ind w:firstLine="720"/>
        <w:jc w:val="center"/>
        <w:rPr>
          <w:rFonts w:ascii="Bookman Old Style" w:hAnsi="Bookman Old Style"/>
          <w:sz w:val="22"/>
          <w:szCs w:val="22"/>
          <w:u w:val="single"/>
        </w:rPr>
      </w:pPr>
    </w:p>
    <w:p w14:paraId="66364E14" w14:textId="6A525D11" w:rsidR="003E12E0" w:rsidRDefault="006F5307" w:rsidP="0011004E">
      <w:pPr>
        <w:spacing w:after="0" w:line="480" w:lineRule="auto"/>
        <w:ind w:firstLine="720"/>
        <w:jc w:val="center"/>
        <w:rPr>
          <w:rFonts w:ascii="Bookman Old Style" w:hAnsi="Bookman Old Style"/>
          <w:sz w:val="22"/>
          <w:szCs w:val="22"/>
          <w:u w:val="single"/>
        </w:rPr>
      </w:pPr>
      <w:r>
        <w:rPr>
          <w:rFonts w:ascii="Bookman Old Style" w:hAnsi="Bookman Old Style"/>
          <w:sz w:val="22"/>
          <w:szCs w:val="22"/>
          <w:u w:val="single"/>
        </w:rPr>
        <w:t>RECOUPMENT DEFENSE</w:t>
      </w:r>
    </w:p>
    <w:p w14:paraId="2FF366D2" w14:textId="58E4C2C1" w:rsidR="006F5307" w:rsidRDefault="006F5307" w:rsidP="0011004E">
      <w:pPr>
        <w:spacing w:after="0" w:line="480" w:lineRule="auto"/>
        <w:ind w:firstLine="720"/>
        <w:rPr>
          <w:rFonts w:ascii="Bookman Old Style" w:hAnsi="Bookman Old Style"/>
          <w:sz w:val="22"/>
          <w:szCs w:val="22"/>
        </w:rPr>
      </w:pPr>
      <w:r>
        <w:rPr>
          <w:rFonts w:ascii="Bookman Old Style" w:hAnsi="Bookman Old Style"/>
          <w:sz w:val="22"/>
          <w:szCs w:val="22"/>
        </w:rPr>
        <w:t xml:space="preserve">As to the Smiths’ recoupment defense, nothing in the Small Business Credit Act suggest that small business credit banks have any duties to borrowers to set specific interest rates. The method and manner of setting interest rates is entirely discretionary with the Small Business Credit Bank’s board of directors. And “[i]t is not the business of the court to second guess the Bank….” </w:t>
      </w:r>
      <w:r>
        <w:rPr>
          <w:rFonts w:ascii="Bookman Old Style" w:hAnsi="Bookman Old Style"/>
          <w:sz w:val="22"/>
          <w:szCs w:val="22"/>
          <w:u w:val="single"/>
        </w:rPr>
        <w:t>Griffin v. Federal Land Bank of Wichita</w:t>
      </w:r>
      <w:r>
        <w:rPr>
          <w:rFonts w:ascii="Bookman Old Style" w:hAnsi="Bookman Old Style"/>
          <w:sz w:val="22"/>
          <w:szCs w:val="22"/>
        </w:rPr>
        <w:t xml:space="preserve">, 902 F.2d 22, 24 (10th Cir. 1990). ‘The fact that it may have been possible for [the bank] to set lower rates under different circumstances does not create of action in favor of plainiff.” </w:t>
      </w:r>
      <w:r>
        <w:rPr>
          <w:rFonts w:ascii="Bookman Old Style" w:hAnsi="Bookman Old Style"/>
          <w:sz w:val="22"/>
          <w:szCs w:val="22"/>
          <w:u w:val="single"/>
        </w:rPr>
        <w:t>Garth v. Production Credit Association of Southeastern Michigan</w:t>
      </w:r>
      <w:r>
        <w:rPr>
          <w:rFonts w:ascii="Bookman Old Style" w:hAnsi="Bookman Old Style"/>
          <w:sz w:val="22"/>
          <w:szCs w:val="22"/>
        </w:rPr>
        <w:t>, No. 88- 4035 CZ, slip op. (Circuit Court, Mich. Jul. 27, 1989).</w:t>
      </w:r>
    </w:p>
    <w:p w14:paraId="1C7A6266" w14:textId="1A73D3A4" w:rsidR="006F5307" w:rsidRDefault="006F5307" w:rsidP="0011004E">
      <w:pPr>
        <w:spacing w:after="0" w:line="480" w:lineRule="auto"/>
        <w:ind w:firstLine="720"/>
        <w:rPr>
          <w:rFonts w:ascii="Bookman Old Style" w:hAnsi="Bookman Old Style"/>
          <w:sz w:val="22"/>
          <w:szCs w:val="22"/>
        </w:rPr>
      </w:pPr>
      <w:r>
        <w:rPr>
          <w:rFonts w:ascii="Bookman Old Style" w:hAnsi="Bookman Old Style"/>
          <w:sz w:val="22"/>
          <w:szCs w:val="22"/>
        </w:rPr>
        <w:t>More</w:t>
      </w:r>
      <w:r w:rsidR="0011004E">
        <w:rPr>
          <w:rFonts w:ascii="Bookman Old Style" w:hAnsi="Bookman Old Style"/>
          <w:sz w:val="22"/>
          <w:szCs w:val="22"/>
        </w:rPr>
        <w:t xml:space="preserve">over, if a borrower never had an independent cause of action under the Small Business Credit Act, the borrower cannot establish a defense simply by characterizing its claim as recoupment. </w:t>
      </w:r>
      <w:r w:rsidR="0011004E">
        <w:rPr>
          <w:rFonts w:ascii="Bookman Old Style" w:hAnsi="Bookman Old Style"/>
          <w:sz w:val="22"/>
          <w:szCs w:val="22"/>
          <w:u w:val="single"/>
        </w:rPr>
        <w:t>Garth v. Production Credit Association of Southeastern Michigan</w:t>
      </w:r>
      <w:r w:rsidR="0011004E">
        <w:rPr>
          <w:rFonts w:ascii="Bookman Old Style" w:hAnsi="Bookman Old Style"/>
          <w:sz w:val="22"/>
          <w:szCs w:val="22"/>
        </w:rPr>
        <w:t xml:space="preserve">, </w:t>
      </w:r>
      <w:r w:rsidR="0011004E">
        <w:rPr>
          <w:rFonts w:ascii="Bookman Old Style" w:hAnsi="Bookman Old Style"/>
          <w:sz w:val="22"/>
          <w:szCs w:val="22"/>
        </w:rPr>
        <w:t>No. 88- 4035 CZ, slip op. (Circuit Court, Mich. Jul. 27, 1989).</w:t>
      </w:r>
    </w:p>
    <w:p w14:paraId="3431C864" w14:textId="30FBF3B9" w:rsidR="0011004E" w:rsidRDefault="0011004E" w:rsidP="0011004E">
      <w:pPr>
        <w:spacing w:after="0" w:line="480" w:lineRule="auto"/>
        <w:ind w:firstLine="720"/>
      </w:pPr>
      <w:r>
        <w:rPr>
          <w:rFonts w:ascii="Bookman Old Style" w:hAnsi="Bookman Old Style"/>
          <w:sz w:val="22"/>
          <w:szCs w:val="22"/>
        </w:rPr>
        <w:t xml:space="preserve">In </w:t>
      </w:r>
      <w:r>
        <w:rPr>
          <w:rFonts w:ascii="Bookman Old Style" w:hAnsi="Bookman Old Style"/>
          <w:sz w:val="22"/>
          <w:szCs w:val="22"/>
          <w:u w:val="single"/>
        </w:rPr>
        <w:t>Production Credit Ass’n v. Van Iperen</w:t>
      </w:r>
      <w:r>
        <w:rPr>
          <w:rFonts w:ascii="Bookman Old Style" w:hAnsi="Bookman Old Style"/>
          <w:sz w:val="22"/>
          <w:szCs w:val="22"/>
        </w:rPr>
        <w:t>, 396 N.W. 35 9 Minn. App 1986), the court held that a borrower could not bring of contract claim based on the bank’s alleged noncompliance with the Small Business Credit Act, even though the loan documents incorporated the Act by referenc</w:t>
      </w:r>
      <w:r w:rsidR="008D1FDF">
        <w:rPr>
          <w:rFonts w:ascii="Bookman Old Style" w:hAnsi="Bookman Old Style"/>
          <w:sz w:val="22"/>
          <w:szCs w:val="22"/>
        </w:rPr>
        <w:t xml:space="preserve">e. The court responded that the act provided only policy rules as opposed to substantive rules. </w:t>
      </w:r>
      <w:r w:rsidR="008D1FDF">
        <w:rPr>
          <w:rFonts w:ascii="Bookman Old Style" w:hAnsi="Bookman Old Style"/>
          <w:sz w:val="22"/>
          <w:szCs w:val="22"/>
          <w:u w:val="single"/>
        </w:rPr>
        <w:t>See</w:t>
      </w:r>
      <w:r w:rsidR="008D1FDF">
        <w:rPr>
          <w:rFonts w:ascii="Bookman Old Style" w:hAnsi="Bookman Old Style"/>
          <w:sz w:val="22"/>
          <w:szCs w:val="22"/>
        </w:rPr>
        <w:t xml:space="preserve"> </w:t>
      </w:r>
      <w:r w:rsidR="008D1FDF">
        <w:rPr>
          <w:rFonts w:ascii="Bookman Old Style" w:hAnsi="Bookman Old Style"/>
          <w:sz w:val="22"/>
          <w:szCs w:val="22"/>
          <w:u w:val="single"/>
        </w:rPr>
        <w:t>also</w:t>
      </w:r>
      <w:r w:rsidR="008D1FDF">
        <w:rPr>
          <w:rFonts w:ascii="Bookman Old Style" w:hAnsi="Bookman Old Style"/>
          <w:sz w:val="22"/>
          <w:szCs w:val="22"/>
        </w:rPr>
        <w:t xml:space="preserve"> </w:t>
      </w:r>
      <w:r w:rsidR="008D1FDF">
        <w:rPr>
          <w:rFonts w:ascii="Bookman Old Style" w:hAnsi="Bookman Old Style"/>
          <w:sz w:val="22"/>
          <w:szCs w:val="22"/>
          <w:u w:val="single"/>
        </w:rPr>
        <w:t>Garth v. Production Credit Association of Southeastern Michigan</w:t>
      </w:r>
      <w:r w:rsidR="008D1FDF">
        <w:rPr>
          <w:rFonts w:ascii="Bookman Old Style" w:hAnsi="Bookman Old Style"/>
          <w:sz w:val="22"/>
          <w:szCs w:val="22"/>
        </w:rPr>
        <w:t xml:space="preserve">, No. 88- 4035 CZ, slip op. (Circuit Court, Mich. Jul 27, 1989). As the </w:t>
      </w:r>
      <w:r w:rsidR="008D1FDF">
        <w:rPr>
          <w:rFonts w:ascii="Bookman Old Style" w:hAnsi="Bookman Old Style"/>
          <w:sz w:val="22"/>
          <w:szCs w:val="22"/>
          <w:u w:val="single"/>
        </w:rPr>
        <w:t>Van Iperen</w:t>
      </w:r>
      <w:r w:rsidR="008D1FDF">
        <w:t xml:space="preserve"> Court recognized, the Small Business Credit Act does not create any remedies for borrowers or obligations on small business credit banks. If a borrower or bank incorporate the Act into their mortgage document, likewise no remedy or obligation is created, and therefore, a breach of contract </w:t>
      </w:r>
      <w:r w:rsidR="008D1FDF">
        <w:lastRenderedPageBreak/>
        <w:t xml:space="preserve">claim cannot be based on an alleged violation of the Act. Based on the reasoning of </w:t>
      </w:r>
      <w:r w:rsidR="008D1FDF">
        <w:rPr>
          <w:u w:val="single"/>
        </w:rPr>
        <w:t>Van Iperen</w:t>
      </w:r>
      <w:r w:rsidR="008D1FDF">
        <w:t>, no cause of action for breach of contract exists for the Smiths, even if the mortgage documents here are “subject to” the Small Business Credit Act.</w:t>
      </w:r>
    </w:p>
    <w:p w14:paraId="42CE5BEE" w14:textId="778C8031" w:rsidR="008D1FDF" w:rsidRPr="008D1FDF" w:rsidRDefault="008D1FDF" w:rsidP="0011004E">
      <w:pPr>
        <w:spacing w:after="0" w:line="480" w:lineRule="auto"/>
        <w:ind w:firstLine="720"/>
      </w:pPr>
      <w:r>
        <w:t xml:space="preserve">The </w:t>
      </w:r>
      <w:r>
        <w:rPr>
          <w:u w:val="single"/>
        </w:rPr>
        <w:t>Van Ipren</w:t>
      </w:r>
      <w:r>
        <w:t xml:space="preserve"> court rejected the argument that the “subject to” language altered the duties of a small business credit entity. Moreover, that language does not even suggest that Mortgage One was agreeing to give the Smiths’ recoupment defense, now framed as a breach of contract claim, should be rejected.</w:t>
      </w:r>
    </w:p>
    <w:sectPr w:rsidR="008D1FDF" w:rsidRPr="008D1FD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BE735" w14:textId="77777777" w:rsidR="00E4755A" w:rsidRDefault="00E4755A" w:rsidP="00944419">
      <w:pPr>
        <w:spacing w:after="0" w:line="240" w:lineRule="auto"/>
      </w:pPr>
      <w:r>
        <w:separator/>
      </w:r>
    </w:p>
  </w:endnote>
  <w:endnote w:type="continuationSeparator" w:id="0">
    <w:p w14:paraId="3599E9F2" w14:textId="77777777" w:rsidR="00E4755A" w:rsidRDefault="00E4755A" w:rsidP="0094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66925"/>
      <w:docPartObj>
        <w:docPartGallery w:val="Page Numbers (Bottom of Page)"/>
        <w:docPartUnique/>
      </w:docPartObj>
    </w:sdtPr>
    <w:sdtEndPr>
      <w:rPr>
        <w:noProof/>
      </w:rPr>
    </w:sdtEndPr>
    <w:sdtContent>
      <w:p w14:paraId="18CECBE8" w14:textId="1A108424" w:rsidR="000A7811" w:rsidRDefault="000A7811">
        <w:pPr>
          <w:pStyle w:val="Footer"/>
          <w:jc w:val="center"/>
        </w:pPr>
        <w:r>
          <w:rPr>
            <w:noProof/>
          </w:rPr>
          <mc:AlternateContent>
            <mc:Choice Requires="wps">
              <w:drawing>
                <wp:inline distT="0" distB="0" distL="0" distR="0" wp14:anchorId="0F424275" wp14:editId="6B3FE8B2">
                  <wp:extent cx="5467350" cy="54610"/>
                  <wp:effectExtent l="9525" t="19050" r="9525" b="12065"/>
                  <wp:docPr id="1960339814"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A8D3C6"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0713B8D" w14:textId="53590B3A" w:rsidR="000A7811" w:rsidRDefault="000A78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6A95D" w14:textId="77777777" w:rsidR="000A7811" w:rsidRDefault="000A7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08D25" w14:textId="77777777" w:rsidR="00E4755A" w:rsidRDefault="00E4755A" w:rsidP="00944419">
      <w:pPr>
        <w:spacing w:after="0" w:line="240" w:lineRule="auto"/>
      </w:pPr>
      <w:r>
        <w:separator/>
      </w:r>
    </w:p>
  </w:footnote>
  <w:footnote w:type="continuationSeparator" w:id="0">
    <w:p w14:paraId="296F1DC4" w14:textId="77777777" w:rsidR="00E4755A" w:rsidRDefault="00E4755A" w:rsidP="0094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09E96" w14:textId="2081E3E2" w:rsidR="00944419" w:rsidRPr="00944419" w:rsidRDefault="00944419">
    <w:pPr>
      <w:pStyle w:val="Header"/>
    </w:pPr>
    <w:r>
      <w:t>Name____________________</w:t>
    </w:r>
    <w:r>
      <w:tab/>
    </w:r>
    <w:r w:rsidR="005D7B3B">
      <w:t>Section: _</w:t>
    </w:r>
    <w:r>
      <w:t>_________</w:t>
    </w:r>
    <w:r>
      <w:tab/>
    </w:r>
    <w:r>
      <w:rPr>
        <w:b/>
        <w:bCs/>
      </w:rPr>
      <w:t>ACTIVITY SHEET #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C2DCD"/>
    <w:multiLevelType w:val="hybridMultilevel"/>
    <w:tmpl w:val="56E85A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B63D1B"/>
    <w:multiLevelType w:val="hybridMultilevel"/>
    <w:tmpl w:val="56E85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310A7"/>
    <w:multiLevelType w:val="hybridMultilevel"/>
    <w:tmpl w:val="DB90D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949598">
    <w:abstractNumId w:val="2"/>
  </w:num>
  <w:num w:numId="2" w16cid:durableId="340010267">
    <w:abstractNumId w:val="1"/>
  </w:num>
  <w:num w:numId="3" w16cid:durableId="150616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19"/>
    <w:rsid w:val="00040971"/>
    <w:rsid w:val="000A7811"/>
    <w:rsid w:val="000E15DC"/>
    <w:rsid w:val="0011004E"/>
    <w:rsid w:val="002230A2"/>
    <w:rsid w:val="002441D5"/>
    <w:rsid w:val="00285C96"/>
    <w:rsid w:val="003E12E0"/>
    <w:rsid w:val="003F6B54"/>
    <w:rsid w:val="00475CBF"/>
    <w:rsid w:val="00480A15"/>
    <w:rsid w:val="004C2CFF"/>
    <w:rsid w:val="005D7B3B"/>
    <w:rsid w:val="006D1EEE"/>
    <w:rsid w:val="006F5307"/>
    <w:rsid w:val="006F7171"/>
    <w:rsid w:val="00835DBE"/>
    <w:rsid w:val="00873533"/>
    <w:rsid w:val="008D1FDF"/>
    <w:rsid w:val="00944419"/>
    <w:rsid w:val="00B87B54"/>
    <w:rsid w:val="00BF2D3C"/>
    <w:rsid w:val="00D1697C"/>
    <w:rsid w:val="00D73D62"/>
    <w:rsid w:val="00D81318"/>
    <w:rsid w:val="00E4755A"/>
    <w:rsid w:val="00F4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71F8D"/>
  <w15:chartTrackingRefBased/>
  <w15:docId w15:val="{136CF951-B272-4F6F-B643-A2615F5B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19"/>
  </w:style>
  <w:style w:type="paragraph" w:styleId="Footer">
    <w:name w:val="footer"/>
    <w:basedOn w:val="Normal"/>
    <w:link w:val="FooterChar"/>
    <w:uiPriority w:val="99"/>
    <w:unhideWhenUsed/>
    <w:rsid w:val="0094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19"/>
  </w:style>
  <w:style w:type="paragraph" w:styleId="ListParagraph">
    <w:name w:val="List Paragraph"/>
    <w:basedOn w:val="Normal"/>
    <w:uiPriority w:val="34"/>
    <w:qFormat/>
    <w:rsid w:val="0087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2024-11-11T13:17:00Z</dcterms:created>
  <dcterms:modified xsi:type="dcterms:W3CDTF">2024-11-15T16:03:00Z</dcterms:modified>
</cp:coreProperties>
</file>