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7FA" w:rsidRPr="002D37FA" w:rsidRDefault="002D37FA" w:rsidP="002D37FA">
      <w:pPr>
        <w:jc w:val="right"/>
        <w:rPr>
          <w:rFonts w:ascii="Helvetica" w:hAnsi="Helvetica"/>
        </w:rPr>
      </w:pPr>
      <w:r w:rsidRPr="002D37FA">
        <w:rPr>
          <w:rFonts w:ascii="Helvetica" w:hAnsi="Helvetica"/>
        </w:rPr>
        <w:t>Warszawa, 02.01.2016</w:t>
      </w:r>
    </w:p>
    <w:p w:rsidR="002D37FA" w:rsidRDefault="002D37FA">
      <w:pPr>
        <w:rPr>
          <w:rFonts w:ascii="Helvetica" w:hAnsi="Helvetica"/>
        </w:rPr>
      </w:pPr>
    </w:p>
    <w:p w:rsidR="002D37FA" w:rsidRDefault="002D37FA">
      <w:pPr>
        <w:rPr>
          <w:rFonts w:ascii="Helvetica" w:hAnsi="Helvetica"/>
        </w:rPr>
      </w:pPr>
    </w:p>
    <w:p w:rsidR="002D37FA" w:rsidRDefault="002D37FA">
      <w:pPr>
        <w:rPr>
          <w:rFonts w:ascii="Helvetica" w:hAnsi="Helvetica"/>
        </w:rPr>
      </w:pPr>
    </w:p>
    <w:p w:rsidR="002D37FA" w:rsidRDefault="002D37FA">
      <w:pPr>
        <w:rPr>
          <w:rFonts w:ascii="Helvetica" w:hAnsi="Helvetica"/>
        </w:rPr>
      </w:pPr>
    </w:p>
    <w:p w:rsidR="002D37FA" w:rsidRDefault="002D37FA">
      <w:pPr>
        <w:rPr>
          <w:rFonts w:ascii="Helvetica" w:hAnsi="Helvetica"/>
        </w:rPr>
      </w:pPr>
    </w:p>
    <w:p w:rsidR="002D37FA" w:rsidRDefault="002D37FA">
      <w:pPr>
        <w:rPr>
          <w:rFonts w:ascii="Helvetica" w:hAnsi="Helvetica"/>
        </w:rPr>
      </w:pPr>
    </w:p>
    <w:p w:rsidR="002D37FA" w:rsidRPr="002D37FA" w:rsidRDefault="002D37FA" w:rsidP="002D37FA">
      <w:pPr>
        <w:jc w:val="center"/>
        <w:rPr>
          <w:rFonts w:ascii="Helvetica" w:hAnsi="Helvetica"/>
          <w:sz w:val="72"/>
          <w:szCs w:val="72"/>
        </w:rPr>
      </w:pPr>
    </w:p>
    <w:p w:rsidR="002D37FA" w:rsidRPr="002D37FA" w:rsidRDefault="002D37FA" w:rsidP="002D37FA">
      <w:pPr>
        <w:jc w:val="center"/>
        <w:rPr>
          <w:rFonts w:ascii="Helvetica" w:hAnsi="Helvetica"/>
          <w:sz w:val="72"/>
          <w:szCs w:val="72"/>
        </w:rPr>
      </w:pPr>
    </w:p>
    <w:p w:rsidR="002D37FA" w:rsidRDefault="002D37FA" w:rsidP="002D37FA">
      <w:pPr>
        <w:jc w:val="center"/>
        <w:rPr>
          <w:rFonts w:ascii="Helvetica" w:hAnsi="Helvetica"/>
          <w:sz w:val="72"/>
          <w:szCs w:val="72"/>
        </w:rPr>
      </w:pPr>
      <w:r w:rsidRPr="002D37FA">
        <w:rPr>
          <w:rFonts w:ascii="Helvetica" w:hAnsi="Helvetica"/>
          <w:sz w:val="72"/>
          <w:szCs w:val="72"/>
        </w:rPr>
        <w:t>Zarządzanie</w:t>
      </w:r>
      <w:r w:rsidRPr="002D37FA">
        <w:rPr>
          <w:rFonts w:ascii="Helvetica" w:hAnsi="Helvetica"/>
          <w:sz w:val="72"/>
          <w:szCs w:val="72"/>
        </w:rPr>
        <w:br/>
        <w:t>Sieciami</w:t>
      </w:r>
      <w:r w:rsidRPr="002D37FA">
        <w:rPr>
          <w:rFonts w:ascii="Helvetica" w:hAnsi="Helvetica"/>
          <w:sz w:val="72"/>
          <w:szCs w:val="72"/>
        </w:rPr>
        <w:br/>
        <w:t>Telekomunikacyjnymi</w:t>
      </w:r>
    </w:p>
    <w:p w:rsidR="002D37FA" w:rsidRDefault="002D37FA" w:rsidP="002D37FA">
      <w:pPr>
        <w:jc w:val="center"/>
        <w:rPr>
          <w:rFonts w:ascii="Helvetica" w:hAnsi="Helvetica"/>
          <w:sz w:val="72"/>
          <w:szCs w:val="72"/>
        </w:rPr>
      </w:pPr>
    </w:p>
    <w:p w:rsidR="002D37FA" w:rsidRDefault="002D37FA" w:rsidP="002D37FA">
      <w:pPr>
        <w:jc w:val="center"/>
        <w:rPr>
          <w:rFonts w:ascii="Helvetica" w:hAnsi="Helvetica"/>
          <w:sz w:val="52"/>
          <w:szCs w:val="52"/>
        </w:rPr>
      </w:pPr>
      <w:r>
        <w:rPr>
          <w:rFonts w:ascii="Helvetica" w:hAnsi="Helvetica"/>
          <w:sz w:val="52"/>
          <w:szCs w:val="52"/>
        </w:rPr>
        <w:t>Prowadzący</w:t>
      </w:r>
      <w:r>
        <w:rPr>
          <w:rFonts w:ascii="Helvetica" w:hAnsi="Helvetica"/>
          <w:sz w:val="52"/>
          <w:szCs w:val="52"/>
        </w:rPr>
        <w:br/>
        <w:t>dr inż. Mariusz Mycek</w:t>
      </w:r>
    </w:p>
    <w:p w:rsidR="002D37FA" w:rsidRDefault="002D37FA" w:rsidP="002D37FA">
      <w:pPr>
        <w:jc w:val="center"/>
        <w:rPr>
          <w:rFonts w:ascii="Helvetica" w:hAnsi="Helvetica"/>
          <w:sz w:val="52"/>
          <w:szCs w:val="52"/>
        </w:rPr>
      </w:pPr>
    </w:p>
    <w:p w:rsidR="002D37FA" w:rsidRDefault="002D37FA" w:rsidP="002D37FA">
      <w:pPr>
        <w:jc w:val="center"/>
        <w:rPr>
          <w:rFonts w:ascii="Helvetica" w:hAnsi="Helvetica"/>
          <w:sz w:val="52"/>
          <w:szCs w:val="52"/>
        </w:rPr>
      </w:pPr>
    </w:p>
    <w:p w:rsidR="002D37FA" w:rsidRDefault="002D37FA" w:rsidP="002D37FA">
      <w:pPr>
        <w:jc w:val="center"/>
        <w:rPr>
          <w:rFonts w:ascii="Helvetica" w:hAnsi="Helvetica"/>
          <w:sz w:val="52"/>
          <w:szCs w:val="52"/>
        </w:rPr>
      </w:pPr>
    </w:p>
    <w:p w:rsidR="002D37FA" w:rsidRDefault="002D37FA" w:rsidP="002D37FA">
      <w:pPr>
        <w:jc w:val="center"/>
        <w:rPr>
          <w:rFonts w:ascii="Helvetica" w:hAnsi="Helvetica"/>
          <w:sz w:val="52"/>
          <w:szCs w:val="52"/>
        </w:rPr>
      </w:pPr>
    </w:p>
    <w:p w:rsidR="002D37FA" w:rsidRDefault="002D37FA" w:rsidP="002D37FA">
      <w:pPr>
        <w:rPr>
          <w:rFonts w:ascii="Helvetica" w:hAnsi="Helvetica"/>
          <w:sz w:val="36"/>
          <w:szCs w:val="36"/>
        </w:rPr>
      </w:pPr>
    </w:p>
    <w:p w:rsidR="002D37FA" w:rsidRDefault="002D37FA" w:rsidP="002D37FA">
      <w:pPr>
        <w:rPr>
          <w:rFonts w:ascii="Helvetica" w:hAnsi="Helvetica"/>
          <w:sz w:val="36"/>
          <w:szCs w:val="36"/>
        </w:rPr>
      </w:pPr>
    </w:p>
    <w:p w:rsidR="002D37FA" w:rsidRDefault="002D37FA" w:rsidP="002D37FA">
      <w:pPr>
        <w:rPr>
          <w:rFonts w:ascii="Helvetica" w:hAnsi="Helvetica"/>
          <w:sz w:val="36"/>
          <w:szCs w:val="36"/>
        </w:rPr>
      </w:pPr>
    </w:p>
    <w:p w:rsidR="002D37FA" w:rsidRDefault="002D37FA" w:rsidP="002D37FA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Jan Sobczak 261206</w:t>
      </w:r>
      <w:r>
        <w:rPr>
          <w:rFonts w:ascii="Helvetica" w:hAnsi="Helvetica"/>
          <w:sz w:val="36"/>
          <w:szCs w:val="36"/>
        </w:rPr>
        <w:br/>
        <w:t>Rafał Stobiecki 261195</w:t>
      </w:r>
      <w:r>
        <w:rPr>
          <w:rFonts w:ascii="Helvetica" w:hAnsi="Helvetica"/>
          <w:sz w:val="36"/>
          <w:szCs w:val="36"/>
        </w:rPr>
        <w:br/>
        <w:t>Michał Ziółkowski 261227</w:t>
      </w:r>
    </w:p>
    <w:p w:rsidR="002D37FA" w:rsidRDefault="002D37FA" w:rsidP="002D37FA">
      <w:pPr>
        <w:rPr>
          <w:rFonts w:ascii="Helvetica" w:hAnsi="Helvetica"/>
        </w:rPr>
      </w:pPr>
    </w:p>
    <w:p w:rsidR="00A06E77" w:rsidRDefault="00A06E77" w:rsidP="00654ECC">
      <w:pPr>
        <w:pStyle w:val="ListParagraph"/>
        <w:jc w:val="center"/>
        <w:rPr>
          <w:rFonts w:ascii="Helvetica" w:hAnsi="Helvetica"/>
          <w:b/>
          <w:sz w:val="32"/>
          <w:szCs w:val="32"/>
        </w:rPr>
      </w:pPr>
      <w:r w:rsidRPr="00654ECC">
        <w:rPr>
          <w:rFonts w:ascii="Helvetica" w:hAnsi="Helvetica"/>
          <w:b/>
          <w:sz w:val="32"/>
          <w:szCs w:val="32"/>
        </w:rPr>
        <w:t>Model informacyjny agenta SNMP</w:t>
      </w:r>
    </w:p>
    <w:p w:rsidR="00654ECC" w:rsidRPr="00654ECC" w:rsidRDefault="00654ECC" w:rsidP="00654ECC">
      <w:pPr>
        <w:pStyle w:val="ListParagraph"/>
        <w:jc w:val="center"/>
        <w:rPr>
          <w:rFonts w:ascii="Helvetica" w:hAnsi="Helvetica"/>
          <w:b/>
          <w:sz w:val="32"/>
          <w:szCs w:val="32"/>
        </w:rPr>
      </w:pPr>
    </w:p>
    <w:p w:rsidR="002D37FA" w:rsidRPr="00654ECC" w:rsidRDefault="002D37FA" w:rsidP="002D37FA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 w:rsidRPr="00654ECC">
        <w:rPr>
          <w:rFonts w:ascii="Helvetica" w:hAnsi="Helvetica"/>
          <w:b/>
        </w:rPr>
        <w:t>Środowisko testowe</w:t>
      </w:r>
    </w:p>
    <w:p w:rsidR="00FF7EAF" w:rsidRDefault="002D37FA" w:rsidP="00C0287C">
      <w:pPr>
        <w:pStyle w:val="ListParagraph"/>
        <w:ind w:firstLine="720"/>
        <w:jc w:val="both"/>
        <w:rPr>
          <w:rFonts w:ascii="Helvetica" w:hAnsi="Helvetica"/>
        </w:rPr>
      </w:pPr>
      <w:r>
        <w:rPr>
          <w:rFonts w:ascii="Helvetica" w:hAnsi="Helvetica"/>
        </w:rPr>
        <w:t>Jako kli</w:t>
      </w:r>
      <w:r w:rsidR="00FF7EAF">
        <w:rPr>
          <w:rFonts w:ascii="Helvetica" w:hAnsi="Helvetica"/>
        </w:rPr>
        <w:t>ent SNMP do testów posłużyła nam aplikacja MIB Browser firmy iReasoning. Testy przeprowadzane były na 64 bitowym systemie Microsoft Windows 8.</w:t>
      </w:r>
    </w:p>
    <w:p w:rsidR="00FF7EAF" w:rsidRDefault="00FF7EAF" w:rsidP="00FF7EAF">
      <w:pPr>
        <w:pStyle w:val="ListParagraph"/>
        <w:ind w:firstLine="273"/>
        <w:rPr>
          <w:rFonts w:ascii="Helvetica" w:hAnsi="Helvetica"/>
        </w:rPr>
      </w:pPr>
    </w:p>
    <w:p w:rsidR="00FF7EAF" w:rsidRPr="00654ECC" w:rsidRDefault="00FF7EAF" w:rsidP="00C0287C">
      <w:pPr>
        <w:pStyle w:val="ListParagraph"/>
        <w:numPr>
          <w:ilvl w:val="0"/>
          <w:numId w:val="2"/>
        </w:numPr>
        <w:jc w:val="both"/>
        <w:rPr>
          <w:rFonts w:ascii="Helvetica" w:hAnsi="Helvetica"/>
          <w:b/>
        </w:rPr>
      </w:pPr>
      <w:r w:rsidRPr="00654ECC">
        <w:rPr>
          <w:rFonts w:ascii="Helvetica" w:hAnsi="Helvetica"/>
          <w:b/>
        </w:rPr>
        <w:t>Przygotowanie systemu Windows</w:t>
      </w:r>
    </w:p>
    <w:p w:rsidR="00FF7EAF" w:rsidRDefault="00FF7EAF" w:rsidP="00C0287C">
      <w:pPr>
        <w:pStyle w:val="ListParagraph"/>
        <w:ind w:firstLine="720"/>
        <w:jc w:val="both"/>
        <w:rPr>
          <w:rFonts w:ascii="Helvetica" w:hAnsi="Helvetica"/>
        </w:rPr>
      </w:pPr>
      <w:r>
        <w:rPr>
          <w:rFonts w:ascii="Helvetica" w:hAnsi="Helvetica"/>
        </w:rPr>
        <w:t>Systemy z rodziny Microsoft Windows posiadają preinstalowanego  fabrycznie klienta SNMP, jest on jednak domyślnie nieaktywny</w:t>
      </w:r>
      <w:r w:rsidR="001613AA">
        <w:rPr>
          <w:rFonts w:ascii="Helvetica" w:hAnsi="Helvetica"/>
        </w:rPr>
        <w:t>. W celu jego aktywacji należało uaktywnić usługę SNMP Service, oraz zezwolić na połączenia z nią aplikacjom zewnętrznym.</w:t>
      </w:r>
    </w:p>
    <w:p w:rsidR="00654ECC" w:rsidRDefault="00654ECC" w:rsidP="001613AA">
      <w:pPr>
        <w:pStyle w:val="ListParagraph"/>
        <w:ind w:firstLine="273"/>
        <w:rPr>
          <w:rFonts w:ascii="Helvetica" w:hAnsi="Helvetica"/>
        </w:rPr>
      </w:pPr>
    </w:p>
    <w:p w:rsidR="001613AA" w:rsidRPr="00654ECC" w:rsidRDefault="00654ECC" w:rsidP="001613AA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 w:rsidRPr="00654ECC">
        <w:rPr>
          <w:rFonts w:ascii="Helvetica" w:hAnsi="Helvetica"/>
          <w:b/>
        </w:rPr>
        <w:t>Model agenta SNMP</w:t>
      </w:r>
    </w:p>
    <w:p w:rsidR="00654ECC" w:rsidRDefault="00654ECC" w:rsidP="00C0287C">
      <w:pPr>
        <w:pStyle w:val="ListParagraph"/>
        <w:ind w:firstLine="720"/>
        <w:jc w:val="both"/>
        <w:rPr>
          <w:rFonts w:ascii="Helvetica" w:hAnsi="Helvetica"/>
        </w:rPr>
      </w:pPr>
      <w:r>
        <w:rPr>
          <w:rFonts w:ascii="Helvetica" w:hAnsi="Helvetica"/>
        </w:rPr>
        <w:t>Używany agent SNMP implementuje model informacyjny o strukturze drzewiastej, służący do zarządzania sprzętem w sieci telekomunikacyjnej. Model ten stanowi baza danych zarządzania MIB (Management Information Base), w której wszystkie parametry urządzeń (komputera, drukarki, modułu itp.) reprezentowane są jako obiekty zawierające w sobie wartości skalarne lub tablice.</w:t>
      </w:r>
    </w:p>
    <w:p w:rsidR="00C0287C" w:rsidRDefault="00C0287C" w:rsidP="00C0287C">
      <w:pPr>
        <w:pStyle w:val="ListParagraph"/>
        <w:ind w:firstLine="720"/>
        <w:jc w:val="both"/>
        <w:rPr>
          <w:rFonts w:ascii="Helvetica" w:hAnsi="Helvetica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EB6C5" wp14:editId="63F67922">
                <wp:simplePos x="0" y="0"/>
                <wp:positionH relativeFrom="column">
                  <wp:posOffset>-228600</wp:posOffset>
                </wp:positionH>
                <wp:positionV relativeFrom="paragraph">
                  <wp:posOffset>3851910</wp:posOffset>
                </wp:positionV>
                <wp:extent cx="6184900" cy="260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196CC5" w:rsidRPr="003E2ED8" w:rsidRDefault="00196CC5" w:rsidP="00C0287C">
                            <w:pPr>
                              <w:pStyle w:val="Caption"/>
                              <w:rPr>
                                <w:rFonts w:ascii="Helvetica" w:hAnsi="Helvetica"/>
                                <w:noProof/>
                                <w:lang w:val="en-US"/>
                              </w:rPr>
                            </w:pPr>
                            <w:r>
                              <w:t>Rysunek 1. : Przykładowa struktura drzewiasta MIB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EB6C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8pt;margin-top:303.3pt;width:487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" stroked="f">
                <v:textbox style="mso-fit-shape-to-text:t" inset="0,0,0,0">
                  <w:txbxContent>
                    <w:p w:rsidR="00196CC5" w:rsidRPr="003E2ED8" w:rsidRDefault="00196CC5" w:rsidP="00C0287C">
                      <w:pPr>
                        <w:pStyle w:val="Caption"/>
                        <w:rPr>
                          <w:rFonts w:ascii="Helvetica" w:hAnsi="Helvetica"/>
                          <w:noProof/>
                          <w:lang w:val="en-US"/>
                        </w:rPr>
                      </w:pPr>
                      <w:r>
                        <w:t>Rysunek 1. : Przykładowa struktura drzewiasta MIB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0191F7D4" wp14:editId="57DD37C3">
            <wp:simplePos x="0" y="0"/>
            <wp:positionH relativeFrom="column">
              <wp:posOffset>-228600</wp:posOffset>
            </wp:positionH>
            <wp:positionV relativeFrom="paragraph">
              <wp:posOffset>1247775</wp:posOffset>
            </wp:positionV>
            <wp:extent cx="6184900" cy="2546985"/>
            <wp:effectExtent l="0" t="0" r="1270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b_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ECC">
        <w:rPr>
          <w:rFonts w:ascii="Helvetica" w:hAnsi="Helvetica"/>
        </w:rPr>
        <w:t>Jak wspomniano, baza MIB wykorzystuje hierarchiczną strukturę drzewiastą obiektów. Każdy obiekt charakteryzuje unikalny identyfikator OID (Obje</w:t>
      </w:r>
      <w:r>
        <w:rPr>
          <w:rFonts w:ascii="Helvetica" w:hAnsi="Helvetica"/>
        </w:rPr>
        <w:t>ct Id</w:t>
      </w:r>
      <w:r w:rsidR="00654ECC">
        <w:rPr>
          <w:rFonts w:ascii="Helvetica" w:hAnsi="Helvetica"/>
        </w:rPr>
        <w:t>entifier)</w:t>
      </w:r>
      <w:r>
        <w:rPr>
          <w:rFonts w:ascii="Helvetica" w:hAnsi="Helvetica"/>
        </w:rPr>
        <w:t xml:space="preserve">, którego budowa uwarunkowana jest położeniem obiektu w drzewie. Do obiektu możemy odwoływać się w dwojaki sposób, poprzez adres numeryczny  (typu .1.2.3.4 itp. ) lub też za pomocą nazw węzłów (typu iso.org.dod.internet itp.)  </w:t>
      </w:r>
    </w:p>
    <w:p w:rsidR="00C0287C" w:rsidRPr="00CC73E5" w:rsidRDefault="00C0287C" w:rsidP="00CC73E5">
      <w:pPr>
        <w:rPr>
          <w:rFonts w:ascii="Helvetica" w:hAnsi="Helvetica"/>
        </w:rPr>
      </w:pPr>
    </w:p>
    <w:p w:rsidR="00C90957" w:rsidRPr="00C90957" w:rsidRDefault="00CC73E5" w:rsidP="00CC73E5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Informacje przechowywane w bazie danych MIB</w:t>
      </w:r>
    </w:p>
    <w:p w:rsidR="00C90957" w:rsidRDefault="00C90957" w:rsidP="00C90957">
      <w:pPr>
        <w:rPr>
          <w:rFonts w:ascii="Helvetica" w:hAnsi="Helvetica"/>
        </w:rPr>
      </w:pPr>
    </w:p>
    <w:p w:rsidR="008952AB" w:rsidRDefault="008952AB" w:rsidP="00C90957">
      <w:pPr>
        <w:rPr>
          <w:rFonts w:ascii="Helvetica" w:hAnsi="Helvetica"/>
        </w:rPr>
      </w:pPr>
      <w:r>
        <w:rPr>
          <w:noProof/>
          <w:lang w:eastAsia="pl-PL"/>
        </w:rPr>
        <w:drawing>
          <wp:anchor distT="0" distB="0" distL="114300" distR="114300" simplePos="0" relativeHeight="251658752" behindDoc="0" locked="0" layoutInCell="1" allowOverlap="1" wp14:anchorId="561ABECF" wp14:editId="5B16EBA1">
            <wp:simplePos x="0" y="0"/>
            <wp:positionH relativeFrom="column">
              <wp:posOffset>-66675</wp:posOffset>
            </wp:positionH>
            <wp:positionV relativeFrom="paragraph">
              <wp:posOffset>125730</wp:posOffset>
            </wp:positionV>
            <wp:extent cx="1771650" cy="4143375"/>
            <wp:effectExtent l="0" t="0" r="0" b="9525"/>
            <wp:wrapThrough wrapText="bothSides">
              <wp:wrapPolygon edited="0">
                <wp:start x="0" y="0"/>
                <wp:lineTo x="0" y="21550"/>
                <wp:lineTo x="21368" y="21550"/>
                <wp:lineTo x="213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952AB" w:rsidRDefault="008952AB" w:rsidP="00C90957">
      <w:pPr>
        <w:rPr>
          <w:rFonts w:ascii="Helvetica" w:hAnsi="Helvetica"/>
        </w:rPr>
      </w:pPr>
    </w:p>
    <w:p w:rsidR="008952AB" w:rsidRDefault="008952AB" w:rsidP="00C90957">
      <w:pPr>
        <w:rPr>
          <w:rFonts w:ascii="Helvetica" w:hAnsi="Helvetica"/>
        </w:rPr>
      </w:pPr>
    </w:p>
    <w:p w:rsidR="002676DE" w:rsidRDefault="002676DE" w:rsidP="00C90957">
      <w:pPr>
        <w:rPr>
          <w:rFonts w:ascii="Helvetica" w:hAnsi="Helvetica"/>
        </w:rPr>
      </w:pPr>
    </w:p>
    <w:p w:rsidR="002676DE" w:rsidRDefault="002676DE" w:rsidP="00C90957">
      <w:pPr>
        <w:rPr>
          <w:rFonts w:ascii="Helvetica" w:hAnsi="Helvetica"/>
        </w:rPr>
      </w:pPr>
    </w:p>
    <w:p w:rsidR="00096DFA" w:rsidRDefault="00C90957" w:rsidP="00096DFA">
      <w:pPr>
        <w:ind w:firstLine="36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Jak widać po </w:t>
      </w:r>
      <w:r w:rsidR="008952AB">
        <w:rPr>
          <w:rFonts w:ascii="Helvetica" w:hAnsi="Helvetica"/>
        </w:rPr>
        <w:t>lewej</w:t>
      </w:r>
      <w:r>
        <w:rPr>
          <w:rFonts w:ascii="Helvetica" w:hAnsi="Helvetica"/>
        </w:rPr>
        <w:t xml:space="preserve">, w przypadku </w:t>
      </w:r>
      <w:r w:rsidR="008952AB">
        <w:rPr>
          <w:rFonts w:ascii="Helvetica" w:hAnsi="Helvetica"/>
        </w:rPr>
        <w:t>testowanego przez nas</w:t>
      </w:r>
      <w:r>
        <w:rPr>
          <w:rFonts w:ascii="Helvetica" w:hAnsi="Helvetica"/>
        </w:rPr>
        <w:t xml:space="preserve"> MIB’a dzieli się on na dwie główne gałęzie, </w:t>
      </w:r>
      <w:r w:rsidRPr="00C90957">
        <w:rPr>
          <w:rFonts w:ascii="Helvetica" w:hAnsi="Helvetica"/>
          <w:i/>
        </w:rPr>
        <w:t>mgmt</w:t>
      </w:r>
      <w:r>
        <w:rPr>
          <w:rFonts w:ascii="Helvetica" w:hAnsi="Helvetica"/>
        </w:rPr>
        <w:t xml:space="preserve"> </w:t>
      </w:r>
      <w:r w:rsidR="00196CC5">
        <w:rPr>
          <w:rFonts w:ascii="Helvetica" w:hAnsi="Helvetica"/>
        </w:rPr>
        <w:t>(</w:t>
      </w:r>
      <w:r w:rsidR="00196CC5">
        <w:rPr>
          <w:rFonts w:ascii="Helvetica" w:hAnsi="Helvetica"/>
          <w:i/>
        </w:rPr>
        <w:t xml:space="preserve">Management) </w:t>
      </w:r>
      <w:r>
        <w:rPr>
          <w:rFonts w:ascii="Helvetica" w:hAnsi="Helvetica"/>
        </w:rPr>
        <w:t xml:space="preserve">oraz </w:t>
      </w:r>
      <w:r w:rsidRPr="00C90957">
        <w:rPr>
          <w:rFonts w:ascii="Helvetica" w:hAnsi="Helvetica"/>
          <w:i/>
        </w:rPr>
        <w:t>snmpV2</w:t>
      </w:r>
      <w:r>
        <w:rPr>
          <w:rFonts w:ascii="Helvetica" w:hAnsi="Helvetica"/>
          <w:i/>
        </w:rPr>
        <w:t>.</w:t>
      </w:r>
      <w:r>
        <w:rPr>
          <w:rFonts w:ascii="Helvetica" w:hAnsi="Helvetica"/>
        </w:rPr>
        <w:t xml:space="preserve"> </w:t>
      </w:r>
    </w:p>
    <w:p w:rsidR="00096DFA" w:rsidRDefault="008952AB" w:rsidP="00096DFA">
      <w:pPr>
        <w:ind w:firstLine="36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Ich zawartość przetestowaliśmy poleceniami GetNext, a następnie, aby uzyskać pełen obraz, Walk. </w:t>
      </w:r>
    </w:p>
    <w:p w:rsidR="002676DE" w:rsidRDefault="008952AB" w:rsidP="00096DFA">
      <w:pPr>
        <w:ind w:firstLine="360"/>
        <w:jc w:val="both"/>
        <w:rPr>
          <w:rFonts w:ascii="Helvetica" w:hAnsi="Helvetica"/>
        </w:rPr>
      </w:pPr>
      <w:r>
        <w:rPr>
          <w:rFonts w:ascii="Helvetica" w:hAnsi="Helvetica"/>
        </w:rPr>
        <w:t>Na podstawie tych testów, oraz informacji pozyskanych z dodatkowych źródeł (głównie RFC 1155 oraz RFC 1495)</w:t>
      </w:r>
      <w:r w:rsidR="00DF2355">
        <w:rPr>
          <w:rFonts w:ascii="Helvetica" w:hAnsi="Helvetica"/>
        </w:rPr>
        <w:t xml:space="preserve"> możemy określić informacje przechowywane w poszczególnych gałęziach</w:t>
      </w:r>
      <w:r w:rsidR="00096DFA">
        <w:rPr>
          <w:rFonts w:ascii="Helvetica" w:hAnsi="Helvetica"/>
        </w:rPr>
        <w:t>.</w:t>
      </w:r>
    </w:p>
    <w:p w:rsidR="00CC73E5" w:rsidRDefault="002676DE" w:rsidP="00096DFA">
      <w:pPr>
        <w:ind w:firstLine="360"/>
        <w:jc w:val="both"/>
        <w:rPr>
          <w:rFonts w:ascii="Helvetica" w:hAnsi="Helvetica"/>
        </w:rPr>
      </w:pPr>
      <w:r>
        <w:rPr>
          <w:rFonts w:ascii="Helvetica" w:hAnsi="Helvetica"/>
        </w:rPr>
        <w:t>Poniżej zamieszczamy opisy zidentyfikowanych gałęzi wraz z przykładowymi obiektami.</w:t>
      </w:r>
      <w:r w:rsidR="00096DFA">
        <w:rPr>
          <w:rFonts w:ascii="Helvetica" w:hAnsi="Helvetica"/>
        </w:rPr>
        <w:br/>
      </w:r>
    </w:p>
    <w:p w:rsidR="002676DE" w:rsidRDefault="002676DE" w:rsidP="00096DFA">
      <w:pPr>
        <w:ind w:firstLine="360"/>
        <w:jc w:val="both"/>
        <w:rPr>
          <w:rFonts w:ascii="Helvetica" w:hAnsi="Helvetica"/>
        </w:rPr>
      </w:pPr>
    </w:p>
    <w:p w:rsidR="00B452EA" w:rsidRDefault="00096DFA" w:rsidP="00096DFA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4A737A">
        <w:rPr>
          <w:rFonts w:ascii="Helvetica" w:hAnsi="Helvetica"/>
          <w:b/>
        </w:rPr>
        <w:t>system</w:t>
      </w:r>
      <w:r>
        <w:rPr>
          <w:rFonts w:ascii="Helvetica" w:hAnsi="Helvetica"/>
        </w:rPr>
        <w:t xml:space="preserve"> </w:t>
      </w:r>
      <w:r w:rsidR="00B452EA">
        <w:rPr>
          <w:rFonts w:ascii="Helvetica" w:hAnsi="Helvetica"/>
        </w:rPr>
        <w:t>–</w:t>
      </w:r>
      <w:r>
        <w:rPr>
          <w:rFonts w:ascii="Helvetica" w:hAnsi="Helvetica"/>
        </w:rPr>
        <w:t xml:space="preserve"> </w:t>
      </w:r>
      <w:r w:rsidR="00B452EA">
        <w:rPr>
          <w:rFonts w:ascii="Helvetica" w:hAnsi="Helvetica"/>
        </w:rPr>
        <w:t xml:space="preserve">zawiera ogólne informacje o stanie systemu tzn </w:t>
      </w:r>
    </w:p>
    <w:p w:rsidR="00B452EA" w:rsidRDefault="004A737A" w:rsidP="00B452E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4A737A">
        <w:rPr>
          <w:rFonts w:ascii="Helvetica" w:hAnsi="Helvetica"/>
          <w:i/>
        </w:rPr>
        <w:t>sysDescr</w:t>
      </w:r>
      <w:r>
        <w:rPr>
          <w:rFonts w:ascii="Helvetica" w:hAnsi="Helvetica"/>
        </w:rPr>
        <w:t xml:space="preserve"> - </w:t>
      </w:r>
      <w:r w:rsidR="00B452EA">
        <w:rPr>
          <w:rFonts w:ascii="Helvetica" w:hAnsi="Helvetica"/>
        </w:rPr>
        <w:t xml:space="preserve">informacje o używanej płycie głównej i systemie </w:t>
      </w:r>
    </w:p>
    <w:p w:rsidR="00096DFA" w:rsidRDefault="004A737A" w:rsidP="00B452E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4C64F7">
        <w:rPr>
          <w:rFonts w:ascii="Helvetica" w:hAnsi="Helvetica"/>
          <w:i/>
        </w:rPr>
        <w:t>sysObjectID</w:t>
      </w:r>
      <w:r>
        <w:rPr>
          <w:rFonts w:ascii="Helvetica" w:hAnsi="Helvetica"/>
        </w:rPr>
        <w:t xml:space="preserve"> - </w:t>
      </w:r>
      <w:r w:rsidR="00B452EA">
        <w:rPr>
          <w:rFonts w:ascii="Helvetica" w:hAnsi="Helvetica"/>
        </w:rPr>
        <w:t>identyfikator urządzenia sieciowego (dla dostawcy)</w:t>
      </w:r>
      <w:r>
        <w:rPr>
          <w:rFonts w:ascii="Helvetica" w:hAnsi="Helvetica"/>
        </w:rPr>
        <w:t xml:space="preserve"> </w:t>
      </w:r>
    </w:p>
    <w:p w:rsidR="00B452EA" w:rsidRDefault="004C64F7" w:rsidP="00B452E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4C64F7">
        <w:rPr>
          <w:rFonts w:ascii="Helvetica" w:hAnsi="Helvetica"/>
          <w:i/>
        </w:rPr>
        <w:t>sysUpTime</w:t>
      </w:r>
      <w:r>
        <w:rPr>
          <w:rFonts w:ascii="Helvetica" w:hAnsi="Helvetica"/>
        </w:rPr>
        <w:t xml:space="preserve"> - czas działania urządzenia </w:t>
      </w:r>
    </w:p>
    <w:p w:rsidR="00B452EA" w:rsidRDefault="004C64F7" w:rsidP="00B452E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4C64F7">
        <w:rPr>
          <w:rFonts w:ascii="Helvetica" w:hAnsi="Helvetica"/>
          <w:i/>
        </w:rPr>
        <w:t>sysContact</w:t>
      </w:r>
      <w:r>
        <w:rPr>
          <w:rFonts w:ascii="Helvetica" w:hAnsi="Helvetica"/>
        </w:rPr>
        <w:t xml:space="preserve"> - </w:t>
      </w:r>
      <w:r w:rsidR="00B452EA">
        <w:rPr>
          <w:rFonts w:ascii="Helvetica" w:hAnsi="Helvetica"/>
        </w:rPr>
        <w:t>opcjonalnie informacje o osobie kontaktowej odpowiedzialnej za ten podzespół</w:t>
      </w:r>
    </w:p>
    <w:p w:rsidR="00B452EA" w:rsidRDefault="004C64F7" w:rsidP="00B452E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4C64F7">
        <w:rPr>
          <w:rFonts w:ascii="Helvetica" w:hAnsi="Helvetica"/>
          <w:i/>
        </w:rPr>
        <w:t>sysName</w:t>
      </w:r>
      <w:r>
        <w:rPr>
          <w:rFonts w:ascii="Helvetica" w:hAnsi="Helvetica"/>
        </w:rPr>
        <w:t xml:space="preserve"> - nazwę systemu </w:t>
      </w:r>
    </w:p>
    <w:p w:rsidR="0040725B" w:rsidRDefault="004C64F7" w:rsidP="00B452E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4C64F7">
        <w:rPr>
          <w:rFonts w:ascii="Helvetica" w:hAnsi="Helvetica"/>
          <w:i/>
        </w:rPr>
        <w:t>sysLocation</w:t>
      </w:r>
      <w:r>
        <w:rPr>
          <w:rFonts w:ascii="Helvetica" w:hAnsi="Helvetica"/>
        </w:rPr>
        <w:t xml:space="preserve"> - </w:t>
      </w:r>
      <w:r w:rsidR="0040725B">
        <w:rPr>
          <w:rFonts w:ascii="Helvetica" w:hAnsi="Helvetica"/>
        </w:rPr>
        <w:t>opcjonalnie jego lokalizacje</w:t>
      </w:r>
      <w:r>
        <w:rPr>
          <w:rFonts w:ascii="Helvetica" w:hAnsi="Helvetica"/>
        </w:rPr>
        <w:t xml:space="preserve"> </w:t>
      </w:r>
    </w:p>
    <w:p w:rsidR="0040725B" w:rsidRDefault="004C64F7" w:rsidP="00B452E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4C64F7">
        <w:rPr>
          <w:rFonts w:ascii="Helvetica" w:hAnsi="Helvetica"/>
          <w:i/>
        </w:rPr>
        <w:t>sysServices</w:t>
      </w:r>
      <w:r>
        <w:rPr>
          <w:rFonts w:ascii="Helvetica" w:hAnsi="Helvetica"/>
        </w:rPr>
        <w:t xml:space="preserve"> - </w:t>
      </w:r>
      <w:r w:rsidR="0040725B">
        <w:rPr>
          <w:rFonts w:ascii="Helvetica" w:hAnsi="Helvetica"/>
        </w:rPr>
        <w:t>ilość</w:t>
      </w:r>
      <w:r>
        <w:rPr>
          <w:rFonts w:ascii="Helvetica" w:hAnsi="Helvetica"/>
        </w:rPr>
        <w:t xml:space="preserve"> oferowanych usług </w:t>
      </w:r>
      <w:r w:rsidR="0040725B">
        <w:rPr>
          <w:rFonts w:ascii="Helvetica" w:hAnsi="Helvetica"/>
        </w:rPr>
        <w:br/>
      </w:r>
    </w:p>
    <w:p w:rsidR="0040725B" w:rsidRDefault="0040725B" w:rsidP="0040725B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4A737A">
        <w:rPr>
          <w:rFonts w:ascii="Helvetica" w:hAnsi="Helvetica"/>
          <w:b/>
        </w:rPr>
        <w:t>interfaces</w:t>
      </w:r>
      <w:r w:rsidR="004A737A">
        <w:rPr>
          <w:rFonts w:ascii="Helvetica" w:hAnsi="Helvetica"/>
        </w:rPr>
        <w:t xml:space="preserve"> – informacje o interfejsach systemowych</w:t>
      </w:r>
    </w:p>
    <w:p w:rsidR="0040725B" w:rsidRDefault="004A737A" w:rsidP="0040725B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4A737A">
        <w:rPr>
          <w:rFonts w:ascii="Helvetica" w:hAnsi="Helvetica"/>
          <w:i/>
        </w:rPr>
        <w:t>ifNumber</w:t>
      </w:r>
      <w:r>
        <w:rPr>
          <w:rFonts w:ascii="Helvetica" w:hAnsi="Helvetica"/>
        </w:rPr>
        <w:t xml:space="preserve"> - </w:t>
      </w:r>
      <w:r w:rsidR="0040725B">
        <w:rPr>
          <w:rFonts w:ascii="Helvetica" w:hAnsi="Helvetica"/>
        </w:rPr>
        <w:t xml:space="preserve">liczba interfejsów sieciowych obecnych w tym urządzeniu niezależnie działających czy nie </w:t>
      </w:r>
    </w:p>
    <w:p w:rsidR="0040725B" w:rsidRDefault="0040725B" w:rsidP="0040725B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4A737A">
        <w:rPr>
          <w:rFonts w:ascii="Helvetica" w:hAnsi="Helvetica"/>
          <w:i/>
        </w:rPr>
        <w:t>ifTable</w:t>
      </w:r>
      <w:r>
        <w:rPr>
          <w:rFonts w:ascii="Helvetica" w:hAnsi="Helvetica"/>
        </w:rPr>
        <w:t>: lista interfejsów sieciowych obecnych w tym urządzeniu (nazwa, typ, producent, aktualny stan itp.)</w:t>
      </w:r>
    </w:p>
    <w:p w:rsidR="004A737A" w:rsidRDefault="004A737A" w:rsidP="004A737A">
      <w:pPr>
        <w:pStyle w:val="ListParagraph"/>
        <w:jc w:val="both"/>
        <w:rPr>
          <w:rFonts w:ascii="Helvetica" w:hAnsi="Helvetica"/>
        </w:rPr>
      </w:pPr>
    </w:p>
    <w:p w:rsidR="0040725B" w:rsidRDefault="0040725B" w:rsidP="0040725B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4A737A">
        <w:rPr>
          <w:rFonts w:ascii="Helvetica" w:hAnsi="Helvetica"/>
          <w:b/>
        </w:rPr>
        <w:t>at</w:t>
      </w:r>
      <w:r w:rsidR="004A737A">
        <w:rPr>
          <w:rFonts w:ascii="Helvetica" w:hAnsi="Helvetica"/>
        </w:rPr>
        <w:t xml:space="preserve"> – konwersja adresów protokołu IP</w:t>
      </w:r>
    </w:p>
    <w:p w:rsidR="0040725B" w:rsidRDefault="004A737A" w:rsidP="0040725B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4A737A">
        <w:rPr>
          <w:rFonts w:ascii="Helvetica" w:hAnsi="Helvetica"/>
          <w:i/>
        </w:rPr>
        <w:t>atTable</w:t>
      </w:r>
      <w:r>
        <w:rPr>
          <w:rFonts w:ascii="Helvetica" w:hAnsi="Helvetica"/>
        </w:rPr>
        <w:t xml:space="preserve"> - </w:t>
      </w:r>
      <w:r w:rsidR="0040725B">
        <w:rPr>
          <w:rFonts w:ascii="Helvetica" w:hAnsi="Helvetica"/>
        </w:rPr>
        <w:t xml:space="preserve">tablica translacji adresów na ich fizyczne odpowiedniki </w:t>
      </w:r>
    </w:p>
    <w:p w:rsidR="004A737A" w:rsidRDefault="004A737A" w:rsidP="004A737A">
      <w:pPr>
        <w:pStyle w:val="ListParagraph"/>
        <w:jc w:val="both"/>
        <w:rPr>
          <w:rFonts w:ascii="Helvetica" w:hAnsi="Helvetica"/>
        </w:rPr>
      </w:pPr>
    </w:p>
    <w:p w:rsidR="0040725B" w:rsidRDefault="0040725B" w:rsidP="0040725B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A032B5">
        <w:rPr>
          <w:rFonts w:ascii="Helvetica" w:hAnsi="Helvetica"/>
          <w:b/>
        </w:rPr>
        <w:t>ip</w:t>
      </w:r>
      <w:r w:rsidR="004A737A">
        <w:rPr>
          <w:rFonts w:ascii="Helvetica" w:hAnsi="Helvetica"/>
        </w:rPr>
        <w:t xml:space="preserve"> – obiekty protokołu I</w:t>
      </w:r>
      <w:r w:rsidR="002676DE">
        <w:rPr>
          <w:rFonts w:ascii="Helvetica" w:hAnsi="Helvetica"/>
        </w:rPr>
        <w:t xml:space="preserve">nternet </w:t>
      </w:r>
      <w:r w:rsidR="004A737A">
        <w:rPr>
          <w:rFonts w:ascii="Helvetica" w:hAnsi="Helvetica"/>
        </w:rPr>
        <w:t>P</w:t>
      </w:r>
      <w:r w:rsidR="002676DE">
        <w:rPr>
          <w:rFonts w:ascii="Helvetica" w:hAnsi="Helvetica"/>
        </w:rPr>
        <w:t>rotocol</w:t>
      </w:r>
      <w:r w:rsidR="004C64F7">
        <w:rPr>
          <w:rFonts w:ascii="Helvetica" w:hAnsi="Helvetica"/>
        </w:rPr>
        <w:t xml:space="preserve"> </w:t>
      </w:r>
    </w:p>
    <w:p w:rsidR="004A737A" w:rsidRDefault="004C64F7" w:rsidP="004A737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133EAF">
        <w:rPr>
          <w:rFonts w:ascii="Helvetica" w:hAnsi="Helvetica"/>
          <w:i/>
        </w:rPr>
        <w:t>ipForwarding</w:t>
      </w:r>
      <w:r>
        <w:rPr>
          <w:rFonts w:ascii="Helvetica" w:hAnsi="Helvetica"/>
        </w:rPr>
        <w:t xml:space="preserve"> – informuje czy urządzenie zachowuje się jako brama forwardująca datagramy ip przychodzące do niej czy nie</w:t>
      </w:r>
    </w:p>
    <w:p w:rsidR="004C64F7" w:rsidRDefault="004C64F7" w:rsidP="004A737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133EAF">
        <w:rPr>
          <w:rFonts w:ascii="Helvetica" w:hAnsi="Helvetica"/>
          <w:i/>
        </w:rPr>
        <w:t>ipDefaultTTL</w:t>
      </w:r>
      <w:r>
        <w:rPr>
          <w:rFonts w:ascii="Helvetica" w:hAnsi="Helvetica"/>
        </w:rPr>
        <w:t xml:space="preserve"> – domyślna wartość ustawiana w polu TTL datagramów</w:t>
      </w:r>
    </w:p>
    <w:p w:rsidR="004C64F7" w:rsidRDefault="004C64F7" w:rsidP="004A737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133EAF">
        <w:rPr>
          <w:rFonts w:ascii="Helvetica" w:hAnsi="Helvetica"/>
          <w:i/>
        </w:rPr>
        <w:t>ipInReceives</w:t>
      </w:r>
      <w:r>
        <w:rPr>
          <w:rFonts w:ascii="Helvetica" w:hAnsi="Helvetica"/>
        </w:rPr>
        <w:t xml:space="preserve"> – całkowita liczba otrzymanych datagramów (w tym tych </w:t>
      </w:r>
      <w:r w:rsidR="00A032B5">
        <w:rPr>
          <w:rFonts w:ascii="Helvetica" w:hAnsi="Helvetica"/>
        </w:rPr>
        <w:t>błędnych)</w:t>
      </w:r>
    </w:p>
    <w:p w:rsidR="00A032B5" w:rsidRDefault="00A032B5" w:rsidP="004A737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133EAF">
        <w:rPr>
          <w:rFonts w:ascii="Helvetica" w:hAnsi="Helvetica"/>
          <w:i/>
        </w:rPr>
        <w:lastRenderedPageBreak/>
        <w:t>ipInHdrError</w:t>
      </w:r>
      <w:r>
        <w:rPr>
          <w:rFonts w:ascii="Helvetica" w:hAnsi="Helvetica"/>
        </w:rPr>
        <w:t xml:space="preserve"> / </w:t>
      </w:r>
      <w:r w:rsidRPr="00133EAF">
        <w:rPr>
          <w:rFonts w:ascii="Helvetica" w:hAnsi="Helvetica"/>
          <w:i/>
        </w:rPr>
        <w:t>ipInAddrError</w:t>
      </w:r>
      <w:r>
        <w:rPr>
          <w:rFonts w:ascii="Helvetica" w:hAnsi="Helvetica"/>
        </w:rPr>
        <w:t xml:space="preserve"> – liczba odrzuconych datagramów z powodu </w:t>
      </w:r>
    </w:p>
    <w:p w:rsidR="00A032B5" w:rsidRDefault="00DF084E" w:rsidP="004A737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133EAF">
        <w:rPr>
          <w:rFonts w:ascii="Helvetica" w:hAnsi="Helvetica"/>
          <w:i/>
        </w:rPr>
        <w:t>ipIsUnknownProtos</w:t>
      </w:r>
      <w:r>
        <w:rPr>
          <w:rFonts w:ascii="Helvetica" w:hAnsi="Helvetica"/>
        </w:rPr>
        <w:t xml:space="preserve"> – liczba poprawnie odebranych datagramów odrzuconych z powodu niezgodności protokołów</w:t>
      </w:r>
    </w:p>
    <w:p w:rsidR="00DF084E" w:rsidRDefault="00DF084E" w:rsidP="004A737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133EAF">
        <w:rPr>
          <w:rFonts w:ascii="Helvetica" w:hAnsi="Helvetica"/>
          <w:i/>
        </w:rPr>
        <w:t>ipOutNoRoutes</w:t>
      </w:r>
      <w:r>
        <w:rPr>
          <w:rFonts w:ascii="Helvetica" w:hAnsi="Helvetica"/>
        </w:rPr>
        <w:t xml:space="preserve"> – liczba datagramów odrzuconych z powodu niemożności przesłania ich do ich celu</w:t>
      </w:r>
    </w:p>
    <w:p w:rsidR="00DF084E" w:rsidRDefault="00DF084E" w:rsidP="004A737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133EAF">
        <w:rPr>
          <w:rFonts w:ascii="Helvetica" w:hAnsi="Helvetica"/>
          <w:i/>
        </w:rPr>
        <w:t>ipAddrTable</w:t>
      </w:r>
      <w:r>
        <w:rPr>
          <w:rFonts w:ascii="Helvetica" w:hAnsi="Helvetica"/>
        </w:rPr>
        <w:t xml:space="preserve"> –</w:t>
      </w:r>
      <w:r w:rsidR="00133EAF">
        <w:rPr>
          <w:rFonts w:ascii="Helvetica" w:hAnsi="Helvetica"/>
        </w:rPr>
        <w:t xml:space="preserve"> tablica</w:t>
      </w:r>
      <w:r>
        <w:rPr>
          <w:rFonts w:ascii="Helvetica" w:hAnsi="Helvetica"/>
        </w:rPr>
        <w:t xml:space="preserve"> informacji adresowych ważnych </w:t>
      </w:r>
      <w:r w:rsidR="00133EAF">
        <w:rPr>
          <w:rFonts w:ascii="Helvetica" w:hAnsi="Helvetica"/>
        </w:rPr>
        <w:t>dla tego urządzenia</w:t>
      </w:r>
    </w:p>
    <w:p w:rsidR="00133EAF" w:rsidRDefault="00133EAF" w:rsidP="004A737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133EAF">
        <w:rPr>
          <w:rFonts w:ascii="Helvetica" w:hAnsi="Helvetica"/>
          <w:i/>
        </w:rPr>
        <w:t>ipRouteTable</w:t>
      </w:r>
      <w:r>
        <w:rPr>
          <w:rFonts w:ascii="Helvetica" w:hAnsi="Helvetica"/>
        </w:rPr>
        <w:t xml:space="preserve"> – tablica routingowa urządzenia</w:t>
      </w:r>
    </w:p>
    <w:p w:rsidR="00133EAF" w:rsidRDefault="00133EAF" w:rsidP="004A737A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133EAF">
        <w:rPr>
          <w:rFonts w:ascii="Helvetica" w:hAnsi="Helvetica"/>
          <w:i/>
        </w:rPr>
        <w:t>ipNetToMediaTable</w:t>
      </w:r>
      <w:r>
        <w:rPr>
          <w:rFonts w:ascii="Helvetica" w:hAnsi="Helvetica"/>
        </w:rPr>
        <w:t xml:space="preserve"> – tablica służąca do mapowania adresów IP na adresy fizyczne</w:t>
      </w:r>
    </w:p>
    <w:p w:rsidR="00133EAF" w:rsidRDefault="00133EAF" w:rsidP="00133EAF">
      <w:pPr>
        <w:pStyle w:val="ListParagraph"/>
        <w:jc w:val="both"/>
        <w:rPr>
          <w:rFonts w:ascii="Helvetica" w:hAnsi="Helvetica"/>
        </w:rPr>
      </w:pPr>
    </w:p>
    <w:p w:rsidR="00133EAF" w:rsidRPr="00426CD5" w:rsidRDefault="00426CD5" w:rsidP="00133EAF">
      <w:pPr>
        <w:pStyle w:val="ListParagraph"/>
        <w:numPr>
          <w:ilvl w:val="0"/>
          <w:numId w:val="3"/>
        </w:numPr>
        <w:jc w:val="both"/>
        <w:rPr>
          <w:rFonts w:ascii="Helvetica" w:hAnsi="Helvetica"/>
          <w:lang w:val="en-US"/>
        </w:rPr>
      </w:pPr>
      <w:r w:rsidRPr="00426CD5">
        <w:rPr>
          <w:rFonts w:ascii="Helvetica" w:hAnsi="Helvetica"/>
          <w:b/>
          <w:lang w:val="en-US"/>
        </w:rPr>
        <w:t>icmp</w:t>
      </w:r>
      <w:r w:rsidRPr="00426CD5">
        <w:rPr>
          <w:rFonts w:ascii="Helvetica" w:hAnsi="Helvetica"/>
          <w:lang w:val="en-US"/>
        </w:rPr>
        <w:t xml:space="preserve"> – obiekty protokołu Internet Control Message Protocol</w:t>
      </w:r>
    </w:p>
    <w:p w:rsidR="00426CD5" w:rsidRPr="00426CD5" w:rsidRDefault="00426CD5" w:rsidP="00426CD5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2676DE">
        <w:rPr>
          <w:rFonts w:ascii="Helvetica" w:hAnsi="Helvetica"/>
          <w:i/>
        </w:rPr>
        <w:t>icmpInMsgs</w:t>
      </w:r>
      <w:r w:rsidRPr="00426CD5">
        <w:rPr>
          <w:rFonts w:ascii="Helvetica" w:hAnsi="Helvetica"/>
        </w:rPr>
        <w:t xml:space="preserve"> – całkowita liczba odebranych przez urządzenie wiadomości ICMP</w:t>
      </w:r>
    </w:p>
    <w:p w:rsidR="00426CD5" w:rsidRDefault="00426CD5" w:rsidP="00426CD5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2676DE">
        <w:rPr>
          <w:rFonts w:ascii="Helvetica" w:hAnsi="Helvetica"/>
          <w:i/>
        </w:rPr>
        <w:t>icmpInDestUnreachs</w:t>
      </w:r>
      <w:r>
        <w:rPr>
          <w:rFonts w:ascii="Helvetica" w:hAnsi="Helvetica"/>
        </w:rPr>
        <w:t xml:space="preserve"> – liczba otrzymanych wiadomość „cel nieosiągalny”</w:t>
      </w:r>
    </w:p>
    <w:p w:rsidR="00426CD5" w:rsidRDefault="002676DE" w:rsidP="00426CD5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2676DE">
        <w:rPr>
          <w:rFonts w:ascii="Helvetica" w:hAnsi="Helvetica"/>
          <w:i/>
        </w:rPr>
        <w:t>icmpInTimeExcds</w:t>
      </w:r>
      <w:r>
        <w:rPr>
          <w:rFonts w:ascii="Helvetica" w:hAnsi="Helvetica"/>
        </w:rPr>
        <w:t xml:space="preserve"> – liczba otrzymanych wiadomości „przekroczono czas żądania”</w:t>
      </w:r>
    </w:p>
    <w:p w:rsidR="002676DE" w:rsidRDefault="002676DE" w:rsidP="00426CD5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2676DE">
        <w:rPr>
          <w:rFonts w:ascii="Helvetica" w:hAnsi="Helvetica"/>
          <w:i/>
        </w:rPr>
        <w:t>icmpOutMsgs</w:t>
      </w:r>
      <w:r>
        <w:rPr>
          <w:rFonts w:ascii="Helvetica" w:hAnsi="Helvetica"/>
        </w:rPr>
        <w:t xml:space="preserve"> – liczba wiadomości ICMP wysłanych przez urządzenie</w:t>
      </w:r>
    </w:p>
    <w:p w:rsidR="002676DE" w:rsidRDefault="002676DE" w:rsidP="002676DE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2676DE">
        <w:rPr>
          <w:rFonts w:ascii="Helvetica" w:hAnsi="Helvetica"/>
          <w:i/>
        </w:rPr>
        <w:t>icmpOutErrors</w:t>
      </w:r>
      <w:r>
        <w:rPr>
          <w:rFonts w:ascii="Helvetica" w:hAnsi="Helvetica"/>
        </w:rPr>
        <w:t xml:space="preserve"> – liczba wiadomości ICMP niewysłanych przez urządzenie z powodu błędów</w:t>
      </w:r>
    </w:p>
    <w:p w:rsidR="002676DE" w:rsidRDefault="002676DE" w:rsidP="002676DE">
      <w:pPr>
        <w:pStyle w:val="ListParagraph"/>
        <w:jc w:val="both"/>
        <w:rPr>
          <w:rFonts w:ascii="Helvetica" w:hAnsi="Helvetica"/>
        </w:rPr>
      </w:pPr>
    </w:p>
    <w:p w:rsidR="002676DE" w:rsidRDefault="002676DE" w:rsidP="002676DE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b/>
        </w:rPr>
        <w:t>tcp</w:t>
      </w:r>
      <w:r>
        <w:rPr>
          <w:rFonts w:ascii="Helvetica" w:hAnsi="Helvetica"/>
        </w:rPr>
        <w:t xml:space="preserve"> – obiekty protokołu Transmission Control Protocol</w:t>
      </w:r>
    </w:p>
    <w:p w:rsidR="002676DE" w:rsidRDefault="002676DE" w:rsidP="002676DE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i/>
        </w:rPr>
        <w:t>tcpRtoAlgorithm</w:t>
      </w:r>
      <w:r>
        <w:rPr>
          <w:rFonts w:ascii="Helvetica" w:hAnsi="Helvetica"/>
        </w:rPr>
        <w:t xml:space="preserve"> – rodzaj algorytmu używanego przy określaniu timeout’u</w:t>
      </w:r>
    </w:p>
    <w:p w:rsidR="002676DE" w:rsidRDefault="002676DE" w:rsidP="002676DE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i/>
        </w:rPr>
        <w:t>tcpMaxConn</w:t>
      </w:r>
      <w:r>
        <w:rPr>
          <w:rFonts w:ascii="Helvetica" w:hAnsi="Helvetica"/>
        </w:rPr>
        <w:t xml:space="preserve"> – maksymalna ilość połączeń TCP jakie obsłużyć może dane urządzenie. W przypadku gdy maksymalna ich liczba jest ustalana dynamicznie, przyjmuje wartość -1</w:t>
      </w:r>
    </w:p>
    <w:p w:rsidR="002676DE" w:rsidRDefault="002676DE" w:rsidP="002676DE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i/>
        </w:rPr>
        <w:t>tcpCurrEstab</w:t>
      </w:r>
      <w:r>
        <w:rPr>
          <w:rFonts w:ascii="Helvetica" w:hAnsi="Helvetica"/>
        </w:rPr>
        <w:t xml:space="preserve"> – aktualna liczba połączeń o statusach „utworzone” lub „czeka na zamknięcie”</w:t>
      </w:r>
    </w:p>
    <w:p w:rsidR="002676DE" w:rsidRDefault="002676DE" w:rsidP="002676DE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i/>
        </w:rPr>
        <w:t>tcpInSegs</w:t>
      </w:r>
      <w:r>
        <w:rPr>
          <w:rFonts w:ascii="Helvetica" w:hAnsi="Helvetica"/>
        </w:rPr>
        <w:t xml:space="preserve"> – całkowita liczba otrzymanych przez urządzenie segmentów, wliczając te błędne</w:t>
      </w:r>
    </w:p>
    <w:p w:rsidR="002676DE" w:rsidRDefault="002676DE" w:rsidP="002676DE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i/>
        </w:rPr>
        <w:t>tcpConnTable</w:t>
      </w:r>
      <w:r>
        <w:rPr>
          <w:rFonts w:ascii="Helvetica" w:hAnsi="Helvetica"/>
        </w:rPr>
        <w:t xml:space="preserve"> – lista znanych połączeń TCP wraz z opisem (stan, nazwa, adresy itp.)</w:t>
      </w:r>
    </w:p>
    <w:p w:rsidR="002676DE" w:rsidRDefault="002676DE" w:rsidP="002676DE">
      <w:pPr>
        <w:pStyle w:val="ListParagraph"/>
        <w:jc w:val="both"/>
        <w:rPr>
          <w:rFonts w:ascii="Helvetica" w:hAnsi="Helvetica"/>
        </w:rPr>
      </w:pPr>
    </w:p>
    <w:p w:rsidR="002676DE" w:rsidRDefault="002676DE" w:rsidP="002676DE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b/>
        </w:rPr>
        <w:t>udp</w:t>
      </w:r>
      <w:r>
        <w:rPr>
          <w:rFonts w:ascii="Helvetica" w:hAnsi="Helvetica"/>
        </w:rPr>
        <w:t xml:space="preserve"> – obiekty </w:t>
      </w:r>
      <w:r w:rsidR="0070784C">
        <w:rPr>
          <w:rFonts w:ascii="Helvetica" w:hAnsi="Helvetica"/>
        </w:rPr>
        <w:t>protokołu User Datagram Protoc</w:t>
      </w:r>
      <w:r>
        <w:rPr>
          <w:rFonts w:ascii="Helvetica" w:hAnsi="Helvetica"/>
        </w:rPr>
        <w:t>ol</w:t>
      </w:r>
    </w:p>
    <w:p w:rsidR="002676DE" w:rsidRDefault="0070784C" w:rsidP="0070784C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i/>
        </w:rPr>
        <w:t>udpInDatagrams</w:t>
      </w:r>
      <w:r>
        <w:rPr>
          <w:rFonts w:ascii="Helvetica" w:hAnsi="Helvetica"/>
        </w:rPr>
        <w:t xml:space="preserve"> – liczba datagramów UDP dostarczonych do użytkowników UDP</w:t>
      </w:r>
    </w:p>
    <w:p w:rsidR="0070784C" w:rsidRDefault="0070784C" w:rsidP="0070784C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i/>
        </w:rPr>
        <w:t>udpNoPorts</w:t>
      </w:r>
      <w:r>
        <w:rPr>
          <w:rFonts w:ascii="Helvetica" w:hAnsi="Helvetica"/>
        </w:rPr>
        <w:t xml:space="preserve"> – całkowita liczba otrzymanych datagramów UDP dla których nie odnaleziono aplikacji na wyznaczonym porcie</w:t>
      </w:r>
    </w:p>
    <w:p w:rsidR="0070784C" w:rsidRDefault="0070784C" w:rsidP="0070784C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i/>
        </w:rPr>
        <w:t>udpTable</w:t>
      </w:r>
      <w:r>
        <w:rPr>
          <w:rFonts w:ascii="Helvetica" w:hAnsi="Helvetica"/>
        </w:rPr>
        <w:t xml:space="preserve"> – tablica zawierająca informację o aplikacjach nasłuchujących UDP</w:t>
      </w:r>
    </w:p>
    <w:p w:rsidR="0070784C" w:rsidRDefault="0070784C" w:rsidP="0070784C">
      <w:pPr>
        <w:pStyle w:val="ListParagraph"/>
        <w:jc w:val="both"/>
        <w:rPr>
          <w:rFonts w:ascii="Helvetica" w:hAnsi="Helvetica"/>
        </w:rPr>
      </w:pPr>
    </w:p>
    <w:p w:rsidR="0070784C" w:rsidRDefault="0070784C" w:rsidP="0070784C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b/>
        </w:rPr>
        <w:t>egp</w:t>
      </w:r>
      <w:r>
        <w:rPr>
          <w:rFonts w:ascii="Helvetica" w:hAnsi="Helvetica"/>
        </w:rPr>
        <w:t xml:space="preserve"> – obiekty protokołu Exterior Gateway Protocol</w:t>
      </w:r>
    </w:p>
    <w:p w:rsidR="0070784C" w:rsidRDefault="0070784C" w:rsidP="0070784C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i/>
        </w:rPr>
        <w:t>egpInMsgs</w:t>
      </w:r>
      <w:r>
        <w:rPr>
          <w:rFonts w:ascii="Helvetica" w:hAnsi="Helvetica"/>
        </w:rPr>
        <w:t xml:space="preserve"> – liczba poprawnie odebranych wiadomości EGP</w:t>
      </w:r>
    </w:p>
    <w:p w:rsidR="0070784C" w:rsidRDefault="0070784C" w:rsidP="0070784C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i/>
        </w:rPr>
        <w:t>egpNeighTable</w:t>
      </w:r>
      <w:r>
        <w:rPr>
          <w:rFonts w:ascii="Helvetica" w:hAnsi="Helvetica"/>
        </w:rPr>
        <w:t xml:space="preserve"> – tablica sąsiedztwa EGP</w:t>
      </w:r>
    </w:p>
    <w:p w:rsidR="0070784C" w:rsidRDefault="0070784C" w:rsidP="0070784C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i/>
        </w:rPr>
        <w:t>egpAs</w:t>
      </w:r>
      <w:r>
        <w:rPr>
          <w:rFonts w:ascii="Helvetica" w:hAnsi="Helvetica"/>
        </w:rPr>
        <w:t xml:space="preserve"> – autonomiczny numer systemu tego EGP</w:t>
      </w:r>
    </w:p>
    <w:p w:rsidR="0070784C" w:rsidRDefault="0070784C" w:rsidP="0070784C">
      <w:pPr>
        <w:pStyle w:val="ListParagraph"/>
        <w:jc w:val="both"/>
        <w:rPr>
          <w:rFonts w:ascii="Helvetica" w:hAnsi="Helvetica"/>
        </w:rPr>
      </w:pPr>
    </w:p>
    <w:p w:rsidR="0070784C" w:rsidRDefault="0070784C" w:rsidP="0070784C">
      <w:pPr>
        <w:pStyle w:val="ListParagraph"/>
        <w:jc w:val="both"/>
        <w:rPr>
          <w:rFonts w:ascii="Helvetica" w:hAnsi="Helvetica"/>
        </w:rPr>
      </w:pPr>
    </w:p>
    <w:p w:rsidR="0070784C" w:rsidRDefault="0070784C" w:rsidP="0070784C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70784C">
        <w:rPr>
          <w:rFonts w:ascii="Helvetica" w:hAnsi="Helvetica"/>
          <w:b/>
        </w:rPr>
        <w:lastRenderedPageBreak/>
        <w:t>snmp</w:t>
      </w:r>
      <w:r>
        <w:rPr>
          <w:rFonts w:ascii="Helvetica" w:hAnsi="Helvetica"/>
        </w:rPr>
        <w:t xml:space="preserve"> – obiekty protokołu SNMP</w:t>
      </w:r>
    </w:p>
    <w:p w:rsidR="0070784C" w:rsidRDefault="0070784C" w:rsidP="0070784C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snmpInPkts</w:t>
      </w:r>
      <w:r>
        <w:rPr>
          <w:rFonts w:ascii="Helvetica" w:hAnsi="Helvetica"/>
        </w:rPr>
        <w:t xml:space="preserve"> – całkowita liczba wiadomości dostarczonych do jednostki SNMP </w:t>
      </w:r>
    </w:p>
    <w:p w:rsidR="0070784C" w:rsidRDefault="0070784C" w:rsidP="0070784C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snmpInBadCommunityNames</w:t>
      </w:r>
      <w:r>
        <w:rPr>
          <w:rFonts w:ascii="Helvetica" w:hAnsi="Helvetica"/>
        </w:rPr>
        <w:t xml:space="preserve"> – całkowita liczba wiadomości dostarczonych do jednostki SNMP używających nieznanych wartości parametru „community name”</w:t>
      </w:r>
    </w:p>
    <w:p w:rsidR="0070784C" w:rsidRDefault="0070784C" w:rsidP="0070784C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snmpOutSetRequests</w:t>
      </w:r>
      <w:r>
        <w:rPr>
          <w:rFonts w:ascii="Helvetica" w:hAnsi="Helvetica"/>
        </w:rPr>
        <w:t xml:space="preserve"> – liczba poleceń SNMP SET wysłanych przez tą jednostkę SNMP</w:t>
      </w:r>
    </w:p>
    <w:p w:rsidR="0070784C" w:rsidRDefault="0070784C" w:rsidP="0070784C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snmpEnableAuthenTraps</w:t>
      </w:r>
      <w:r>
        <w:rPr>
          <w:rFonts w:ascii="Helvetica" w:hAnsi="Helvetica"/>
        </w:rPr>
        <w:t xml:space="preserve"> – określa czy agent </w:t>
      </w:r>
      <w:r w:rsidR="00C30E99">
        <w:rPr>
          <w:rFonts w:ascii="Helvetica" w:hAnsi="Helvetica"/>
        </w:rPr>
        <w:t>SNMP ma pozwolenie na generowanie Traps po fiasku autentykacji</w:t>
      </w:r>
    </w:p>
    <w:p w:rsidR="00C30E99" w:rsidRPr="00C30E99" w:rsidRDefault="00C30E99" w:rsidP="00C30E99">
      <w:pPr>
        <w:jc w:val="both"/>
        <w:rPr>
          <w:rFonts w:ascii="Helvetica" w:hAnsi="Helvetica"/>
        </w:rPr>
      </w:pPr>
    </w:p>
    <w:p w:rsidR="0070784C" w:rsidRDefault="00C30E99" w:rsidP="0070784C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b/>
        </w:rPr>
        <w:t>host</w:t>
      </w:r>
      <w:r>
        <w:rPr>
          <w:rFonts w:ascii="Helvetica" w:hAnsi="Helvetica"/>
        </w:rPr>
        <w:t xml:space="preserve"> – obiekty zawierające informacje o hoście</w:t>
      </w:r>
    </w:p>
    <w:p w:rsidR="00C30E99" w:rsidRDefault="00C30E99" w:rsidP="00C30E99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hrSystemDate</w:t>
      </w:r>
      <w:r>
        <w:rPr>
          <w:rFonts w:ascii="Helvetica" w:hAnsi="Helvetica"/>
        </w:rPr>
        <w:t xml:space="preserve"> – zawiera aktualną datę systemową</w:t>
      </w:r>
    </w:p>
    <w:p w:rsidR="00C30E99" w:rsidRDefault="00C30E99" w:rsidP="00C30E99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hrSystemNumUsers</w:t>
      </w:r>
      <w:r>
        <w:rPr>
          <w:rFonts w:ascii="Helvetica" w:hAnsi="Helvetica"/>
        </w:rPr>
        <w:t xml:space="preserve"> – liczba sesji użytkowników dla których system przechowuje informacje o ich stanie</w:t>
      </w:r>
    </w:p>
    <w:p w:rsidR="00C30E99" w:rsidRDefault="00C30E99" w:rsidP="00C30E99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hrSystemProcesses</w:t>
      </w:r>
      <w:r>
        <w:rPr>
          <w:rFonts w:ascii="Helvetica" w:hAnsi="Helvetica"/>
        </w:rPr>
        <w:t xml:space="preserve"> – liczba aktualnie działających w systemie procesów</w:t>
      </w:r>
    </w:p>
    <w:p w:rsidR="00C30E99" w:rsidRDefault="00C30E99" w:rsidP="00C30E99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hrMemorySize</w:t>
      </w:r>
      <w:r>
        <w:rPr>
          <w:rFonts w:ascii="Helvetica" w:hAnsi="Helvetica"/>
        </w:rPr>
        <w:t xml:space="preserve"> – ilość pamięci fizycznej RAM posiadanej przez hosta</w:t>
      </w:r>
    </w:p>
    <w:p w:rsidR="00C30E99" w:rsidRDefault="00C30E99" w:rsidP="00C30E99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hrStorageTable</w:t>
      </w:r>
      <w:r>
        <w:rPr>
          <w:rFonts w:ascii="Helvetica" w:hAnsi="Helvetica"/>
        </w:rPr>
        <w:t xml:space="preserve"> – konceptualna lista pamięci operacyjnej hosta</w:t>
      </w:r>
    </w:p>
    <w:p w:rsidR="00C30E99" w:rsidRDefault="00C30E99" w:rsidP="00C30E99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hrDeviceTable</w:t>
      </w:r>
      <w:r>
        <w:rPr>
          <w:rFonts w:ascii="Helvetica" w:hAnsi="Helvetica"/>
        </w:rPr>
        <w:t xml:space="preserve"> – tabela urządzeń podłączonych do hosta</w:t>
      </w:r>
    </w:p>
    <w:p w:rsidR="00C30E99" w:rsidRDefault="00C30E99" w:rsidP="00C30E99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hrFSTable</w:t>
      </w:r>
      <w:r>
        <w:rPr>
          <w:rFonts w:ascii="Helvetica" w:hAnsi="Helvetica"/>
        </w:rPr>
        <w:t xml:space="preserve"> – tabela systemów plików używanych w hoście</w:t>
      </w:r>
    </w:p>
    <w:p w:rsidR="00C30E99" w:rsidRDefault="00C30E99" w:rsidP="00C30E99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hrSWRunTable</w:t>
      </w:r>
      <w:r>
        <w:rPr>
          <w:rFonts w:ascii="Helvetica" w:hAnsi="Helvetica"/>
        </w:rPr>
        <w:t xml:space="preserve"> – tabela aplikacji działających w hoście</w:t>
      </w:r>
    </w:p>
    <w:p w:rsidR="009B1CE2" w:rsidRDefault="00C30E99" w:rsidP="009B1CE2">
      <w:pPr>
        <w:pStyle w:val="ListParagraph"/>
        <w:numPr>
          <w:ilvl w:val="1"/>
          <w:numId w:val="3"/>
        </w:numPr>
        <w:jc w:val="both"/>
        <w:rPr>
          <w:rFonts w:ascii="Helvetica" w:hAnsi="Helvetica"/>
        </w:rPr>
      </w:pPr>
      <w:r w:rsidRPr="009B1CE2">
        <w:rPr>
          <w:rFonts w:ascii="Helvetica" w:hAnsi="Helvetica"/>
          <w:i/>
        </w:rPr>
        <w:t>hrSWInstalledTable</w:t>
      </w:r>
      <w:r>
        <w:rPr>
          <w:rFonts w:ascii="Helvetica" w:hAnsi="Helvetica"/>
        </w:rPr>
        <w:t xml:space="preserve"> – tabela aplikacji akt</w:t>
      </w:r>
      <w:r w:rsidR="009B1CE2">
        <w:rPr>
          <w:rFonts w:ascii="Helvetica" w:hAnsi="Helvetica"/>
        </w:rPr>
        <w:t>ualnie zainstalowanych na hoście</w:t>
      </w:r>
    </w:p>
    <w:p w:rsidR="009B1CE2" w:rsidRDefault="009B1CE2" w:rsidP="009B1CE2">
      <w:pPr>
        <w:pStyle w:val="ListParagraph"/>
        <w:jc w:val="both"/>
        <w:rPr>
          <w:rFonts w:ascii="Helvetica" w:hAnsi="Helvetica"/>
        </w:rPr>
      </w:pPr>
    </w:p>
    <w:p w:rsidR="009B1CE2" w:rsidRDefault="009B1CE2" w:rsidP="009B1CE2">
      <w:pPr>
        <w:jc w:val="both"/>
        <w:rPr>
          <w:rFonts w:ascii="Helvetica" w:hAnsi="Helvetica"/>
        </w:rPr>
      </w:pPr>
      <w:r>
        <w:rPr>
          <w:rFonts w:ascii="Helvetica" w:hAnsi="Helvetica"/>
        </w:rPr>
        <w:t>W gałęzi snmpV2 mamy natomiast:</w:t>
      </w:r>
    </w:p>
    <w:p w:rsidR="009B1CE2" w:rsidRDefault="005A3A47" w:rsidP="009B1CE2">
      <w:pPr>
        <w:pStyle w:val="ListParagraph"/>
        <w:numPr>
          <w:ilvl w:val="0"/>
          <w:numId w:val="4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snmpModules</w:t>
      </w:r>
    </w:p>
    <w:p w:rsidR="005A3A47" w:rsidRDefault="005A3A47" w:rsidP="00833CBF">
      <w:pPr>
        <w:pStyle w:val="ListParagraph"/>
        <w:numPr>
          <w:ilvl w:val="1"/>
          <w:numId w:val="4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snmpMib</w:t>
      </w:r>
      <w:r w:rsidR="00833CBF">
        <w:rPr>
          <w:rFonts w:ascii="Helvetica" w:hAnsi="Helvetica"/>
        </w:rPr>
        <w:t xml:space="preserve"> - SNMP </w:t>
      </w:r>
      <w:r w:rsidR="00833CBF" w:rsidRPr="00833CBF">
        <w:rPr>
          <w:rFonts w:ascii="Helvetica" w:hAnsi="Helvetica"/>
        </w:rPr>
        <w:t>Management Information Base</w:t>
      </w:r>
      <w:r w:rsidR="00833CBF">
        <w:rPr>
          <w:rFonts w:ascii="Helvetica" w:hAnsi="Helvetica"/>
        </w:rPr>
        <w:t xml:space="preserve"> - zawiera informacje niezbędne do wysyłania </w:t>
      </w:r>
      <w:r w:rsidR="002A6DAB">
        <w:rPr>
          <w:rFonts w:ascii="Helvetica" w:hAnsi="Helvetica"/>
        </w:rPr>
        <w:t>powiadomień takich jak linkDown (łączę nieaktywne) lub tworzenia specjalnych grup.</w:t>
      </w:r>
    </w:p>
    <w:p w:rsidR="005A3A47" w:rsidRDefault="005A3A47" w:rsidP="005A3A47">
      <w:pPr>
        <w:pStyle w:val="ListParagraph"/>
        <w:numPr>
          <w:ilvl w:val="1"/>
          <w:numId w:val="4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snmpFrameworkMIB</w:t>
      </w:r>
      <w:r w:rsidR="00943FE3">
        <w:rPr>
          <w:rFonts w:ascii="Helvetica" w:hAnsi="Helvetica"/>
        </w:rPr>
        <w:t xml:space="preserve"> </w:t>
      </w:r>
      <w:r w:rsidR="002A6DAB">
        <w:rPr>
          <w:rFonts w:ascii="Helvetica" w:hAnsi="Helvetica"/>
        </w:rPr>
        <w:t>- architektura zarządzania SNMP</w:t>
      </w:r>
    </w:p>
    <w:p w:rsidR="005A3A47" w:rsidRDefault="005A3A47" w:rsidP="005A3A47">
      <w:pPr>
        <w:pStyle w:val="ListParagraph"/>
        <w:numPr>
          <w:ilvl w:val="1"/>
          <w:numId w:val="4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snmpUsmMIB</w:t>
      </w:r>
      <w:r w:rsidR="002A6DAB">
        <w:rPr>
          <w:rFonts w:ascii="Helvetica" w:hAnsi="Helvetica"/>
        </w:rPr>
        <w:t xml:space="preserve">- zabezpieczenia </w:t>
      </w:r>
      <w:r w:rsidR="00943FE3">
        <w:rPr>
          <w:rFonts w:ascii="Helvetica" w:hAnsi="Helvetica"/>
        </w:rPr>
        <w:t>o</w:t>
      </w:r>
      <w:r w:rsidR="002A6DAB">
        <w:rPr>
          <w:rFonts w:ascii="Helvetica" w:hAnsi="Helvetica"/>
        </w:rPr>
        <w:t xml:space="preserve"> użytkowników dla SNMPv3</w:t>
      </w:r>
      <w:r w:rsidR="00943FE3">
        <w:rPr>
          <w:rFonts w:ascii="Helvetica" w:hAnsi="Helvetica"/>
        </w:rPr>
        <w:t>. Każdy użytkownik może mieć pewien zestaw zabezpieczeń, ograniczeń itp.</w:t>
      </w:r>
    </w:p>
    <w:p w:rsidR="005A3A47" w:rsidRDefault="005A3A47" w:rsidP="005A3A47">
      <w:pPr>
        <w:pStyle w:val="ListParagraph"/>
        <w:numPr>
          <w:ilvl w:val="1"/>
          <w:numId w:val="4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snmpVacmMIB</w:t>
      </w:r>
      <w:r w:rsidR="00943FE3">
        <w:rPr>
          <w:rFonts w:ascii="Helvetica" w:hAnsi="Helvetica"/>
        </w:rPr>
        <w:t xml:space="preserve"> - zabezpieczenia oparte o widoki mające pewien stopień zabezpieczeń i wskazane konkretne </w:t>
      </w:r>
      <w:bookmarkStart w:id="0" w:name="_GoBack"/>
      <w:bookmarkEnd w:id="0"/>
      <w:r w:rsidR="00943FE3">
        <w:rPr>
          <w:rFonts w:ascii="Helvetica" w:hAnsi="Helvetica"/>
        </w:rPr>
        <w:t>widoki (tzn. możliwość widoku lub zmiany konkretnych liści)</w:t>
      </w:r>
    </w:p>
    <w:p w:rsidR="005A3A47" w:rsidRDefault="005A3A47" w:rsidP="009B1CE2">
      <w:pPr>
        <w:pStyle w:val="ListParagraph"/>
        <w:numPr>
          <w:ilvl w:val="0"/>
          <w:numId w:val="4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snmpDomains - obiekty zawierające informacje o mapowaniu </w:t>
      </w:r>
      <w:r w:rsidR="00833CBF">
        <w:rPr>
          <w:rFonts w:ascii="Helvetica" w:hAnsi="Helvetica"/>
        </w:rPr>
        <w:t>SNMP np. po UDP</w:t>
      </w:r>
    </w:p>
    <w:p w:rsidR="005A3A47" w:rsidRPr="009B1CE2" w:rsidRDefault="005A3A47" w:rsidP="009B1CE2">
      <w:pPr>
        <w:pStyle w:val="ListParagraph"/>
        <w:numPr>
          <w:ilvl w:val="0"/>
          <w:numId w:val="4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snmpProxys</w:t>
      </w:r>
      <w:r w:rsidR="00833CBF">
        <w:rPr>
          <w:rFonts w:ascii="Helvetica" w:hAnsi="Helvetica"/>
        </w:rPr>
        <w:t xml:space="preserve"> </w:t>
      </w:r>
      <w:r w:rsidR="00943FE3">
        <w:rPr>
          <w:rFonts w:ascii="Helvetica" w:hAnsi="Helvetica"/>
        </w:rPr>
        <w:t xml:space="preserve">(przestarzałe) </w:t>
      </w:r>
      <w:r w:rsidR="00833CBF">
        <w:rPr>
          <w:rFonts w:ascii="Helvetica" w:hAnsi="Helvetica"/>
        </w:rPr>
        <w:t xml:space="preserve">- proxy transportowe (domena) dla SNMP po </w:t>
      </w:r>
      <w:r w:rsidR="00943FE3">
        <w:rPr>
          <w:rFonts w:ascii="Helvetica" w:hAnsi="Helvetica"/>
        </w:rPr>
        <w:t>UDP</w:t>
      </w:r>
    </w:p>
    <w:sectPr w:rsidR="005A3A47" w:rsidRPr="009B1CE2" w:rsidSect="008F09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708" w:rsidRDefault="00311708" w:rsidP="00C0287C">
      <w:r>
        <w:separator/>
      </w:r>
    </w:p>
  </w:endnote>
  <w:endnote w:type="continuationSeparator" w:id="0">
    <w:p w:rsidR="00311708" w:rsidRDefault="00311708" w:rsidP="00C0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4C" w:rsidRDefault="007078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C5" w:rsidRDefault="00196CC5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5B83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4C" w:rsidRDefault="007078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708" w:rsidRDefault="00311708" w:rsidP="00C0287C">
      <w:r>
        <w:separator/>
      </w:r>
    </w:p>
  </w:footnote>
  <w:footnote w:type="continuationSeparator" w:id="0">
    <w:p w:rsidR="00311708" w:rsidRDefault="00311708" w:rsidP="00C02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4C" w:rsidRDefault="007078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4C" w:rsidRDefault="007078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4C" w:rsidRDefault="007078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14CE3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6470E5C"/>
    <w:multiLevelType w:val="hybridMultilevel"/>
    <w:tmpl w:val="25882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91A8F"/>
    <w:multiLevelType w:val="hybridMultilevel"/>
    <w:tmpl w:val="80662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C1B8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9df3e55e-9674-453c-8f67-de8a26143984"/>
  </w:docVars>
  <w:rsids>
    <w:rsidRoot w:val="002D37FA"/>
    <w:rsid w:val="00096DFA"/>
    <w:rsid w:val="00133EAF"/>
    <w:rsid w:val="001613AA"/>
    <w:rsid w:val="00196CC5"/>
    <w:rsid w:val="002676DE"/>
    <w:rsid w:val="002A6DAB"/>
    <w:rsid w:val="002D37FA"/>
    <w:rsid w:val="00311708"/>
    <w:rsid w:val="0040725B"/>
    <w:rsid w:val="00426CD5"/>
    <w:rsid w:val="004A737A"/>
    <w:rsid w:val="004C64F7"/>
    <w:rsid w:val="005102E7"/>
    <w:rsid w:val="00591DB2"/>
    <w:rsid w:val="005A3A47"/>
    <w:rsid w:val="00654ECC"/>
    <w:rsid w:val="006B5B83"/>
    <w:rsid w:val="0070784C"/>
    <w:rsid w:val="0078058F"/>
    <w:rsid w:val="007B28DA"/>
    <w:rsid w:val="00833CBF"/>
    <w:rsid w:val="008952AB"/>
    <w:rsid w:val="008F09BB"/>
    <w:rsid w:val="00943FE3"/>
    <w:rsid w:val="0095535F"/>
    <w:rsid w:val="009B1CE2"/>
    <w:rsid w:val="00A032B5"/>
    <w:rsid w:val="00A06E77"/>
    <w:rsid w:val="00B452EA"/>
    <w:rsid w:val="00C0287C"/>
    <w:rsid w:val="00C30E99"/>
    <w:rsid w:val="00C90957"/>
    <w:rsid w:val="00CC73E5"/>
    <w:rsid w:val="00DF084E"/>
    <w:rsid w:val="00DF2355"/>
    <w:rsid w:val="00EA02C3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1C495E1-078E-4771-A3AD-F699D26F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E77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77"/>
    <w:rPr>
      <w:rFonts w:ascii="Lucida Grande CE" w:hAnsi="Lucida Grande CE" w:cs="Lucida Grande CE"/>
      <w:sz w:val="18"/>
      <w:szCs w:val="18"/>
      <w:lang w:val="pl-PL"/>
    </w:rPr>
  </w:style>
  <w:style w:type="paragraph" w:styleId="Caption">
    <w:name w:val="caption"/>
    <w:basedOn w:val="Normal"/>
    <w:next w:val="Normal"/>
    <w:uiPriority w:val="35"/>
    <w:unhideWhenUsed/>
    <w:qFormat/>
    <w:rsid w:val="00C0287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28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87C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C0287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87C"/>
    <w:rPr>
      <w:lang w:val="pl-PL"/>
    </w:rPr>
  </w:style>
  <w:style w:type="character" w:styleId="PageNumber">
    <w:name w:val="page number"/>
    <w:basedOn w:val="DefaultParagraphFont"/>
    <w:uiPriority w:val="99"/>
    <w:semiHidden/>
    <w:unhideWhenUsed/>
    <w:rsid w:val="00C02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BCABA4-6647-4E1F-917F-977B982FF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967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Gears</Company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Informacyjne</dc:title>
  <dc:subject/>
  <dc:creator>"Jan Sobczak" &lt;J.Sobczak@stud.elka.pw.edu.pl&gt;;Michał Ziółkowski</dc:creator>
  <cp:keywords/>
  <dc:description/>
  <cp:lastModifiedBy>Jan Sobczak</cp:lastModifiedBy>
  <cp:revision>2</cp:revision>
  <dcterms:created xsi:type="dcterms:W3CDTF">2016-01-17T19:26:00Z</dcterms:created>
  <dcterms:modified xsi:type="dcterms:W3CDTF">2016-01-17T19:26:00Z</dcterms:modified>
</cp:coreProperties>
</file>