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6D82">
      <w:r>
        <w:rPr>
          <w:b/>
          <w:bCs/>
          <w:rtl w:val="0"/>
        </w:rPr>
        <w:t>CASE BRIEF 1:</w:t>
      </w:r>
      <w:r>
        <w:rPr>
          <w:rtl w:val="0"/>
        </w:rPr>
        <w:t xml:space="preserve"> Layton Construction v. Shaw Contract Flooring</w:t>
      </w:r>
    </w:p>
    <w:p w14:paraId="6D886B2B"/>
    <w:p w14:paraId="37C87114">
      <w:r>
        <w:rPr>
          <w:rtl w:val="0"/>
        </w:rPr>
        <w:t>CASE NAME:</w:t>
      </w:r>
      <w:r>
        <w:rPr>
          <w:rtl w:val="0"/>
        </w:rPr>
        <w:tab/>
      </w:r>
      <w:r>
        <w:rPr>
          <w:rtl w:val="0"/>
        </w:rPr>
        <w:tab/>
      </w:r>
      <w:r>
        <w:rPr>
          <w:rtl w:val="0"/>
        </w:rPr>
        <w:tab/>
      </w:r>
      <w:r>
        <w:rPr>
          <w:rtl w:val="0"/>
        </w:rPr>
        <w:tab/>
      </w:r>
      <w:r>
        <w:rPr>
          <w:rtl w:val="0"/>
        </w:rPr>
        <w:t>Layton Construction Co. v. Shaw Contract Flooring</w:t>
      </w:r>
      <w:r>
        <w:rPr>
          <w:rtl w:val="0"/>
        </w:rPr>
        <w:tab/>
      </w:r>
      <w:r>
        <w:rPr>
          <w:rtl w:val="0"/>
        </w:rPr>
        <w:tab/>
      </w:r>
      <w:r>
        <w:rPr>
          <w:rtl w:val="0"/>
        </w:rPr>
        <w:tab/>
      </w:r>
      <w:r>
        <w:rPr>
          <w:rtl w:val="0"/>
        </w:rPr>
        <w:tab/>
      </w:r>
      <w:r>
        <w:rPr>
          <w:rtl w:val="0"/>
        </w:rPr>
        <w:tab/>
      </w:r>
      <w:r>
        <w:rPr>
          <w:rtl w:val="0"/>
        </w:rPr>
        <w:tab/>
      </w:r>
      <w:r>
        <w:rPr>
          <w:rtl w:val="0"/>
        </w:rPr>
        <w:tab/>
      </w:r>
      <w:r>
        <w:rPr>
          <w:rtl w:val="0"/>
        </w:rPr>
        <w:t>Services Inc.</w:t>
      </w:r>
    </w:p>
    <w:p w14:paraId="59CAACC6"/>
    <w:p w14:paraId="24406E4D">
      <w:r>
        <w:rPr>
          <w:rtl w:val="0"/>
        </w:rPr>
        <w:t>COURT:</w:t>
      </w:r>
      <w:r>
        <w:rPr>
          <w:rtl w:val="0"/>
        </w:rPr>
        <w:tab/>
      </w:r>
      <w:r>
        <w:rPr>
          <w:rtl w:val="0"/>
        </w:rPr>
        <w:tab/>
      </w:r>
      <w:r>
        <w:rPr>
          <w:rtl w:val="0"/>
        </w:rPr>
        <w:tab/>
      </w:r>
      <w:r>
        <w:rPr>
          <w:rtl w:val="0"/>
        </w:rPr>
        <w:tab/>
      </w:r>
      <w:r>
        <w:rPr>
          <w:rtl w:val="0"/>
        </w:rPr>
        <w:t>Colorado Court of Appeals</w:t>
      </w:r>
    </w:p>
    <w:p w14:paraId="627EFAC4"/>
    <w:p w14:paraId="1F49F8CF">
      <w:r>
        <w:rPr>
          <w:rtl w:val="0"/>
        </w:rPr>
        <w:t>YEAR:</w:t>
      </w:r>
      <w:r>
        <w:rPr>
          <w:rtl w:val="0"/>
        </w:rPr>
        <w:tab/>
      </w:r>
      <w:r>
        <w:rPr>
          <w:rtl w:val="0"/>
        </w:rPr>
        <w:tab/>
      </w:r>
      <w:r>
        <w:rPr>
          <w:rtl w:val="0"/>
        </w:rPr>
        <w:tab/>
      </w:r>
      <w:r>
        <w:rPr>
          <w:rtl w:val="0"/>
        </w:rPr>
        <w:tab/>
      </w:r>
      <w:r>
        <w:rPr>
          <w:rtl w:val="0"/>
        </w:rPr>
        <w:tab/>
      </w:r>
      <w:r>
        <w:rPr>
          <w:rtl w:val="0"/>
        </w:rPr>
        <w:t>2016 COA 155</w:t>
      </w:r>
    </w:p>
    <w:p w14:paraId="12B44098"/>
    <w:p w14:paraId="25A48BFC">
      <w:r>
        <w:rPr>
          <w:rtl w:val="0"/>
        </w:rPr>
        <w:t>JURISDICTION:</w:t>
      </w:r>
      <w:r>
        <w:rPr>
          <w:rtl w:val="0"/>
        </w:rPr>
        <w:tab/>
      </w:r>
      <w:r>
        <w:rPr>
          <w:rtl w:val="0"/>
        </w:rPr>
        <w:tab/>
      </w:r>
      <w:r>
        <w:rPr>
          <w:rtl w:val="0"/>
        </w:rPr>
        <w:tab/>
      </w:r>
      <w:r>
        <w:rPr>
          <w:rtl w:val="0"/>
        </w:rPr>
        <w:t xml:space="preserve">His Court has jurisdiction over this appeal pursuant to </w:t>
      </w:r>
      <w:r>
        <w:rPr>
          <w:b/>
          <w:bCs/>
          <w:rtl w:val="0"/>
        </w:rPr>
        <w:t>§</w:t>
      </w:r>
      <w:r>
        <w:rPr>
          <w:rFonts w:hint="default"/>
          <w:b/>
          <w:bCs/>
          <w:rtl w:val="0"/>
          <w:lang w:val="en-GB"/>
        </w:rPr>
        <w:t xml:space="preserve"> </w:t>
      </w:r>
      <w:r>
        <w:rPr>
          <w:b/>
          <w:bCs/>
          <w:rtl w:val="0"/>
        </w:rPr>
        <w:t>13-4-102(1), C.R.S.</w:t>
      </w:r>
      <w:r>
        <w:rPr>
          <w:rtl w:val="0"/>
        </w:rPr>
        <w:t xml:space="preserve">, and </w:t>
      </w:r>
      <w:r>
        <w:rPr>
          <w:b/>
          <w:bCs/>
          <w:rtl w:val="0"/>
        </w:rPr>
        <w:t>Article VI, Section 1 of the</w:t>
      </w:r>
      <w:r>
        <w:rPr>
          <w:rFonts w:hint="default"/>
          <w:b/>
          <w:bCs/>
          <w:rtl w:val="0"/>
          <w:lang w:val="en-GB"/>
        </w:rPr>
        <w:t xml:space="preserve"> </w:t>
      </w:r>
      <w:r>
        <w:rPr>
          <w:b/>
          <w:bCs/>
          <w:rtl w:val="0"/>
        </w:rPr>
        <w:t>Colorado Constitution</w:t>
      </w:r>
      <w:r>
        <w:rPr>
          <w:rtl w:val="0"/>
        </w:rPr>
        <w:t>. This matter arises from a final</w:t>
      </w:r>
      <w:r>
        <w:rPr>
          <w:rFonts w:hint="default"/>
          <w:rtl w:val="0"/>
          <w:lang w:val="en-GB"/>
        </w:rPr>
        <w:t xml:space="preserve"> </w:t>
      </w:r>
      <w:r>
        <w:rPr>
          <w:rtl w:val="0"/>
        </w:rPr>
        <w:t>judgment entered by the Denver District Court (Case No.</w:t>
      </w:r>
      <w:r>
        <w:rPr>
          <w:rFonts w:hint="default"/>
          <w:rtl w:val="0"/>
          <w:lang w:val="en-GB"/>
        </w:rPr>
        <w:t xml:space="preserve"> </w:t>
      </w:r>
      <w:r>
        <w:rPr>
          <w:rtl w:val="0"/>
        </w:rPr>
        <w:t>2014 CV 33719 on July 23, 2015).</w:t>
      </w:r>
    </w:p>
    <w:p w14:paraId="35B66770"/>
    <w:p w14:paraId="4B3289BE">
      <w:r>
        <w:rPr>
          <w:rtl w:val="0"/>
        </w:rPr>
        <w:t>ISSUES:</w:t>
      </w:r>
    </w:p>
    <w:p w14:paraId="6792D3BC">
      <w:pPr>
        <w:numPr>
          <w:ilvl w:val="0"/>
          <w:numId w:val="1"/>
        </w:numPr>
        <w:ind w:left="720" w:hanging="360"/>
      </w:pPr>
      <w:r>
        <w:rPr>
          <w:rFonts w:hint="default"/>
          <w:rtl w:val="0"/>
          <w:lang w:val="en-GB"/>
        </w:rPr>
        <w:t>I</w:t>
      </w:r>
      <w:r>
        <w:rPr>
          <w:rtl w:val="0"/>
        </w:rPr>
        <w:t xml:space="preserve">t claims against Shaw in this case are not identical to those it asserted against Shaw in the prior case; </w:t>
      </w:r>
    </w:p>
    <w:p w14:paraId="65623469">
      <w:pPr>
        <w:numPr>
          <w:ilvl w:val="0"/>
          <w:numId w:val="1"/>
        </w:numPr>
        <w:ind w:left="720" w:hanging="360"/>
      </w:pPr>
      <w:r>
        <w:rPr>
          <w:rtl w:val="0"/>
        </w:rPr>
        <w:t xml:space="preserve">CDARA modifies the- doctrine of claim preclusion in the construction defect context by requiring (or at least allowing) splitting of indemnification claims; and </w:t>
      </w:r>
    </w:p>
    <w:p w14:paraId="50769177">
      <w:pPr>
        <w:numPr>
          <w:ilvl w:val="0"/>
          <w:numId w:val="1"/>
        </w:numPr>
        <w:ind w:left="720" w:hanging="360"/>
      </w:pPr>
      <w:r>
        <w:rPr>
          <w:rtl w:val="0"/>
        </w:rPr>
        <w:t>various exceptions to the</w:t>
      </w:r>
      <w:r>
        <w:fldChar w:fldCharType="begin"/>
      </w:r>
      <w:r>
        <w:instrText xml:space="preserve"> HYPERLINK "https://www.courtlistener.com/opinion/4316372/layton-construction-co-v-shaw-contract-flooring-services-inc/?q=Breach+of+contract+and+damages#607" \h </w:instrText>
      </w:r>
      <w:r>
        <w:fldChar w:fldCharType="separate"/>
      </w:r>
      <w:r>
        <w:rPr>
          <w:rtl w:val="0"/>
        </w:rPr>
        <w:t xml:space="preserve"> </w:t>
      </w:r>
      <w:r>
        <w:rPr>
          <w:rtl w:val="0"/>
        </w:rPr>
        <w:fldChar w:fldCharType="end"/>
      </w:r>
      <w:r>
        <w:fldChar w:fldCharType="begin"/>
      </w:r>
      <w:r>
        <w:instrText xml:space="preserve"> HYPERLINK "https://www.courtlistener.com/opinion/4316372/layton-construction-co-v-shaw-contract-flooring-services-inc/?q=Breach+of+contract+and+damages#607" \h </w:instrText>
      </w:r>
      <w:r>
        <w:fldChar w:fldCharType="separate"/>
      </w:r>
      <w:r>
        <w:rPr>
          <w:color w:val="1155CC"/>
          <w:u w:val="single"/>
          <w:rtl w:val="0"/>
        </w:rPr>
        <w:t>*607</w:t>
      </w:r>
      <w:r>
        <w:rPr>
          <w:color w:val="1155CC"/>
          <w:u w:val="single"/>
          <w:rtl w:val="0"/>
        </w:rPr>
        <w:fldChar w:fldCharType="end"/>
      </w:r>
      <w:r>
        <w:rPr>
          <w:rtl w:val="0"/>
        </w:rPr>
        <w:t xml:space="preserve"> claim preclusion doctrine apply to this action. We address and reject each of these contentions in turn. </w:t>
      </w:r>
    </w:p>
    <w:p w14:paraId="1174E33F"/>
    <w:p w14:paraId="36FDC82E">
      <w:r>
        <w:rPr>
          <w:rtl w:val="0"/>
        </w:rPr>
        <w:t xml:space="preserve">HOLDING: First, Layton argues that Shaw somehow agreed to the filing of a later indemnification case because (1) Shaw failed to object to Layton’s motion to dismiss without prejudice its contribution claim in the prior case and (2) Shaw did not object to the alleged reservation of the indemnification claim in Layton’s motion to voluntarily dismiss with prejudice the indemnification claim in the prior case. </w:t>
      </w:r>
      <w:r>
        <w:rPr>
          <w:i/>
          <w:iCs/>
          <w:rtl w:val="0"/>
        </w:rPr>
        <w:t xml:space="preserve">See </w:t>
      </w:r>
      <w:r>
        <w:rPr>
          <w:rtl w:val="0"/>
        </w:rPr>
        <w:t>Restatement (Second) of Judgments § 26(l)(a) (parties may agree to allow a plaintiff to split its claim).</w:t>
      </w:r>
    </w:p>
    <w:p w14:paraId="495B6502">
      <w:pPr>
        <w:spacing w:before="240" w:after="240"/>
        <w:rPr>
          <w:color w:val="1155CC"/>
          <w:u w:val="single"/>
        </w:rPr>
      </w:pPr>
      <w:r>
        <w:rPr>
          <w:rtl w:val="0"/>
        </w:rPr>
        <w:t>¶ 27 But we do not see how Shaw’s failure to object to the dismissal without prejudice of the contribution claim constituted an agreement to allow Layton to assert an indemnification claim in a later case. And Layton’s motion to dismiss its indemnification claim did not purport to reserve its current indemnification claims. To the contrary, it expressly sought dismissal with prejudice of claims that it had asserted and those which it could have asserted. As discussed, Layton could have asserted its current indemnification claims in the prior case (a point Layton conceded in the district court). Those claims did not arise after that case (the category of claims Layton purported to reserve). They had already arisen. Layton’s current position that its motion did not seek dismissal of its current indemnification claims with prejudice is pure dissembling.</w:t>
      </w:r>
      <w:r>
        <w:fldChar w:fldCharType="begin"/>
      </w:r>
      <w:r>
        <w:instrText xml:space="preserve"> HYPERLINK "https://www.courtlistener.com/opinion/4316372/layton-construction-co-v-shaw-contract-flooring-services-inc/?q=Breach+of+contract+and+damages#fn13" \h </w:instrText>
      </w:r>
      <w:r>
        <w:fldChar w:fldCharType="separate"/>
      </w:r>
      <w:r>
        <w:rPr>
          <w:rtl w:val="0"/>
        </w:rPr>
        <w:t xml:space="preserve"> </w:t>
      </w:r>
      <w:r>
        <w:rPr>
          <w:rtl w:val="0"/>
        </w:rPr>
        <w:fldChar w:fldCharType="end"/>
      </w:r>
      <w:r>
        <w:fldChar w:fldCharType="begin"/>
      </w:r>
      <w:r>
        <w:instrText xml:space="preserve"> HYPERLINK "https://www.courtlistener.com/opinion/4316372/layton-construction-co-v-shaw-contract-flooring-services-inc/?q=Breach+of+contract+and+damages#fn13" \h </w:instrText>
      </w:r>
      <w:r>
        <w:fldChar w:fldCharType="separate"/>
      </w:r>
      <w:r>
        <w:rPr>
          <w:color w:val="1155CC"/>
          <w:u w:val="single"/>
          <w:rtl w:val="0"/>
        </w:rPr>
        <w:t>13</w:t>
      </w:r>
      <w:r>
        <w:rPr>
          <w:color w:val="1155CC"/>
          <w:u w:val="single"/>
          <w:rtl w:val="0"/>
        </w:rPr>
        <w:fldChar w:fldCharType="end"/>
      </w:r>
    </w:p>
    <w:p w14:paraId="37F3FBA1">
      <w:pPr>
        <w:spacing w:before="240" w:after="240"/>
      </w:pPr>
      <w:r>
        <w:rPr>
          <w:rtl w:val="0"/>
        </w:rPr>
        <w:t xml:space="preserve">¶ 28 Second, Layton argues that the district court in the prior case allowed it to assert its current indemnification claims in a subsequent case. </w:t>
      </w:r>
      <w:r>
        <w:rPr>
          <w:i/>
          <w:iCs/>
          <w:rtl w:val="0"/>
        </w:rPr>
        <w:t xml:space="preserve">See </w:t>
      </w:r>
      <w:r>
        <w:rPr>
          <w:rtl w:val="0"/>
        </w:rPr>
        <w:t>Restatement (Séeond) of Judgments § 26(l)(b) (“[t]he court in the first action has expressly reserved the plaintiffs right to maintain the second action”). But nothing in the court’s order of dismissal remotely suggests such permission. And to the extent Layton argues that the court implicitly accepted the reservation of claims in the motion to dismiss, there is no evidence that the court did so. Further, we have already concluded that Layton’s definition of “future claims” in its motion did not include its current indemnification claims.</w:t>
      </w:r>
    </w:p>
    <w:p w14:paraId="76155EE1">
      <w:pPr>
        <w:spacing w:before="240" w:after="240"/>
      </w:pPr>
      <w:r>
        <w:rPr>
          <w:rtl w:val="0"/>
        </w:rPr>
        <w:t xml:space="preserve">¶ 29 Third, Layton again argues that CDARA allows claim, splitting. </w:t>
      </w:r>
      <w:r>
        <w:rPr>
          <w:i/>
          <w:iCs/>
          <w:rtl w:val="0"/>
        </w:rPr>
        <w:t xml:space="preserve">See </w:t>
      </w:r>
      <w:r>
        <w:rPr>
          <w:rtl w:val="0"/>
        </w:rPr>
        <w:t>Restatement (Second) of. Judgment § 26(l)(d) (a statute may allow a plaintiff to split its claim). As discussed above, however, nothing in CDARA allows claim splitting in these circumstances.</w:t>
      </w:r>
    </w:p>
    <w:p w14:paraId="6FB87F13">
      <w:pPr>
        <w:spacing w:before="240" w:after="240"/>
      </w:pPr>
      <w:r>
        <w:rPr>
          <w:rtl w:val="0"/>
        </w:rPr>
        <w:t xml:space="preserve">¶ 30 Fourth, Layton argues that the fact it was “suffering ■ from • recurring harm by Shaw’s unwillingness to defend” it constitutes good reason to allow it to split its claim. </w:t>
      </w:r>
      <w:r>
        <w:rPr>
          <w:i/>
          <w:iCs/>
          <w:rtl w:val="0"/>
        </w:rPr>
        <w:t xml:space="preserve">See </w:t>
      </w:r>
      <w:r>
        <w:rPr>
          <w:rtl w:val="0"/>
        </w:rPr>
        <w:t>Restatement ' (Second) of Judgments § 26(l)(e) (claim may be split for reasons of substantive policy in a case involving a continuing or recurrent wrong). Layton does not identify any substantive policy supporting claim splitting in this context, and we perceive none. And we observe that although Layton argues that CDARA is intended to streamline litigation, it fails to explain how requiring separate actions, or allowing a second action against a subcontractor after the contractor has already sued the subcontractor once for the same transaction, as it claims CDARA does, is consistent with that goal.</w:t>
      </w:r>
    </w:p>
    <w:p w14:paraId="22FA0FE2">
      <w:pPr>
        <w:spacing w:before="240" w:after="240"/>
      </w:pPr>
      <w:r>
        <w:rPr>
          <w:rtl w:val="0"/>
        </w:rPr>
        <w:t xml:space="preserve">¶ 31 “[J]udicially[ ] recognized exceptions to claim preclusion are extremely rare.” </w:t>
      </w:r>
      <w:r>
        <w:rPr>
          <w:i/>
          <w:iCs/>
          <w:rtl w:val="0"/>
        </w:rPr>
        <w:t>Argus Real Estate,</w:t>
      </w:r>
      <w:r>
        <w:fldChar w:fldCharType="begin"/>
      </w:r>
      <w:r>
        <w:instrText xml:space="preserve"> HYPERLINK "https://www.courtlistener.com/opinion/5323238/argus-real-estate-inc-v-e-470-public-highway-authority/#611" \h </w:instrText>
      </w:r>
      <w:r>
        <w:fldChar w:fldCharType="separate"/>
      </w:r>
      <w:r>
        <w:rPr>
          <w:i/>
          <w:iCs/>
          <w:rtl w:val="0"/>
        </w:rPr>
        <w:t xml:space="preserve"> </w:t>
      </w:r>
      <w:r>
        <w:rPr>
          <w:i/>
          <w:iCs/>
          <w:rtl w:val="0"/>
        </w:rPr>
        <w:fldChar w:fldCharType="end"/>
      </w:r>
      <w:r>
        <w:fldChar w:fldCharType="begin"/>
      </w:r>
      <w:r>
        <w:instrText xml:space="preserve"> HYPERLINK "https://www.courtlistener.com/opinion/5323238/argus-real-estate-inc-v-e-470-public-highway-authority/#611" \h </w:instrText>
      </w:r>
      <w:r>
        <w:fldChar w:fldCharType="separate"/>
      </w:r>
      <w:r>
        <w:rPr>
          <w:color w:val="1155CC"/>
          <w:u w:val="single"/>
          <w:rtl w:val="0"/>
        </w:rPr>
        <w:t>109 P.3d at 611</w:t>
      </w:r>
      <w:r>
        <w:rPr>
          <w:color w:val="1155CC"/>
          <w:u w:val="single"/>
          <w:rtl w:val="0"/>
        </w:rPr>
        <w:fldChar w:fldCharType="end"/>
      </w:r>
      <w:r>
        <w:rPr>
          <w:rtl w:val="0"/>
        </w:rPr>
        <w:t>;</w:t>
      </w:r>
      <w:r>
        <w:fldChar w:fldCharType="begin"/>
      </w:r>
      <w:r>
        <w:instrText xml:space="preserve"> HYPERLINK "https://www.courtlistener.com/opinion/4316372/layton-construction-co-v-shaw-contract-flooring-services-inc/?q=Breach+of+contract+and+damages#611" \h </w:instrText>
      </w:r>
      <w:r>
        <w:fldChar w:fldCharType="separate"/>
      </w:r>
      <w:r>
        <w:rPr>
          <w:rtl w:val="0"/>
        </w:rPr>
        <w:t xml:space="preserve"> </w:t>
      </w:r>
      <w:r>
        <w:rPr>
          <w:rtl w:val="0"/>
        </w:rPr>
        <w:fldChar w:fldCharType="end"/>
      </w:r>
      <w:r>
        <w:fldChar w:fldCharType="begin"/>
      </w:r>
      <w:r>
        <w:instrText xml:space="preserve"> HYPERLINK "https://www.courtlistener.com/opinion/4316372/layton-construction-co-v-shaw-contract-flooring-services-inc/?q=Breach+of+contract+and+damages#611" \h </w:instrText>
      </w:r>
      <w:r>
        <w:fldChar w:fldCharType="separate"/>
      </w:r>
      <w:r>
        <w:rPr>
          <w:color w:val="1155CC"/>
          <w:u w:val="single"/>
          <w:rtl w:val="0"/>
        </w:rPr>
        <w:t>*611</w:t>
      </w:r>
      <w:r>
        <w:rPr>
          <w:color w:val="1155CC"/>
          <w:u w:val="single"/>
          <w:rtl w:val="0"/>
        </w:rPr>
        <w:fldChar w:fldCharType="end"/>
      </w:r>
      <w:r>
        <w:rPr>
          <w:rtl w:val="0"/>
        </w:rPr>
        <w:t xml:space="preserve"> </w:t>
      </w:r>
      <w:r>
        <w:rPr>
          <w:i/>
          <w:iCs/>
          <w:rtl w:val="0"/>
        </w:rPr>
        <w:t>accord Lobato,</w:t>
      </w:r>
      <w:r>
        <w:fldChar w:fldCharType="begin"/>
      </w:r>
      <w:r>
        <w:instrText xml:space="preserve"> HYPERLINK "https://www.courtlistener.com/opinion/5322048/lobato-v-taylor/#1166" \h </w:instrText>
      </w:r>
      <w:r>
        <w:fldChar w:fldCharType="separate"/>
      </w:r>
      <w:r>
        <w:rPr>
          <w:i/>
          <w:iCs/>
          <w:rtl w:val="0"/>
        </w:rPr>
        <w:t xml:space="preserve"> </w:t>
      </w:r>
      <w:r>
        <w:rPr>
          <w:i/>
          <w:iCs/>
          <w:rtl w:val="0"/>
        </w:rPr>
        <w:fldChar w:fldCharType="end"/>
      </w:r>
      <w:r>
        <w:fldChar w:fldCharType="begin"/>
      </w:r>
      <w:r>
        <w:instrText xml:space="preserve"> HYPERLINK "https://www.courtlistener.com/opinion/5322048/lobato-v-taylor/#1166" \h </w:instrText>
      </w:r>
      <w:r>
        <w:fldChar w:fldCharType="separate"/>
      </w:r>
      <w:r>
        <w:rPr>
          <w:color w:val="1155CC"/>
          <w:u w:val="single"/>
          <w:rtl w:val="0"/>
        </w:rPr>
        <w:t>70 P.3d at 1166</w:t>
      </w:r>
      <w:r>
        <w:rPr>
          <w:color w:val="1155CC"/>
          <w:u w:val="single"/>
          <w:rtl w:val="0"/>
        </w:rPr>
        <w:fldChar w:fldCharType="end"/>
      </w:r>
      <w:r>
        <w:rPr>
          <w:rtl w:val="0"/>
        </w:rPr>
        <w:t>. Nothing about this case calls for the application of any such exception.</w:t>
      </w:r>
    </w:p>
    <w:p w14:paraId="79405AA2">
      <w:pPr>
        <w:spacing w:before="240" w:after="240"/>
      </w:pPr>
      <w:r>
        <w:rPr>
          <w:rtl w:val="0"/>
        </w:rPr>
        <w:t>V. Attorney Fees</w:t>
      </w:r>
    </w:p>
    <w:p w14:paraId="0A44F6DF">
      <w:pPr>
        <w:spacing w:before="240" w:after="240"/>
      </w:pPr>
      <w:r>
        <w:rPr>
          <w:rtl w:val="0"/>
        </w:rPr>
        <w:t xml:space="preserve">¶ 32 Shaw requests an award of its attorney fees incurred on appeal, arguing that Layton’s appeal is substantially frivolous and substantially vexatious. </w:t>
      </w:r>
      <w:r>
        <w:rPr>
          <w:i/>
          <w:iCs/>
          <w:rtl w:val="0"/>
        </w:rPr>
        <w:t xml:space="preserve">See </w:t>
      </w:r>
      <w:r>
        <w:rPr>
          <w:rtl w:val="0"/>
        </w:rPr>
        <w:t>§ 13-17-102(2), (4), C.R.S. 2016.</w:t>
      </w:r>
    </w:p>
    <w:p w14:paraId="029A2F93">
      <w:pPr>
        <w:spacing w:before="240" w:after="240"/>
      </w:pPr>
      <w:r>
        <w:rPr>
          <w:rtl w:val="0"/>
        </w:rPr>
        <w:t xml:space="preserve">¶ 33 We agree with Shaw that Layton’s appeal is substantially frivolous. The district court’s judgment was so plainly correct and the legal authority is so clearly contrary to Layton’s positions that there is really no appealable issue. Thus, Layton’s appeal is frivolous as filed. </w:t>
      </w:r>
      <w:r>
        <w:rPr>
          <w:i/>
          <w:iCs/>
          <w:rtl w:val="0"/>
        </w:rPr>
        <w:t>See Castillo v. Koppes-Conway,</w:t>
      </w:r>
      <w:r>
        <w:fldChar w:fldCharType="begin"/>
      </w:r>
      <w:r>
        <w:instrText xml:space="preserve"> HYPERLINK "https://www.courtlistener.com/opinion/2543008/castillo-v-koppes-conway/#292" \h </w:instrText>
      </w:r>
      <w:r>
        <w:fldChar w:fldCharType="separate"/>
      </w:r>
      <w:r>
        <w:rPr>
          <w:i/>
          <w:iCs/>
          <w:rtl w:val="0"/>
        </w:rPr>
        <w:t xml:space="preserve"> </w:t>
      </w:r>
      <w:r>
        <w:rPr>
          <w:i/>
          <w:iCs/>
          <w:rtl w:val="0"/>
        </w:rPr>
        <w:fldChar w:fldCharType="end"/>
      </w:r>
      <w:r>
        <w:fldChar w:fldCharType="begin"/>
      </w:r>
      <w:r>
        <w:instrText xml:space="preserve"> HYPERLINK "https://www.courtlistener.com/opinion/2543008/castillo-v-koppes-conway/#292" \h </w:instrText>
      </w:r>
      <w:r>
        <w:fldChar w:fldCharType="separate"/>
      </w:r>
      <w:r>
        <w:rPr>
          <w:color w:val="1155CC"/>
          <w:u w:val="single"/>
          <w:rtl w:val="0"/>
        </w:rPr>
        <w:t>148 P.3d 289, 292</w:t>
      </w:r>
      <w:r>
        <w:rPr>
          <w:color w:val="1155CC"/>
          <w:u w:val="single"/>
          <w:rtl w:val="0"/>
        </w:rPr>
        <w:fldChar w:fldCharType="end"/>
      </w:r>
      <w:r>
        <w:rPr>
          <w:rtl w:val="0"/>
        </w:rPr>
        <w:t xml:space="preserve"> (Colo. App. 2006).</w:t>
      </w:r>
    </w:p>
    <w:p w14:paraId="475B0F12">
      <w:pPr>
        <w:spacing w:before="240" w:after="240"/>
        <w:rPr>
          <w:color w:val="1155CC"/>
          <w:u w:val="single"/>
        </w:rPr>
      </w:pPr>
      <w:r>
        <w:rPr>
          <w:rtl w:val="0"/>
        </w:rPr>
        <w:t xml:space="preserve">¶ 34 Though Layton asserts that its appeal is not frivolous because it has raised “novel” issues of first impression, the novelty of those issues is nothing more than a reflection of their futility. See </w:t>
      </w:r>
      <w:r>
        <w:rPr>
          <w:i/>
          <w:iCs/>
          <w:rtl w:val="0"/>
        </w:rPr>
        <w:t>Ozee v. Am. Council on Gift Annuities, Inc.,</w:t>
      </w:r>
      <w:r>
        <w:fldChar w:fldCharType="begin"/>
      </w:r>
      <w:r>
        <w:instrText xml:space="preserve"> HYPERLINK "https://www.courtlistener.com/c/F.3d/143/937/" \h </w:instrText>
      </w:r>
      <w:r>
        <w:fldChar w:fldCharType="separate"/>
      </w:r>
      <w:r>
        <w:rPr>
          <w:i/>
          <w:iCs/>
          <w:rtl w:val="0"/>
        </w:rPr>
        <w:t xml:space="preserve"> </w:t>
      </w:r>
      <w:r>
        <w:rPr>
          <w:i/>
          <w:iCs/>
          <w:rtl w:val="0"/>
        </w:rPr>
        <w:fldChar w:fldCharType="end"/>
      </w:r>
      <w:r>
        <w:fldChar w:fldCharType="begin"/>
      </w:r>
      <w:r>
        <w:instrText xml:space="preserve"> HYPERLINK "https://www.courtlistener.com/c/F.3d/143/937/" \h </w:instrText>
      </w:r>
      <w:r>
        <w:fldChar w:fldCharType="separate"/>
      </w:r>
      <w:r>
        <w:rPr>
          <w:color w:val="1155CC"/>
          <w:u w:val="single"/>
          <w:rtl w:val="0"/>
        </w:rPr>
        <w:t>143 F.3d 937</w:t>
      </w:r>
      <w:r>
        <w:rPr>
          <w:color w:val="1155CC"/>
          <w:u w:val="single"/>
          <w:rtl w:val="0"/>
        </w:rPr>
        <w:fldChar w:fldCharType="end"/>
      </w:r>
      <w:r>
        <w:rPr>
          <w:rtl w:val="0"/>
        </w:rPr>
        <w:t xml:space="preserve">, 941 (6th Cir. 1998) (“The specter of sanctions deters not only the raising of claims that have been considered and rejected repeatedly, but also the pursuit of untested claims that are worthless on their face.”); </w:t>
      </w:r>
      <w:r>
        <w:rPr>
          <w:i/>
          <w:iCs/>
          <w:rtl w:val="0"/>
        </w:rPr>
        <w:t>Hilmon Co. (V.I.) Inc. v. Hyatt Int'l</w:t>
      </w:r>
      <w:r>
        <w:fldChar w:fldCharType="begin"/>
      </w:r>
      <w:r>
        <w:instrText xml:space="preserve"> HYPERLINK "https://www.courtlistener.com/opinion/8986689/hilmon-co-vi-v-hyatt-international/#253" \h </w:instrText>
      </w:r>
      <w:r>
        <w:fldChar w:fldCharType="separate"/>
      </w:r>
      <w:r>
        <w:rPr>
          <w:i/>
          <w:iCs/>
          <w:rtl w:val="0"/>
        </w:rPr>
        <w:t xml:space="preserve"> </w:t>
      </w:r>
      <w:r>
        <w:rPr>
          <w:i/>
          <w:iCs/>
          <w:rtl w:val="0"/>
        </w:rPr>
        <w:fldChar w:fldCharType="end"/>
      </w:r>
      <w:r>
        <w:fldChar w:fldCharType="begin"/>
      </w:r>
      <w:r>
        <w:instrText xml:space="preserve"> HYPERLINK "https://www.courtlistener.com/opinion/8986689/hilmon-co-vi-v-hyatt-international/#253" \h </w:instrText>
      </w:r>
      <w:r>
        <w:fldChar w:fldCharType="separate"/>
      </w:r>
      <w:r>
        <w:rPr>
          <w:color w:val="1155CC"/>
          <w:u w:val="single"/>
          <w:rtl w:val="0"/>
        </w:rPr>
        <w:t>899 F.2d 250, 253</w:t>
      </w:r>
      <w:r>
        <w:rPr>
          <w:color w:val="1155CC"/>
          <w:u w:val="single"/>
          <w:rtl w:val="0"/>
        </w:rPr>
        <w:fldChar w:fldCharType="end"/>
      </w:r>
      <w:r>
        <w:rPr>
          <w:rtl w:val="0"/>
        </w:rPr>
        <w:t xml:space="preserve"> (3d Cir. 1990) (sanctions for appeals appropriate because, although novel theories were asserted, “at the outset the result of each appeal was obvious: they were utterly without merit and could only result in delay”); </w:t>
      </w:r>
      <w:r>
        <w:rPr>
          <w:i/>
          <w:iCs/>
          <w:rtl w:val="0"/>
        </w:rPr>
        <w:t>Wagner v. Wagner,</w:t>
      </w:r>
      <w:r>
        <w:fldChar w:fldCharType="begin"/>
      </w:r>
      <w:r>
        <w:instrText xml:space="preserve"> HYPERLINK "https://www.courtlistener.com/opinion/3198548/loren-wagner-v-russell-wagner-wanooka-farms/" \h </w:instrText>
      </w:r>
      <w:r>
        <w:fldChar w:fldCharType="separate"/>
      </w:r>
      <w:r>
        <w:rPr>
          <w:i/>
          <w:iCs/>
          <w:rtl w:val="0"/>
        </w:rPr>
        <w:t xml:space="preserve"> </w:t>
      </w:r>
      <w:r>
        <w:rPr>
          <w:i/>
          <w:iCs/>
          <w:rtl w:val="0"/>
        </w:rPr>
        <w:fldChar w:fldCharType="end"/>
      </w:r>
      <w:r>
        <w:fldChar w:fldCharType="begin"/>
      </w:r>
      <w:r>
        <w:instrText xml:space="preserve"> HYPERLINK "https://www.courtlistener.com/opinion/3198548/loren-wagner-v-russell-wagner-wanooka-farms/" \h </w:instrText>
      </w:r>
      <w:r>
        <w:fldChar w:fldCharType="separate"/>
      </w:r>
      <w:r>
        <w:rPr>
          <w:color w:val="1155CC"/>
          <w:u w:val="single"/>
          <w:rtl w:val="0"/>
        </w:rPr>
        <w:t>160 Idaho 294</w:t>
      </w:r>
      <w:r>
        <w:rPr>
          <w:color w:val="1155CC"/>
          <w:u w:val="single"/>
          <w:rtl w:val="0"/>
        </w:rPr>
        <w:fldChar w:fldCharType="end"/>
      </w:r>
      <w:r>
        <w:rPr>
          <w:rtl w:val="0"/>
        </w:rPr>
        <w:t>,</w:t>
      </w:r>
      <w:r>
        <w:fldChar w:fldCharType="begin"/>
      </w:r>
      <w:r>
        <w:instrText xml:space="preserve"> HYPERLINK "https://www.courtlistener.com/opinion/3198548/loren-wagner-v-russell-wagner-wanooka-farms/#815" \h </w:instrText>
      </w:r>
      <w:r>
        <w:fldChar w:fldCharType="separate"/>
      </w:r>
      <w:r>
        <w:rPr>
          <w:rtl w:val="0"/>
        </w:rPr>
        <w:t xml:space="preserve"> </w:t>
      </w:r>
      <w:r>
        <w:rPr>
          <w:rtl w:val="0"/>
        </w:rPr>
        <w:fldChar w:fldCharType="end"/>
      </w:r>
      <w:r>
        <w:fldChar w:fldCharType="begin"/>
      </w:r>
      <w:r>
        <w:instrText xml:space="preserve"> HYPERLINK "https://www.courtlistener.com/opinion/3198548/loren-wagner-v-russell-wagner-wanooka-farms/#815" \h </w:instrText>
      </w:r>
      <w:r>
        <w:fldChar w:fldCharType="separate"/>
      </w:r>
      <w:r>
        <w:rPr>
          <w:color w:val="1155CC"/>
          <w:u w:val="single"/>
          <w:rtl w:val="0"/>
        </w:rPr>
        <w:t>371 P.3d 807, 815</w:t>
      </w:r>
      <w:r>
        <w:rPr>
          <w:color w:val="1155CC"/>
          <w:u w:val="single"/>
          <w:rtl w:val="0"/>
        </w:rPr>
        <w:fldChar w:fldCharType="end"/>
      </w:r>
      <w:r>
        <w:rPr>
          <w:rtl w:val="0"/>
        </w:rPr>
        <w:t xml:space="preserve"> (2016) (finding appeal frivolous despite party’s assertions of issues of first impression); see also </w:t>
      </w:r>
      <w:r>
        <w:rPr>
          <w:i/>
          <w:iCs/>
          <w:rtl w:val="0"/>
        </w:rPr>
        <w:t>Nienke v. Naiman Grp., Ltd.,</w:t>
      </w:r>
      <w:r>
        <w:fldChar w:fldCharType="begin"/>
      </w:r>
      <w:r>
        <w:instrText xml:space="preserve"> HYPERLINK "https://www.courtlistener.com/opinion/1121373/nienke-v-naiman-group-ltd/#449" \h </w:instrText>
      </w:r>
      <w:r>
        <w:fldChar w:fldCharType="separate"/>
      </w:r>
      <w:r>
        <w:rPr>
          <w:i/>
          <w:iCs/>
          <w:rtl w:val="0"/>
        </w:rPr>
        <w:t xml:space="preserve"> </w:t>
      </w:r>
      <w:r>
        <w:rPr>
          <w:i/>
          <w:iCs/>
          <w:rtl w:val="0"/>
        </w:rPr>
        <w:fldChar w:fldCharType="end"/>
      </w:r>
      <w:r>
        <w:fldChar w:fldCharType="begin"/>
      </w:r>
      <w:r>
        <w:instrText xml:space="preserve"> HYPERLINK "https://www.courtlistener.com/opinion/1121373/nienke-v-naiman-group-ltd/#449" \h </w:instrText>
      </w:r>
      <w:r>
        <w:fldChar w:fldCharType="separate"/>
      </w:r>
      <w:r>
        <w:rPr>
          <w:color w:val="1155CC"/>
          <w:u w:val="single"/>
          <w:rtl w:val="0"/>
        </w:rPr>
        <w:t>857 P.2d 446, 449</w:t>
      </w:r>
      <w:r>
        <w:rPr>
          <w:color w:val="1155CC"/>
          <w:u w:val="single"/>
          <w:rtl w:val="0"/>
        </w:rPr>
        <w:fldChar w:fldCharType="end"/>
      </w:r>
      <w:r>
        <w:rPr>
          <w:rtl w:val="0"/>
        </w:rPr>
        <w:t xml:space="preserve"> (Colo. App. 1992) (issue of first impression may be frivolous if the party fails to present a rational argument in s</w:t>
      </w:r>
      <w:bookmarkStart w:id="0" w:name="_GoBack"/>
      <w:bookmarkEnd w:id="0"/>
      <w:r>
        <w:rPr>
          <w:rtl w:val="0"/>
        </w:rPr>
        <w:t xml:space="preserve">upport of it); </w:t>
      </w:r>
      <w:r>
        <w:rPr>
          <w:i/>
          <w:iCs/>
          <w:rtl w:val="0"/>
        </w:rPr>
        <w:t>Sullivan v. Lutz,</w:t>
      </w:r>
      <w:r>
        <w:fldChar w:fldCharType="begin"/>
      </w:r>
      <w:r>
        <w:instrText xml:space="preserve"> HYPERLINK "https://www.courtlistener.com/opinion/1199108/sullivan-v-lutz/#628" \h </w:instrText>
      </w:r>
      <w:r>
        <w:fldChar w:fldCharType="separate"/>
      </w:r>
      <w:r>
        <w:rPr>
          <w:i/>
          <w:iCs/>
          <w:rtl w:val="0"/>
        </w:rPr>
        <w:t xml:space="preserve"> </w:t>
      </w:r>
      <w:r>
        <w:rPr>
          <w:i/>
          <w:iCs/>
          <w:rtl w:val="0"/>
        </w:rPr>
        <w:fldChar w:fldCharType="end"/>
      </w:r>
      <w:r>
        <w:fldChar w:fldCharType="begin"/>
      </w:r>
      <w:r>
        <w:instrText xml:space="preserve"> HYPERLINK "https://www.courtlistener.com/opinion/1199108/sullivan-v-lutz/#628" \h </w:instrText>
      </w:r>
      <w:r>
        <w:fldChar w:fldCharType="separate"/>
      </w:r>
      <w:r>
        <w:rPr>
          <w:color w:val="1155CC"/>
          <w:u w:val="single"/>
          <w:rtl w:val="0"/>
        </w:rPr>
        <w:t>827 P.2d 626, 628</w:t>
      </w:r>
      <w:r>
        <w:rPr>
          <w:color w:val="1155CC"/>
          <w:u w:val="single"/>
          <w:rtl w:val="0"/>
        </w:rPr>
        <w:fldChar w:fldCharType="end"/>
      </w:r>
      <w:r>
        <w:rPr>
          <w:rtl w:val="0"/>
        </w:rPr>
        <w:t xml:space="preserve"> (Colo. App. 1992) (“[I]f a party fails to present plausible arguments in support of a novel claim, sanctions may be imposed under [section 13-17-102], irrespective of the subjective state of mind of the party or the attorney at the time the claim was asserted.”). The outcome of this appeal was preordained by case law, including, but by no means limited to, </w:t>
      </w:r>
      <w:r>
        <w:rPr>
          <w:i/>
          <w:iCs/>
          <w:rtl w:val="0"/>
        </w:rPr>
        <w:t xml:space="preserve">Argus Real Estate, Loveland Essential Group, </w:t>
      </w:r>
      <w:r>
        <w:rPr>
          <w:rtl w:val="0"/>
        </w:rPr>
        <w:t xml:space="preserve">and </w:t>
      </w:r>
      <w:r>
        <w:rPr>
          <w:i/>
          <w:iCs/>
          <w:rtl w:val="0"/>
        </w:rPr>
        <w:t xml:space="preserve">CLPF-Parkridge, </w:t>
      </w:r>
      <w:r>
        <w:rPr>
          <w:rtl w:val="0"/>
        </w:rPr>
        <w:t>which, though not in all applications directly on point, were sufficiently so that Layton had no chance of prevailing.</w:t>
      </w:r>
      <w:r>
        <w:fldChar w:fldCharType="begin"/>
      </w:r>
      <w:r>
        <w:instrText xml:space="preserve"> HYPERLINK "https://www.courtlistener.com/opinion/4316372/layton-construction-co-v-shaw-contract-flooring-services-inc/?q=Breach+of+contract+and+damages#fn14" \h </w:instrText>
      </w:r>
      <w:r>
        <w:fldChar w:fldCharType="separate"/>
      </w:r>
      <w:r>
        <w:rPr>
          <w:rtl w:val="0"/>
        </w:rPr>
        <w:t xml:space="preserve"> </w:t>
      </w:r>
      <w:r>
        <w:rPr>
          <w:rtl w:val="0"/>
        </w:rPr>
        <w:fldChar w:fldCharType="end"/>
      </w:r>
      <w:r>
        <w:fldChar w:fldCharType="begin"/>
      </w:r>
      <w:r>
        <w:instrText xml:space="preserve"> HYPERLINK "https://www.courtlistener.com/opinion/4316372/layton-construction-co-v-shaw-contract-flooring-services-inc/?q=Breach+of+contract+and+damages#fn14" \h </w:instrText>
      </w:r>
      <w:r>
        <w:fldChar w:fldCharType="separate"/>
      </w:r>
      <w:r>
        <w:rPr>
          <w:color w:val="1155CC"/>
          <w:u w:val="single"/>
          <w:rtl w:val="0"/>
        </w:rPr>
        <w:t>14</w:t>
      </w:r>
      <w:r>
        <w:rPr>
          <w:color w:val="1155CC"/>
          <w:u w:val="single"/>
          <w:rtl w:val="0"/>
        </w:rPr>
        <w:fldChar w:fldCharType="end"/>
      </w:r>
    </w:p>
    <w:p w14:paraId="1279CC00">
      <w:pPr>
        <w:spacing w:before="240" w:after="240"/>
      </w:pPr>
      <w:r>
        <w:rPr>
          <w:rtl w:val="0"/>
        </w:rPr>
        <w:t xml:space="preserve">¶ 35 Shaw is entitled to an award of reasonable appellate attorney fees against Lay-ton and its counsel, jointly and severally, </w:t>
      </w:r>
      <w:r>
        <w:rPr>
          <w:i/>
          <w:iCs/>
          <w:rtl w:val="0"/>
        </w:rPr>
        <w:t xml:space="preserve">See </w:t>
      </w:r>
      <w:r>
        <w:rPr>
          <w:rtl w:val="0"/>
        </w:rPr>
        <w:t>§ 13-17-102(3). We exercise our discretion under C.A.R. 39.1 to remand the ease to the district court for a determination of the amount of those fees.</w:t>
      </w:r>
    </w:p>
    <w:p w14:paraId="4B757332">
      <w:pPr>
        <w:spacing w:after="240"/>
      </w:pPr>
      <w:r>
        <w:rPr>
          <w:rtl w:val="0"/>
        </w:rPr>
        <w:t xml:space="preserve">The judgment is affirmed. We remand the case to the district court to determine the reasonable amount of Shaw’s attorney fees incurred on appeal. </w:t>
      </w:r>
      <w:r>
        <w:rPr>
          <w:i/>
          <w:iCs/>
          <w:rtl w:val="0"/>
        </w:rPr>
        <w:t xml:space="preserve">See </w:t>
      </w:r>
      <w:r>
        <w:rPr>
          <w:rtl w:val="0"/>
        </w:rPr>
        <w:t>C.A.R. 39.1.</w:t>
      </w:r>
    </w:p>
    <w:p w14:paraId="24C778EA">
      <w:r>
        <w:rPr>
          <w:rtl w:val="0"/>
        </w:rPr>
        <w:t xml:space="preserve">JUDGE GRAHAM and JUDGE MILLER concur. </w:t>
      </w:r>
    </w:p>
    <w:p w14:paraId="17D746E2"/>
    <w:p w14:paraId="01181518">
      <w:r>
        <w:rPr>
          <w:b/>
          <w:bCs/>
          <w:rtl w:val="0"/>
        </w:rPr>
        <w:t>KEY FACTS:</w:t>
      </w:r>
      <w:r>
        <w:rPr>
          <w:rtl w:val="0"/>
        </w:rPr>
        <w:t xml:space="preserve"> Layton was a general contractor, responsible for the construction of a hotel in Veil Colorado, when Layton hired the subcontractor shaw for work, the owner of property BCRE terminated its contract with Layton. So in return Layton sued the owner for monies, damages, cost didn’t provided to Layton. </w:t>
      </w:r>
    </w:p>
    <w:p w14:paraId="185B3B11"/>
    <w:p w14:paraId="5DCBC505">
      <w:r>
        <w:rPr>
          <w:b/>
          <w:bCs/>
          <w:rtl w:val="0"/>
        </w:rPr>
        <w:t>RELEVANCE</w:t>
      </w:r>
      <w:r>
        <w:rPr>
          <w:rtl w:val="0"/>
        </w:rPr>
        <w:t xml:space="preserve">: </w:t>
      </w:r>
    </w:p>
    <w:p w14:paraId="30A926F3">
      <w:r>
        <w:rPr>
          <w:rtl w:val="0"/>
        </w:rPr>
        <w:t>Why does this case matter</w:t>
      </w:r>
    </w:p>
    <w:p w14:paraId="4A09FCC6">
      <w:r>
        <w:rPr>
          <w:rtl w:val="0"/>
        </w:rPr>
        <w:t>What legal rule does it establish</w:t>
      </w:r>
    </w:p>
    <w:p w14:paraId="352BC90B">
      <w:r>
        <w:rPr>
          <w:rtl w:val="0"/>
        </w:rPr>
        <w:t>How would I use this in a job</w:t>
      </w:r>
    </w:p>
    <w:p w14:paraId="4B719DB3"/>
    <w:p w14:paraId="081EE7C3">
      <w:r>
        <w:rPr>
          <w:rtl w:val="0"/>
        </w:rPr>
        <w:t xml:space="preserve">This case matters because it established the legal rule on principle of Claim Preclusion. </w:t>
      </w:r>
    </w:p>
    <w:p w14:paraId="53D3CEC3"/>
    <w:p w14:paraId="5352B5C2">
      <w:r>
        <w:rPr>
          <w:rtl w:val="0"/>
        </w:rPr>
        <w:t xml:space="preserve">The established legal rule is that for a claim in a second judicial proceeding to be precluded by a previous judgment, there must exist; (1) finality of the first judgment, (2) identity of subject matter, (3) identity of claims for relief, (4) identity or privity between parties to the action. </w:t>
      </w:r>
    </w:p>
    <w:p w14:paraId="302F3DD8"/>
    <w:p w14:paraId="24212B09">
      <w:r>
        <w:rPr>
          <w:rtl w:val="0"/>
        </w:rPr>
        <w:t xml:space="preserve">I can show the established legal rule, if someone raises the same issues again in litigation. </w:t>
      </w:r>
    </w:p>
    <w:p w14:paraId="26268604"/>
    <w:p w14:paraId="04C08B4B"/>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3710C"/>
    <w:rsid w:val="5D502E92"/>
    <w:rsid w:val="7C2D1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2026-05-30T09:47:00Z</dcterms:created>
  <dc:creator>i7</dc:creator>
  <cp:lastModifiedBy>MuazzamRiaz AzamBopera</cp:lastModifiedBy>
  <dcterms:modified xsi:type="dcterms:W3CDTF">2026-05-30T12:10:55Z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C2629517025443DDAD0DF095DBCBEFCF_12</vt:lpwstr>
  </property>
</Properties>
</file>