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394BD">
      <w:pPr>
        <w:rPr>
          <w:rtl w:val="0"/>
        </w:rPr>
      </w:pPr>
      <w:r>
        <w:rPr>
          <w:b/>
          <w:bCs/>
          <w:rtl w:val="0"/>
        </w:rPr>
        <w:t>CASE BRIEF 2:</w:t>
      </w:r>
      <w:r>
        <w:rPr>
          <w:rtl w:val="0"/>
        </w:rPr>
        <w:t xml:space="preserve"> </w:t>
      </w:r>
      <w:r>
        <w:rPr>
          <w:rtl w:val="0"/>
        </w:rPr>
        <w:tab/>
      </w:r>
      <w:r>
        <w:rPr>
          <w:rtl w:val="0"/>
        </w:rPr>
        <w:tab/>
      </w:r>
      <w:r>
        <w:rPr>
          <w:rtl w:val="0"/>
        </w:rPr>
        <w:tab/>
      </w:r>
      <w:r>
        <w:rPr>
          <w:rtl w:val="0"/>
        </w:rPr>
        <w:t xml:space="preserve">Alabama Aircraft Industries Inc. v. Boeing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r>
      <w:r>
        <w:rPr>
          <w:rtl w:val="0"/>
        </w:rPr>
        <w:t>Company,</w:t>
      </w:r>
    </w:p>
    <w:p w14:paraId="476AB9D6">
      <w:pPr>
        <w:rPr>
          <w:rtl w:val="0"/>
        </w:rPr>
      </w:pPr>
    </w:p>
    <w:p w14:paraId="11D73697">
      <w:r>
        <w:rPr>
          <w:rtl w:val="0"/>
        </w:rPr>
        <w:t>CASE NAME:</w:t>
      </w:r>
      <w:r>
        <w:rPr>
          <w:rtl w:val="0"/>
        </w:rPr>
        <w:tab/>
      </w:r>
      <w:r>
        <w:rPr>
          <w:rtl w:val="0"/>
        </w:rPr>
        <w:tab/>
      </w:r>
      <w:r>
        <w:rPr>
          <w:rtl w:val="0"/>
        </w:rPr>
        <w:tab/>
      </w:r>
      <w:r>
        <w:rPr>
          <w:rtl w:val="0"/>
        </w:rPr>
        <w:tab/>
      </w:r>
      <w:r>
        <w:rPr>
          <w:rtl w:val="0"/>
        </w:rPr>
        <w:t xml:space="preserve">Alabama Aircraft Industries Inc. v. Boeing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t/>
      </w:r>
      <w:r>
        <w:rPr>
          <w:rFonts w:hint="default"/>
          <w:rtl w:val="0"/>
          <w:lang w:val="en-GB"/>
        </w:rPr>
        <w:tab/>
      </w:r>
      <w:r>
        <w:rPr>
          <w:rtl w:val="0"/>
        </w:rPr>
        <w:t>Company,</w:t>
      </w:r>
    </w:p>
    <w:p w14:paraId="77FF6292"/>
    <w:p w14:paraId="16FBCEE7">
      <w:r>
        <w:rPr>
          <w:rtl w:val="0"/>
        </w:rPr>
        <w:t>COURT:</w:t>
      </w:r>
      <w:r>
        <w:rPr>
          <w:rtl w:val="0"/>
        </w:rPr>
        <w:tab/>
      </w:r>
      <w:r>
        <w:rPr>
          <w:rtl w:val="0"/>
        </w:rPr>
        <w:tab/>
      </w:r>
      <w:r>
        <w:rPr>
          <w:rtl w:val="0"/>
        </w:rPr>
        <w:tab/>
      </w:r>
      <w:r>
        <w:rPr>
          <w:rtl w:val="0"/>
        </w:rPr>
        <w:tab/>
      </w:r>
      <w:r>
        <w:rPr>
          <w:rtl w:val="0"/>
        </w:rPr>
        <w:t>Court of Appeals for the Eleventh Circuit</w:t>
      </w:r>
    </w:p>
    <w:p w14:paraId="7B5FD37C"/>
    <w:p w14:paraId="757AF9E0">
      <w:r>
        <w:rPr>
          <w:rtl w:val="0"/>
        </w:rPr>
        <w:t>YEAR:</w:t>
      </w:r>
      <w:r>
        <w:rPr>
          <w:rtl w:val="0"/>
        </w:rPr>
        <w:tab/>
      </w:r>
      <w:r>
        <w:rPr>
          <w:rtl w:val="0"/>
        </w:rPr>
        <w:tab/>
      </w:r>
      <w:r>
        <w:rPr>
          <w:rtl w:val="0"/>
        </w:rPr>
        <w:tab/>
      </w:r>
      <w:r>
        <w:rPr>
          <w:rtl w:val="0"/>
        </w:rPr>
        <w:tab/>
      </w:r>
      <w:r>
        <w:rPr>
          <w:rtl w:val="0"/>
        </w:rPr>
        <w:tab/>
      </w:r>
      <w:r>
        <w:rPr>
          <w:rtl w:val="0"/>
        </w:rPr>
        <w:t>April 4, 2025</w:t>
      </w:r>
    </w:p>
    <w:p w14:paraId="138C3B8F"/>
    <w:p w14:paraId="5B095AC6">
      <w:r>
        <w:rPr>
          <w:rtl w:val="0"/>
        </w:rPr>
        <w:t>JURISDICTION:</w:t>
      </w:r>
      <w:r>
        <w:rPr>
          <w:rtl w:val="0"/>
        </w:rPr>
        <w:tab/>
      </w:r>
      <w:r>
        <w:rPr>
          <w:rtl w:val="0"/>
        </w:rPr>
        <w:tab/>
      </w:r>
      <w:r>
        <w:rPr>
          <w:rtl w:val="0"/>
        </w:rPr>
        <w:tab/>
      </w:r>
      <w:r>
        <w:rPr>
          <w:rtl w:val="0"/>
        </w:rPr>
        <w:t>The U.S. District Court for the Northern District of Alabama had original diversity jurisdiction under 28 U.S.C. § 1332.</w:t>
      </w:r>
      <w:r>
        <w:rPr>
          <w:rFonts w:hint="default"/>
          <w:rtl w:val="0"/>
          <w:lang w:val="en-GB"/>
        </w:rPr>
        <w:t xml:space="preserve"> </w:t>
      </w:r>
      <w:r>
        <w:rPr>
          <w:rtl w:val="0"/>
        </w:rPr>
        <w:t>The U.S. Court of Appeals for the Eleventh Circuit exercised appellate jurisdiction under 28 U.S.C. § 1291 to</w:t>
      </w:r>
      <w:r>
        <w:rPr>
          <w:rFonts w:hint="default"/>
          <w:rtl w:val="0"/>
          <w:lang w:val="en-GB"/>
        </w:rPr>
        <w:t xml:space="preserve"> </w:t>
      </w:r>
      <w:r>
        <w:rPr>
          <w:rtl w:val="0"/>
        </w:rPr>
        <w:t>review the district court’s final judgment.</w:t>
      </w:r>
    </w:p>
    <w:p w14:paraId="1696213D"/>
    <w:p w14:paraId="58EAC00A">
      <w:r>
        <w:rPr>
          <w:rtl w:val="0"/>
        </w:rPr>
        <w:t>ISSUES:</w:t>
      </w:r>
      <w:r>
        <w:rPr>
          <w:rtl w:val="0"/>
        </w:rPr>
        <w:tab/>
      </w:r>
      <w:r>
        <w:rPr>
          <w:rtl w:val="0"/>
        </w:rPr>
        <w:tab/>
      </w:r>
      <w:r>
        <w:rPr>
          <w:rtl w:val="0"/>
        </w:rPr>
        <w:tab/>
      </w:r>
      <w:r>
        <w:rPr>
          <w:rtl w:val="0"/>
        </w:rPr>
        <w:tab/>
      </w:r>
      <w:r>
        <w:rPr>
          <w:rtl w:val="0"/>
        </w:rPr>
        <w:t>Whether, at the motion to dismiss stage, the contractual damages limitation provision forecloses all of the damages</w:t>
      </w:r>
      <w:r>
        <w:rPr>
          <w:rFonts w:hint="default"/>
          <w:rtl w:val="0"/>
          <w:lang w:val="en-GB"/>
        </w:rPr>
        <w:t xml:space="preserve"> </w:t>
      </w:r>
      <w:r>
        <w:rPr>
          <w:rtl w:val="0"/>
        </w:rPr>
        <w:t>sought on that tort claim.</w:t>
      </w:r>
    </w:p>
    <w:p w14:paraId="0218060D"/>
    <w:p w14:paraId="2F7B450E"/>
    <w:p w14:paraId="78102B68">
      <w:r>
        <w:rPr>
          <w:rtl w:val="0"/>
        </w:rPr>
        <w:t>KEY FACTS:</w:t>
      </w:r>
      <w:r>
        <w:rPr>
          <w:rtl w:val="0"/>
        </w:rPr>
        <w:tab/>
      </w:r>
      <w:r>
        <w:rPr>
          <w:rtl w:val="0"/>
        </w:rPr>
        <w:tab/>
      </w:r>
      <w:r>
        <w:rPr>
          <w:rtl w:val="0"/>
        </w:rPr>
        <w:tab/>
      </w:r>
      <w:r>
        <w:rPr>
          <w:rtl w:val="0"/>
        </w:rPr>
        <w:tab/>
      </w:r>
      <w:r>
        <w:rPr>
          <w:rtl w:val="0"/>
        </w:rPr>
        <w:t xml:space="preserve">There has been a long and troubled relationship between the companies (Boeing and Pemco). Pemco asserts a single claim against Boeing for violation of Missouri trade secrets Act. Pemco and Boeing relationship has varied when it comes to servicing a fleet of Air Craft for the United </w:t>
      </w:r>
      <w:r>
        <w:rPr>
          <w:rtl w:val="0"/>
        </w:rPr>
        <w:tab/>
      </w:r>
      <w:r>
        <w:rPr>
          <w:rtl w:val="0"/>
        </w:rPr>
        <w:t>States Airforce.</w:t>
      </w:r>
    </w:p>
    <w:p w14:paraId="7696EF7B"/>
    <w:p w14:paraId="54389FB0">
      <w:r>
        <w:rPr>
          <w:rtl w:val="0"/>
        </w:rPr>
        <w:t xml:space="preserve">RELEVANCE: </w:t>
      </w:r>
      <w:r>
        <w:rPr>
          <w:rtl w:val="0"/>
        </w:rPr>
        <w:tab/>
      </w:r>
      <w:r>
        <w:rPr>
          <w:rtl w:val="0"/>
        </w:rPr>
        <w:tab/>
      </w:r>
      <w:r>
        <w:rPr>
          <w:rtl w:val="0"/>
        </w:rPr>
        <w:tab/>
      </w:r>
      <w:r>
        <w:rPr>
          <w:rtl w:val="0"/>
        </w:rPr>
        <w:tab/>
      </w:r>
      <w:r>
        <w:rPr>
          <w:rtl w:val="0"/>
        </w:rPr>
        <w:t>This case matter because the question is</w:t>
      </w:r>
      <w:r>
        <w:rPr>
          <w:rFonts w:hint="default"/>
          <w:rtl w:val="0"/>
          <w:lang w:val="en-GB"/>
        </w:rPr>
        <w:t xml:space="preserve"> </w:t>
      </w:r>
      <w:r>
        <w:rPr>
          <w:rtl w:val="0"/>
        </w:rPr>
        <w:t>whether, at the motion to dismiss stage, the contractual damages limitation provision forecloses all of the damages sought on that tort claim. The answer is that it almost does, but not quite. That answer comes from the plain language</w:t>
      </w:r>
      <w:r>
        <w:rPr>
          <w:rFonts w:hint="default"/>
          <w:rtl w:val="0"/>
          <w:lang w:val="en-GB"/>
        </w:rPr>
        <w:t xml:space="preserve"> </w:t>
      </w:r>
      <w:r>
        <w:rPr>
          <w:rtl w:val="0"/>
        </w:rPr>
        <w:t>of the parties’ contractual provision read in light of the Missouri Uniform Trade Secrets Act (aka “the Missouri Trade Secrets Act”).</w:t>
      </w:r>
    </w:p>
    <w:p w14:paraId="3CED3CF9">
      <w:pPr>
        <w:rPr>
          <w:rtl w:val="0"/>
        </w:rPr>
      </w:pPr>
    </w:p>
    <w:p w14:paraId="5B3814FC">
      <w:pPr>
        <w:rPr>
          <w:rFonts w:hint="default"/>
          <w:rtl w:val="0"/>
          <w:lang w:val="en-GB"/>
        </w:rPr>
      </w:pPr>
      <w:r>
        <w:rPr>
          <w:rtl w:val="0"/>
        </w:rPr>
        <w:t>It was held that the damages limitation provision forecloses contract damages but does not foreclose tort damages for misappropriation of trade secrets.</w:t>
      </w:r>
      <w:r>
        <w:rPr>
          <w:rFonts w:hint="default"/>
          <w:rtl w:val="0"/>
          <w:lang w:val="en-GB"/>
        </w:rPr>
        <w:t xml:space="preserve"> </w:t>
      </w:r>
      <w:r>
        <w:rPr>
          <w:rtl w:val="0"/>
        </w:rPr>
        <w:t xml:space="preserve">I can use this in my job as a reference for whenever there </w:t>
      </w:r>
      <w:r>
        <w:rPr>
          <w:rtl w:val="0"/>
        </w:rPr>
        <w:tab/>
      </w:r>
      <w:r>
        <w:rPr>
          <w:rtl w:val="0"/>
        </w:rPr>
        <w:t xml:space="preserve">are trade secrets on the line, in a non disclosure agreement, the breaching party may still be liable for trade secret misappropriation even if the NDA's damages </w:t>
      </w:r>
      <w:r>
        <w:rPr>
          <w:rFonts w:hint="default"/>
          <w:rtl w:val="0"/>
          <w:lang w:val="en-GB"/>
        </w:rPr>
        <w:t>l</w:t>
      </w:r>
      <w:r>
        <w:rPr>
          <w:rtl w:val="0"/>
        </w:rPr>
        <w:t>imitation provision applies, even if the damages limitation provision is applied.</w:t>
      </w:r>
      <w:r>
        <w:rPr>
          <w:rFonts w:hint="default"/>
          <w:rtl w:val="0"/>
          <w:lang w:val="en-GB"/>
        </w:rPr>
        <w:t xml:space="preserve"> </w:t>
      </w:r>
    </w:p>
    <w:p w14:paraId="145A2089">
      <w:pPr>
        <w:rPr>
          <w:rFonts w:hint="default"/>
          <w:rtl w:val="0"/>
          <w:lang w:val="en-GB"/>
        </w:rPr>
      </w:pPr>
    </w:p>
    <w:p w14:paraId="6D4C4F97">
      <w:pPr>
        <w:rPr>
          <w:rtl w:val="0"/>
        </w:rPr>
      </w:pPr>
      <w:r>
        <w:rPr>
          <w:rtl w:val="0"/>
        </w:rPr>
        <w:t xml:space="preserve">I can use this case as a reference whenever trade secrets are involved in a non-disclosure agreement. Even if the NDA has a damages limitation provision, the breaching party may still be liable for trade secret misappropriation. </w:t>
      </w:r>
    </w:p>
    <w:p w14:paraId="5CB50A89">
      <w:pPr>
        <w:rPr>
          <w:rtl w:val="0"/>
        </w:rPr>
      </w:pPr>
    </w:p>
    <w:p w14:paraId="6ABACF67">
      <w:r>
        <w:rPr>
          <w:rtl w:val="0"/>
        </w:rPr>
        <w:t xml:space="preserve">This helps me advise clients that NDAs with damages caps </w:t>
      </w:r>
      <w:r>
        <w:rPr>
          <w:rFonts w:hint="default"/>
          <w:rtl w:val="0"/>
          <w:lang w:val="en-GB"/>
        </w:rPr>
        <w:t>s</w:t>
      </w:r>
      <w:r>
        <w:rPr>
          <w:rtl w:val="0"/>
        </w:rPr>
        <w:t>till offer protection for trade secrets.</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AD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2026-05-31T08:23:35Z</dcterms:created>
  <dc:creator>i7</dc:creator>
  <cp:lastModifiedBy>MuazzamRiaz AzamBopera</cp:lastModifiedBy>
  <dcterms:modified xsi:type="dcterms:W3CDTF">2026-05-31T08:28:35Z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6C9F22C400AA41CE87BE4FFF3BE4DC0E_12</vt:lpwstr>
  </property>
</Properties>
</file>