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64">
      <w:pPr>
        <w:rPr>
          <w:b/>
          <w:bCs/>
        </w:rPr>
      </w:pPr>
      <w:r>
        <w:rPr>
          <w:b/>
          <w:bCs/>
          <w:rtl w:val="0"/>
        </w:rPr>
        <w:t>CASE BRIEF 3:</w:t>
      </w:r>
      <w:r>
        <w:rPr>
          <w:b/>
          <w:bCs/>
          <w:rtl w:val="0"/>
        </w:rPr>
        <w:tab/>
      </w:r>
      <w:r>
        <w:rPr>
          <w:b/>
          <w:bCs/>
          <w:rtl w:val="0"/>
        </w:rPr>
        <w:t>Jkb Solutions and Services, LLC. v. United States</w:t>
      </w:r>
    </w:p>
    <w:p w14:paraId="00000065">
      <w:pPr>
        <w:rPr>
          <w:b/>
          <w:bCs/>
        </w:rPr>
      </w:pPr>
    </w:p>
    <w:p w14:paraId="00000066">
      <w:r>
        <w:rPr>
          <w:rtl w:val="0"/>
        </w:rPr>
        <w:t>COURT:</w:t>
      </w:r>
      <w:r>
        <w:rPr>
          <w:rtl w:val="0"/>
        </w:rPr>
        <w:tab/>
      </w:r>
      <w:r>
        <w:rPr>
          <w:rtl w:val="0"/>
        </w:rPr>
        <w:tab/>
      </w:r>
    </w:p>
    <w:p w14:paraId="00000067">
      <w:r>
        <w:rPr>
          <w:rtl w:val="0"/>
        </w:rPr>
        <w:t>United States Court of Federal Claims</w:t>
      </w:r>
    </w:p>
    <w:p w14:paraId="00000068"/>
    <w:p w14:paraId="00000069">
      <w:r>
        <w:rPr>
          <w:rtl w:val="0"/>
        </w:rPr>
        <w:t>YEAR:</w:t>
      </w:r>
      <w:r>
        <w:rPr>
          <w:rtl w:val="0"/>
        </w:rPr>
        <w:tab/>
      </w:r>
      <w:r>
        <w:rPr>
          <w:rtl w:val="0"/>
        </w:rPr>
        <w:tab/>
      </w:r>
      <w:r>
        <w:rPr>
          <w:rtl w:val="0"/>
        </w:rPr>
        <w:tab/>
      </w:r>
    </w:p>
    <w:p w14:paraId="0000006A">
      <w:r>
        <w:rPr>
          <w:rtl w:val="0"/>
        </w:rPr>
        <w:t>Oct 16, 2020</w:t>
      </w:r>
    </w:p>
    <w:p w14:paraId="0000006B"/>
    <w:p w14:paraId="0000006C">
      <w:r>
        <w:rPr>
          <w:rtl w:val="0"/>
        </w:rPr>
        <w:t>JURISDICTION:</w:t>
      </w:r>
      <w:r>
        <w:rPr>
          <w:rtl w:val="0"/>
        </w:rPr>
        <w:tab/>
      </w:r>
    </w:p>
    <w:p w14:paraId="0000006D">
      <w:r>
        <w:rPr>
          <w:rtl w:val="0"/>
        </w:rPr>
        <w:t xml:space="preserve">The </w:t>
      </w:r>
      <w:r>
        <w:rPr>
          <w:b/>
          <w:bCs/>
          <w:rtl w:val="0"/>
        </w:rPr>
        <w:t>United States Court of Federal Claims</w:t>
      </w:r>
      <w:r>
        <w:rPr>
          <w:rtl w:val="0"/>
        </w:rPr>
        <w:t xml:space="preserve"> exercised </w:t>
      </w:r>
      <w:r>
        <w:rPr>
          <w:b/>
          <w:bCs/>
          <w:rtl w:val="0"/>
        </w:rPr>
        <w:t>subject-matter jurisdiction</w:t>
      </w:r>
      <w:r>
        <w:rPr>
          <w:rtl w:val="0"/>
        </w:rPr>
        <w:t xml:space="preserve"> over this breach of contract claim under the </w:t>
      </w:r>
      <w:r>
        <w:rPr>
          <w:b/>
          <w:bCs/>
          <w:rtl w:val="0"/>
        </w:rPr>
        <w:t>Tucker Act, 28 U.S.C. § 1491(a)(1)</w:t>
      </w:r>
      <w:r>
        <w:rPr>
          <w:rtl w:val="0"/>
        </w:rPr>
        <w:t xml:space="preserve">, and the </w:t>
      </w:r>
      <w:r>
        <w:rPr>
          <w:b/>
          <w:bCs/>
          <w:rtl w:val="0"/>
        </w:rPr>
        <w:t>Contract Disputes Act, 41 U.S.C. § 7104(b)</w:t>
      </w:r>
      <w:r>
        <w:rPr>
          <w:rtl w:val="0"/>
        </w:rPr>
        <w:t xml:space="preserve">. As a court with </w:t>
      </w:r>
      <w:r>
        <w:rPr>
          <w:b/>
          <w:bCs/>
          <w:rtl w:val="0"/>
        </w:rPr>
        <w:t>nationwide geographic jurisdiction</w:t>
      </w:r>
      <w:r>
        <w:rPr>
          <w:rtl w:val="0"/>
        </w:rPr>
        <w:t>, it has the authority to hear claims for money damages against the United States government arising from federal contracts anywhere in the country.</w:t>
      </w:r>
    </w:p>
    <w:p w14:paraId="0000006E"/>
    <w:p w14:paraId="0000006F">
      <w:r>
        <w:rPr>
          <w:rtl w:val="0"/>
        </w:rPr>
        <w:t>ISSUES:</w:t>
      </w:r>
      <w:r>
        <w:rPr>
          <w:rtl w:val="0"/>
        </w:rPr>
        <w:tab/>
      </w:r>
      <w:r>
        <w:rPr>
          <w:rtl w:val="0"/>
        </w:rPr>
        <w:tab/>
      </w:r>
      <w:r>
        <w:rPr>
          <w:rtl w:val="0"/>
        </w:rPr>
        <w:t xml:space="preserve"> </w:t>
      </w:r>
    </w:p>
    <w:p w14:paraId="00000070">
      <w:r>
        <w:rPr>
          <w:rtl w:val="0"/>
        </w:rPr>
        <w:t>Whether FAR 52.212-4(l) applies to a service contract when it was designed for commercial item contracts.</w:t>
      </w:r>
    </w:p>
    <w:p w14:paraId="00000071"/>
    <w:p w14:paraId="00000072">
      <w:r>
        <w:rPr>
          <w:rtl w:val="0"/>
        </w:rPr>
        <w:t>KEY FACTS:</w:t>
      </w:r>
      <w:r>
        <w:rPr>
          <w:rtl w:val="0"/>
        </w:rPr>
        <w:tab/>
      </w:r>
      <w:r>
        <w:rPr>
          <w:rtl w:val="0"/>
        </w:rPr>
        <w:tab/>
      </w:r>
    </w:p>
    <w:p w14:paraId="00000073">
      <w:r>
        <w:rPr>
          <w:rtl w:val="0"/>
        </w:rPr>
        <w:t>The Army issued task orders for each one-year ordering period under the contract. The Army did not order the full fourteen courses during any ordering period. JKB alleged that the Army breached its contractual duty by refusing to pay for fourteen courses per period. The contract incorporated a termination for convenience clause (FAR 52.212-4(l)), which the Army argued limited its liability.</w:t>
      </w:r>
    </w:p>
    <w:p w14:paraId="00000074"/>
    <w:p w14:paraId="00000075">
      <w:r>
        <w:rPr>
          <w:rtl w:val="0"/>
        </w:rPr>
        <w:t>RELEVANCE:</w:t>
      </w:r>
      <w:r>
        <w:rPr>
          <w:rtl w:val="0"/>
        </w:rPr>
        <w:tab/>
      </w:r>
      <w:r>
        <w:rPr>
          <w:rtl w:val="0"/>
        </w:rPr>
        <w:tab/>
      </w:r>
      <w:r>
        <w:rPr>
          <w:rtl w:val="0"/>
        </w:rPr>
        <w:tab/>
      </w:r>
    </w:p>
    <w:p w14:paraId="00000076">
      <w:r>
        <w:rPr>
          <w:rtl w:val="0"/>
        </w:rPr>
        <w:t>Because it's about termination for convenience clauses applying to service contracts</w:t>
      </w:r>
    </w:p>
    <w:p w14:paraId="00000077"/>
    <w:p w14:paraId="00000078">
      <w:r>
        <w:rPr>
          <w:rtl w:val="0"/>
        </w:rPr>
        <w:t>The government can constructively terminate and limit damages to termination costs</w:t>
      </w:r>
    </w:p>
    <w:p w14:paraId="00000079"/>
    <w:p w14:paraId="18FC0FDC">
      <w:r>
        <w:rPr>
          <w:rtl w:val="0"/>
        </w:rPr>
        <w:t xml:space="preserve">To advise contractors about their rights when the government reduces orders </w:t>
      </w:r>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DC233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2026-05-31T08:32:50Z</dcterms:created>
  <dc:creator>i7</dc:creator>
  <cp:lastModifiedBy>MuazzamRiaz AzamBopera</cp:lastModifiedBy>
  <dcterms:modified xsi:type="dcterms:W3CDTF">2026-05-31T08:33:22Z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522CDB5EF74A42BA8071AA122A2FF8CF_12</vt:lpwstr>
  </property>
</Properties>
</file>