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7D">
      <w:pPr>
        <w:rPr>
          <w:b/>
          <w:bCs/>
        </w:rPr>
      </w:pPr>
      <w:r>
        <w:rPr>
          <w:b/>
          <w:bCs/>
          <w:rtl w:val="0"/>
        </w:rPr>
        <w:t>CASE BRIEF 4:</w:t>
      </w:r>
      <w:r>
        <w:rPr>
          <w:b/>
          <w:bCs/>
          <w:rtl w:val="0"/>
        </w:rPr>
        <w:tab/>
      </w:r>
      <w:r>
        <w:rPr>
          <w:b/>
          <w:bCs/>
          <w:rtl w:val="0"/>
        </w:rPr>
        <w:tab/>
      </w:r>
      <w:r>
        <w:rPr>
          <w:b/>
          <w:bCs/>
          <w:rtl w:val="0"/>
        </w:rPr>
        <w:t xml:space="preserve">Audrey Korshoff v. Wesley Financial Group, LLC </w:t>
      </w:r>
    </w:p>
    <w:p w14:paraId="0000007E">
      <w:r>
        <w:rPr>
          <w:rtl w:val="0"/>
        </w:rPr>
        <w:t>CASE NAME:</w:t>
      </w:r>
      <w:r>
        <w:rPr>
          <w:rtl w:val="0"/>
        </w:rPr>
        <w:tab/>
      </w:r>
      <w:r>
        <w:rPr>
          <w:rtl w:val="0"/>
        </w:rPr>
        <w:tab/>
      </w:r>
      <w:r>
        <w:rPr>
          <w:rtl w:val="0"/>
        </w:rPr>
        <w:tab/>
      </w:r>
      <w:r>
        <w:rPr>
          <w:rtl w:val="0"/>
        </w:rPr>
        <w:t xml:space="preserve">Audrey Korshoff v. Wesley Financial Group, LLC </w:t>
      </w:r>
    </w:p>
    <w:p w14:paraId="0000007F"/>
    <w:p w14:paraId="00000080">
      <w:r>
        <w:rPr>
          <w:rtl w:val="0"/>
        </w:rPr>
        <w:t>COURT:</w:t>
      </w:r>
      <w:r>
        <w:rPr>
          <w:rtl w:val="0"/>
        </w:rPr>
        <w:tab/>
      </w:r>
      <w:r>
        <w:rPr>
          <w:rtl w:val="0"/>
        </w:rPr>
        <w:tab/>
      </w:r>
      <w:r>
        <w:rPr>
          <w:rtl w:val="0"/>
        </w:rPr>
        <w:tab/>
      </w:r>
      <w:r>
        <w:rPr>
          <w:rtl w:val="0"/>
        </w:rPr>
        <w:t>Court of Appeal of Tennessee</w:t>
      </w:r>
    </w:p>
    <w:p w14:paraId="00000081"/>
    <w:p w14:paraId="00000086">
      <w:r>
        <w:rPr>
          <w:rtl w:val="0"/>
        </w:rPr>
        <w:t>JURISDICTION:</w:t>
      </w:r>
      <w:r>
        <w:rPr>
          <w:rtl w:val="0"/>
        </w:rPr>
        <w:tab/>
      </w:r>
      <w:r>
        <w:rPr>
          <w:rtl w:val="0"/>
        </w:rPr>
        <w:tab/>
      </w:r>
      <w:r>
        <w:rPr>
          <w:rtl w:val="0"/>
        </w:rPr>
        <w:t xml:space="preserve">In </w:t>
      </w:r>
      <w:r>
        <w:rPr>
          <w:i/>
          <w:iCs/>
          <w:rtl w:val="0"/>
        </w:rPr>
        <w:t>Audrey Korshoff v. Wesley Financial Group, LLC</w:t>
      </w:r>
      <w:r>
        <w:rPr>
          <w:rtl w:val="0"/>
        </w:rPr>
        <w:t>, the</w:t>
      </w:r>
      <w:r>
        <w:rPr>
          <w:rFonts w:hint="default"/>
          <w:rtl w:val="0"/>
          <w:lang w:val="en-GB"/>
        </w:rPr>
        <w:t xml:space="preserve"> </w:t>
      </w:r>
      <w:r>
        <w:rPr>
          <w:rtl w:val="0"/>
        </w:rPr>
        <w:t>Circuit Court for Williamson County exercised subject matter and</w:t>
      </w:r>
      <w:r>
        <w:rPr>
          <w:rFonts w:hint="default"/>
          <w:rtl w:val="0"/>
          <w:lang w:val="en-GB"/>
        </w:rPr>
        <w:t xml:space="preserve"> </w:t>
      </w:r>
      <w:r>
        <w:rPr>
          <w:rtl w:val="0"/>
        </w:rPr>
        <w:t xml:space="preserve">personal jurisdiction over the civil dispute. The Court of Appeals of </w:t>
      </w:r>
      <w:r>
        <w:rPr>
          <w:rFonts w:hint="default"/>
          <w:rtl w:val="0"/>
          <w:lang w:val="en-GB"/>
        </w:rPr>
        <w:t>T</w:t>
      </w:r>
      <w:r>
        <w:rPr>
          <w:rtl w:val="0"/>
        </w:rPr>
        <w:t xml:space="preserve">ennessee at Nashville holds appellate jurisdiction under Tenn. R. </w:t>
      </w:r>
      <w:r>
        <w:rPr>
          <w:rtl w:val="0"/>
        </w:rPr>
        <w:tab/>
      </w:r>
      <w:r>
        <w:rPr>
          <w:rtl w:val="0"/>
        </w:rPr>
        <w:t>App. P. 3 regarding the final judgment.</w:t>
      </w:r>
    </w:p>
    <w:p w14:paraId="00000087"/>
    <w:p w14:paraId="00000088">
      <w:r>
        <w:rPr>
          <w:rtl w:val="0"/>
        </w:rPr>
        <w:t>ISSUES:</w:t>
      </w:r>
      <w:r>
        <w:rPr>
          <w:rtl w:val="0"/>
        </w:rPr>
        <w:tab/>
      </w:r>
      <w:r>
        <w:rPr>
          <w:rtl w:val="0"/>
        </w:rPr>
        <w:tab/>
      </w:r>
      <w:r>
        <w:rPr>
          <w:rtl w:val="0"/>
        </w:rPr>
        <w:tab/>
      </w:r>
      <w:r>
        <w:rPr>
          <w:rtl w:val="0"/>
        </w:rPr>
        <w:t>Whether the jury could award damages for both breach of contract AND unjust enrichment for the same conduct.</w:t>
      </w:r>
    </w:p>
    <w:p w14:paraId="00000089">
      <w:r>
        <w:rPr>
          <w:rtl w:val="0"/>
        </w:rPr>
        <w:t>Whether the trial court properly performed its role as "thirteenth juror" in approving the retaliatory discharge verdict.</w:t>
      </w:r>
    </w:p>
    <w:p w14:paraId="0000008A">
      <w:r>
        <w:rPr>
          <w:rtl w:val="0"/>
        </w:rPr>
        <w:t>Whether punitive damages were warranted in this case.</w:t>
      </w:r>
    </w:p>
    <w:p w14:paraId="0000008B">
      <w:r>
        <w:rPr>
          <w:rtl w:val="0"/>
        </w:rPr>
        <w:t>Whether the trial court correctly applied the punitive damages factors.</w:t>
      </w:r>
    </w:p>
    <w:p w14:paraId="0000008C">
      <w:r>
        <w:rPr>
          <w:rtl w:val="0"/>
        </w:rPr>
        <w:t>Whether the punitive damages award violates the Due Process Clause.</w:t>
      </w:r>
    </w:p>
    <w:p w14:paraId="0000008D"/>
    <w:p w14:paraId="0000008E">
      <w:r>
        <w:rPr>
          <w:rtl w:val="0"/>
        </w:rPr>
        <w:t>HOLDING:</w:t>
      </w:r>
      <w:r>
        <w:rPr>
          <w:rtl w:val="0"/>
        </w:rPr>
        <w:tab/>
      </w:r>
      <w:r>
        <w:rPr>
          <w:rtl w:val="0"/>
        </w:rPr>
        <w:tab/>
      </w:r>
      <w:r>
        <w:rPr>
          <w:rtl w:val="0"/>
        </w:rPr>
        <w:tab/>
      </w:r>
      <w:r>
        <w:rPr>
          <w:rtl w:val="0"/>
        </w:rPr>
        <w:t xml:space="preserve">The Court of Appeals </w:t>
      </w:r>
      <w:r>
        <w:rPr>
          <w:b/>
          <w:bCs/>
          <w:rtl w:val="0"/>
        </w:rPr>
        <w:t>AFFIRMED</w:t>
      </w:r>
      <w:r>
        <w:rPr>
          <w:rtl w:val="0"/>
        </w:rPr>
        <w:t xml:space="preserve"> (upheld) the trial court's judgment in all respects. The court held that:</w:t>
      </w:r>
    </w:p>
    <w:p w14:paraId="0000008F">
      <w:pPr>
        <w:numPr>
          <w:ilvl w:val="0"/>
          <w:numId w:val="1"/>
        </w:numPr>
        <w:spacing w:before="240" w:after="0" w:afterAutospacing="0"/>
        <w:ind w:left="720" w:hanging="360"/>
      </w:pPr>
      <w:r>
        <w:rPr>
          <w:rtl w:val="0"/>
        </w:rPr>
        <w:t>The jury could award both contract and unjust enrichment damages because they covered different time periods (pre-termination vs. post-termination).</w:t>
      </w:r>
    </w:p>
    <w:p w14:paraId="00000090">
      <w:pPr>
        <w:numPr>
          <w:ilvl w:val="0"/>
          <w:numId w:val="1"/>
        </w:numPr>
        <w:spacing w:before="0" w:beforeAutospacing="0" w:after="0" w:afterAutospacing="0"/>
        <w:ind w:left="720" w:hanging="360"/>
      </w:pPr>
      <w:r>
        <w:rPr>
          <w:rtl w:val="0"/>
        </w:rPr>
        <w:t>The trial court properly performed its role as thirteenth juror.</w:t>
      </w:r>
    </w:p>
    <w:p w14:paraId="00000091">
      <w:pPr>
        <w:numPr>
          <w:ilvl w:val="0"/>
          <w:numId w:val="1"/>
        </w:numPr>
        <w:spacing w:before="0" w:beforeAutospacing="0" w:after="0" w:afterAutospacing="0"/>
        <w:ind w:left="720" w:hanging="360"/>
      </w:pPr>
      <w:r>
        <w:rPr>
          <w:rtl w:val="0"/>
        </w:rPr>
        <w:t>Punitive damages were warranted because Wesley acted intentionally, created a pretext for termination, and engaged in "wage theft."</w:t>
      </w:r>
    </w:p>
    <w:p w14:paraId="00000092">
      <w:pPr>
        <w:numPr>
          <w:ilvl w:val="0"/>
          <w:numId w:val="1"/>
        </w:numPr>
        <w:spacing w:before="0" w:beforeAutospacing="0" w:after="0" w:afterAutospacing="0"/>
        <w:ind w:left="720" w:hanging="360"/>
      </w:pPr>
      <w:r>
        <w:rPr>
          <w:rtl w:val="0"/>
        </w:rPr>
        <w:t>The punitive damages factors were correctly applied.</w:t>
      </w:r>
    </w:p>
    <w:p w14:paraId="00000093">
      <w:pPr>
        <w:numPr>
          <w:ilvl w:val="0"/>
          <w:numId w:val="1"/>
        </w:numPr>
        <w:spacing w:before="0" w:beforeAutospacing="0" w:after="240"/>
        <w:ind w:left="720" w:hanging="360"/>
      </w:pPr>
      <w:r>
        <w:rPr>
          <w:rtl w:val="0"/>
        </w:rPr>
        <w:t>The reduced award (to the statutory cap) is constitutional.</w:t>
      </w:r>
    </w:p>
    <w:p w14:paraId="00000094"/>
    <w:p w14:paraId="00000095">
      <w:r>
        <w:rPr>
          <w:rtl w:val="0"/>
        </w:rPr>
        <w:t>KEY FACTS:</w:t>
      </w:r>
      <w:r>
        <w:rPr>
          <w:rtl w:val="0"/>
        </w:rPr>
        <w:tab/>
      </w:r>
      <w:r>
        <w:rPr>
          <w:rtl w:val="0"/>
        </w:rPr>
        <w:tab/>
      </w:r>
      <w:r>
        <w:rPr>
          <w:rtl w:val="0"/>
        </w:rPr>
        <w:tab/>
      </w:r>
      <w:r>
        <w:rPr>
          <w:rtl w:val="0"/>
        </w:rPr>
        <w:t>Ms. Korshoff worked as Director of Business Development for Wesley. She had an oral contract for $250 commission per closed lead. Her marketing efforts (including an AARP campaign) generated millions in revenue for Wesley. Wesley stopped paying her commissions. When she complained, Wesley fired her for "attendance" issues, which was a pretext (false reason). She sued for breach of contract, unjust enrichment, retaliatory discharge, and intentional misrepresentation. The jury awarded her $60,000 for breach of contract, $201,000 for unjust enrichment, $18,750 for retaliatory discharge, and $7.5 million in punitive damages (later reduced to $559,500 by statutory cap). Wesley appealed.</w:t>
      </w:r>
    </w:p>
    <w:p w14:paraId="00000096"/>
    <w:p w14:paraId="00000097">
      <w:r>
        <w:rPr>
          <w:rtl w:val="0"/>
        </w:rPr>
        <w:t>RELEVANCE:</w:t>
      </w:r>
      <w:r>
        <w:rPr>
          <w:rtl w:val="0"/>
        </w:rPr>
        <w:tab/>
      </w:r>
      <w:r>
        <w:rPr>
          <w:rtl w:val="0"/>
        </w:rPr>
        <w:tab/>
      </w:r>
      <w:r>
        <w:rPr>
          <w:rtl w:val="0"/>
        </w:rPr>
        <w:tab/>
      </w:r>
      <w:r>
        <w:rPr>
          <w:b/>
          <w:bCs/>
          <w:rtl w:val="0"/>
        </w:rPr>
        <w:t>Why this case matters:</w:t>
      </w:r>
      <w:r>
        <w:rPr>
          <w:rtl w:val="0"/>
        </w:rPr>
        <w:t xml:space="preserve"> This case protects employees from employers who steal earned commissions and fire them for complaining. It also clarifies that punitive damages are available in contract cases when the employer acts intentionally.</w:t>
      </w:r>
    </w:p>
    <w:p w14:paraId="00000098">
      <w:pPr>
        <w:spacing w:before="240" w:after="240"/>
        <w:rPr>
          <w:b/>
          <w:bCs/>
        </w:rPr>
      </w:pPr>
      <w:r>
        <w:rPr>
          <w:b/>
          <w:bCs/>
          <w:rtl w:val="0"/>
        </w:rPr>
        <w:t>Legal rule established:</w:t>
      </w:r>
    </w:p>
    <w:p w14:paraId="00000099">
      <w:pPr>
        <w:numPr>
          <w:ilvl w:val="0"/>
          <w:numId w:val="2"/>
        </w:numPr>
        <w:spacing w:before="240" w:after="0" w:afterAutospacing="0"/>
        <w:ind w:left="720" w:hanging="360"/>
      </w:pPr>
      <w:r>
        <w:rPr>
          <w:rtl w:val="0"/>
        </w:rPr>
        <w:t>An employer cannot fire an employee for seeking earned commissions (retaliatory discharge).</w:t>
      </w:r>
    </w:p>
    <w:p w14:paraId="0000009A">
      <w:pPr>
        <w:numPr>
          <w:ilvl w:val="0"/>
          <w:numId w:val="2"/>
        </w:numPr>
        <w:spacing w:before="0" w:beforeAutospacing="0" w:after="0" w:afterAutospacing="0"/>
        <w:ind w:left="720" w:hanging="360"/>
      </w:pPr>
      <w:r>
        <w:rPr>
          <w:rtl w:val="0"/>
        </w:rPr>
        <w:t>A jury can award both contract damages (for work done) and unjust enrichment (for benefits received after termination) if they cover different time periods.</w:t>
      </w:r>
    </w:p>
    <w:p w14:paraId="0000009B">
      <w:pPr>
        <w:numPr>
          <w:ilvl w:val="0"/>
          <w:numId w:val="2"/>
        </w:numPr>
        <w:spacing w:before="0" w:beforeAutospacing="0" w:after="240"/>
        <w:ind w:left="720" w:hanging="360"/>
      </w:pPr>
      <w:r>
        <w:rPr>
          <w:rtl w:val="0"/>
        </w:rPr>
        <w:t>Punitive damages are warranted when an employer creates a pretextual reason for termination to avoid paying commissions.</w:t>
      </w:r>
    </w:p>
    <w:p w14:paraId="0000009C">
      <w:pPr>
        <w:spacing w:before="240" w:after="240"/>
        <w:rPr>
          <w:b/>
          <w:bCs/>
        </w:rPr>
      </w:pPr>
      <w:r>
        <w:rPr>
          <w:b/>
          <w:bCs/>
          <w:rtl w:val="0"/>
        </w:rPr>
        <w:t>How I would use this in a job:</w:t>
      </w:r>
    </w:p>
    <w:p w14:paraId="0000009D">
      <w:pPr>
        <w:numPr>
          <w:ilvl w:val="0"/>
          <w:numId w:val="3"/>
        </w:numPr>
        <w:spacing w:before="240" w:after="0" w:afterAutospacing="0"/>
        <w:ind w:left="720" w:hanging="360"/>
      </w:pPr>
      <w:r>
        <w:rPr>
          <w:rtl w:val="0"/>
        </w:rPr>
        <w:t>To advise clients that firing an employee for complaining about unpaid commissions is illegal.</w:t>
      </w:r>
    </w:p>
    <w:p w14:paraId="0000009E">
      <w:pPr>
        <w:numPr>
          <w:ilvl w:val="0"/>
          <w:numId w:val="3"/>
        </w:numPr>
        <w:spacing w:before="0" w:beforeAutospacing="0" w:after="240"/>
        <w:ind w:left="720" w:hanging="360"/>
      </w:pPr>
      <w:r>
        <w:rPr>
          <w:rtl w:val="0"/>
        </w:rPr>
        <w:t>To argue that punitive damages should be considered when an employer acts intentionally and creates false reasons for termination.</w:t>
      </w:r>
    </w:p>
    <w:p w14:paraId="6639722E">
      <w:r>
        <w:rPr>
          <w:rtl w:val="0"/>
        </w:rPr>
        <w:t>To help employers understand they cannot use "attendance" or other pretexts to avoid paying earned commissions.</w:t>
      </w:r>
      <w:bookmarkStart w:id="0" w:name="_GoBack"/>
      <w:bookmarkEnd w:id="0"/>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59ADCABA"/>
    <w:multiLevelType w:val="multilevel"/>
    <w:tmpl w:val="59ADCAB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D7B2B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2026-05-31T08:34:21Z</dcterms:created>
  <dc:creator>i7</dc:creator>
  <cp:lastModifiedBy>MuazzamRiaz AzamBopera</cp:lastModifiedBy>
  <dcterms:modified xsi:type="dcterms:W3CDTF">2026-05-31T08:35:40Z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16E70D2336CC4417AC7B6B052CBA0232_12</vt:lpwstr>
  </property>
</Properties>
</file>