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便签数据库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数据库帮助类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注释提供类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继承于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task的记录数据的变化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任务清单抽象类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设置数据当中的数据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设置数据内容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任务清单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继承于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node的任务清单内容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处理功能失败的异常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处理网络工作不成功的异常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设置任务的分享同步的工作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用来处理任务的类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设置任务分享的服务类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设置标签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设置正在编辑中的标签所需的各种资源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备份工具类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编写标签数据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String对象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设置编辑便签所需要的所有资源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闹铃提醒界面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闹铃启动消息接收器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闹铃提醒接收器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设置提醒时间的对话框界面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下拉菜单界面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链接数据库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便签编辑活动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便签文本编辑界面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便签同步设置界面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设置便签列表的适配器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设置便签列表的项目选项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设置随机的变迁背景颜色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Widget处理器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屏幕大小信息配置文件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屏幕大小信息配置文件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根据小米便签的开源代码，绘制其体系结构图(见如图1）。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  <w:r>
        <w:drawing>
          <wp:inline distT="0" distB="0" distL="0" distR="0">
            <wp:extent cx="4333875" cy="4116705"/>
            <wp:effectExtent l="0" t="0" r="9525" b="13335"/>
            <wp:docPr id="1" name="图片 1" descr="C:\Users\Administrator\Desktop\运行图片\gtask.pngg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运行图片\gtask.pnggtas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2352040" cy="1755775"/>
            <wp:effectExtent l="0" t="0" r="10160" b="12065"/>
            <wp:docPr id="4" name="图片 4" descr="C:\Users\Administrator\Desktop\运行图片\model.png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运行图片\model.pngmod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2245995" cy="1755775"/>
            <wp:effectExtent l="0" t="0" r="9525" b="12065"/>
            <wp:docPr id="6" name="图片 6" descr="C:\Users\Administrator\Desktop\运行图片\widget.pngwi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运行图片\widget.pngwidg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rPr>
          <w:b/>
        </w:rPr>
      </w:pPr>
    </w:p>
    <w:p>
      <w:pPr>
        <w:jc w:val="center"/>
      </w:pPr>
      <w:bookmarkStart w:id="0" w:name="_GoBack"/>
      <w:r>
        <w:drawing>
          <wp:inline distT="0" distB="0" distL="0" distR="0">
            <wp:extent cx="5875655" cy="3743960"/>
            <wp:effectExtent l="0" t="0" r="6985" b="5080"/>
            <wp:docPr id="7" name="图片 7" descr="C:\Users\Administrator\Desktop\运行图片\ui.pn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运行图片\ui.pngu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  <w:r>
        <w:rPr>
          <w:rFonts w:hint="eastAsia"/>
          <w:b/>
        </w:rPr>
        <w:t>图6. ui包中类间的关系图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根据对小米便签代码的阅读和功能的理解，下图描述了小米便签的整体功能框架（如图7）。</w:t>
      </w:r>
    </w:p>
    <w:p>
      <w:pPr>
        <w:pStyle w:val="10"/>
        <w:ind w:firstLine="0" w:firstLineChars="0"/>
        <w:jc w:val="center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167005</wp:posOffset>
            </wp:positionV>
            <wp:extent cx="4516120" cy="3142615"/>
            <wp:effectExtent l="0" t="0" r="10160" b="12065"/>
            <wp:wrapTopAndBottom/>
            <wp:docPr id="9" name="图片 9" descr="C:\Users\Administrator\Desktop\运行图片\未命名文件.png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运行图片\未命名文件.png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  <w:r>
        <w:rPr>
          <w:rFonts w:hint="eastAsia" w:asciiTheme="minorEastAsia" w:hAnsiTheme="minorEastAsia" w:cstheme="minorEastAsia"/>
          <w:lang w:val="en-US" w:eastAsia="zh-CN"/>
        </w:rPr>
        <w:t>右键菜单，删除当前便签。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  <w:r>
        <w:rPr>
          <w:rFonts w:hint="eastAsia" w:asciiTheme="minorEastAsia" w:hAnsiTheme="minorEastAsia" w:cstheme="minorEastAsia"/>
          <w:lang w:val="en-US" w:eastAsia="zh-CN"/>
        </w:rPr>
        <w:t>可移动至文件夹完成分类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闹钟提醒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可在设定时间提醒相关任务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</w:t>
      </w:r>
      <w:r>
        <w:rPr>
          <w:rFonts w:hint="eastAsia"/>
          <w:b/>
          <w:bCs/>
          <w:lang w:val="en-US" w:eastAsia="zh-CN"/>
        </w:rPr>
        <w:t>更改皮肤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可在右上角点击更换五种颜色的皮肤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功能4：</w:t>
      </w:r>
      <w:r>
        <w:rPr>
          <w:rFonts w:hint="eastAsia"/>
          <w:b/>
          <w:bCs/>
          <w:lang w:val="en-US" w:eastAsia="zh-CN"/>
        </w:rPr>
        <w:t>更改字体大小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可在菜单中选择不同字体大小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</w:t>
      </w:r>
      <w:r>
        <w:rPr>
          <w:rFonts w:hint="eastAsia"/>
          <w:b/>
          <w:bCs/>
          <w:lang w:val="en-US" w:eastAsia="zh-CN"/>
        </w:rPr>
        <w:t>移动便签（便签分组）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可将便签分类放至不同文件夹中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功能6：</w:t>
      </w:r>
      <w:r>
        <w:rPr>
          <w:rFonts w:hint="eastAsia"/>
          <w:b/>
          <w:bCs/>
          <w:lang w:val="en-US" w:eastAsia="zh-CN"/>
        </w:rPr>
        <w:t>导出便签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将便签内容导出至一文件内，借以备份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功能7：</w:t>
      </w:r>
      <w:r>
        <w:rPr>
          <w:rFonts w:hint="eastAsia"/>
          <w:b/>
          <w:bCs/>
          <w:lang w:val="en-US" w:eastAsia="zh-CN"/>
        </w:rPr>
        <w:t>批处理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批量删除：长按便签后可进行批量处理删除操作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批量移动（分组）：长按便签后可进行批量处理移动（分组）操作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功能8：</w:t>
      </w:r>
      <w:r>
        <w:rPr>
          <w:rFonts w:hint="eastAsia"/>
          <w:b/>
          <w:bCs/>
          <w:lang w:val="en-US" w:eastAsia="zh-CN"/>
        </w:rPr>
        <w:t>同步GTask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登录Google的GTask并完成内容同步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功能9：分享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可将便签内容通过手机安装的其他软件分享至他人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deleteCurrentNote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设置闹钟提醒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onClockAlertChanged()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setBgColorId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Wdiget内容更新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updateWdiget()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setTextAppearance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moveNoteToFoler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exportToText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批删除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batchDeleteNotes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批移动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batchMoveToFolder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登录GTask账户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GTaskClient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tryToLoginGtask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同步GTask内容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GTaskSyncService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startSync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sendTo()</w:t>
            </w: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在进行小米便签运行环境配置（Eclipse、AndroidStudio）的过程中掌握了多种插件的使用，这些插件可以大大提高代码分析的效率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由于对Java语言和Andriod开发的架构不够熟悉，在阅读代码中存在很多障碍，导致对代码具体理解不够清晰，需要在精读过程中加深理解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11BE3350"/>
    <w:rsid w:val="14E87F43"/>
    <w:rsid w:val="1FD14FC5"/>
    <w:rsid w:val="21957946"/>
    <w:rsid w:val="27A62C9F"/>
    <w:rsid w:val="2A131D49"/>
    <w:rsid w:val="2A5C092E"/>
    <w:rsid w:val="4824713F"/>
    <w:rsid w:val="4C3B45C8"/>
    <w:rsid w:val="5F6C12EA"/>
    <w:rsid w:val="625F3FF3"/>
    <w:rsid w:val="66735319"/>
    <w:rsid w:val="67815B3B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1821</Characters>
  <Lines>15</Lines>
  <Paragraphs>4</Paragraphs>
  <TotalTime>911</TotalTime>
  <ScaleCrop>false</ScaleCrop>
  <LinksUpToDate>false</LinksUpToDate>
  <CharactersWithSpaces>2136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Administrator</cp:lastModifiedBy>
  <dcterms:modified xsi:type="dcterms:W3CDTF">2019-11-13T14:24:55Z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