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Portfolio Summary — September 2026</w:t>
      </w:r>
    </w:p>
    <w:p>
      <w:pPr>
        <w:pStyle w:val="Subtitle"/>
      </w:pPr>
      <w:r>
        <w:t>Loblolly Ridge Therapeutics | Portfolio &amp; Program Management | 2026-09-18 | v1.0</w:t>
      </w:r>
    </w:p>
    <w:p>
      <w:r>
        <w:t>Since January 2026 this written summary has replaced the slide deck as the Portfolio Review Committee pre-read. This edition reflects the September 17 meeting and the PMO register as of September 18, and is also shared with the advisory team as an orientation to the portfolio. All Loblolly Ridge compounds are investigational; nothing here describes clinical results.</w:t>
      </w:r>
    </w:p>
    <w:p>
      <w:pPr>
        <w:pStyle w:val="Heading1"/>
      </w:pPr>
      <w:r>
        <w:t>Portfolio snapshot</w:t>
      </w:r>
    </w:p>
    <w:p>
      <w:r>
        <w:t>The portfolio has four development-stage assets and three discovery projects. LRT-1107 is in Phase 3 and absorbs most of the budget and the clinical team; LRT-2240 is between Phase 2a and a Phase 2b decision while a partner is sought; LRT-3318 is licensed to Castellane Pharma, which runs its development; LRT-4051 is in IND-enabling work. DP-07, DP-09 and DP-12 are in lead optimization, hit-to-lead and target validation.</w:t>
      </w:r>
    </w:p>
    <w:p>
      <w:r>
        <w:t>The register holds 150 milestones: 100 complete, 20 on track, 21 at risk, 4 late and 5 not started. The Q3 plan allocates 93 R&amp;D FTE, 33.3 of them to LRT-1107. The table below summarizes the FY2026 budget column of the project register.</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fy2026_budget_usd</w:t>
            </w:r>
          </w:p>
        </w:tc>
      </w:tr>
      <w:tr>
        <w:tc>
          <w:tcPr>
            <w:tcW w:type="dxa" w:w="4320"/>
          </w:tcPr>
          <w:p>
            <w:r>
              <w:t>Unit</w:t>
            </w:r>
          </w:p>
        </w:tc>
        <w:tc>
          <w:tcPr>
            <w:tcW w:type="dxa" w:w="4320"/>
          </w:tcPr>
          <w:p>
            <w:r>
              <w:t>USD</w:t>
            </w:r>
          </w:p>
        </w:tc>
      </w:tr>
      <w:tr>
        <w:tc>
          <w:tcPr>
            <w:tcW w:type="dxa" w:w="4320"/>
          </w:tcPr>
          <w:p>
            <w:r>
              <w:t>Total</w:t>
            </w:r>
          </w:p>
        </w:tc>
        <w:tc>
          <w:tcPr>
            <w:tcW w:type="dxa" w:w="4320"/>
          </w:tcPr>
          <w:p>
            <w:r>
              <w:t>94800000</w:t>
            </w:r>
          </w:p>
        </w:tc>
      </w:tr>
      <w:tr>
        <w:tc>
          <w:tcPr>
            <w:tcW w:type="dxa" w:w="4320"/>
          </w:tcPr>
          <w:p>
            <w:r>
              <w:t>Mean</w:t>
            </w:r>
          </w:p>
        </w:tc>
        <w:tc>
          <w:tcPr>
            <w:tcW w:type="dxa" w:w="4320"/>
          </w:tcPr>
          <w:p>
            <w:r>
              <w:t>5925000.0</w:t>
            </w:r>
          </w:p>
        </w:tc>
      </w:tr>
      <w:tr>
        <w:tc>
          <w:tcPr>
            <w:tcW w:type="dxa" w:w="4320"/>
          </w:tcPr>
          <w:p>
            <w:r>
              <w:t>Records</w:t>
            </w:r>
          </w:p>
        </w:tc>
        <w:tc>
          <w:tcPr>
            <w:tcW w:type="dxa" w:w="4320"/>
          </w:tcPr>
          <w:p>
            <w:r>
              <w:t>16</w:t>
            </w:r>
          </w:p>
        </w:tc>
      </w:tr>
      <w:tr>
        <w:tc>
          <w:tcPr>
            <w:tcW w:type="dxa" w:w="4320"/>
          </w:tcPr>
          <w:p>
            <w:r>
              <w:t>Period</w:t>
            </w:r>
          </w:p>
        </w:tc>
        <w:tc>
          <w:tcPr>
            <w:tcW w:type="dxa" w:w="4320"/>
          </w:tcPr>
          <w:p>
            <w:r>
              <w:t>2012-01-01 to 2026-09-18</w:t>
            </w:r>
          </w:p>
        </w:tc>
      </w:tr>
    </w:tbl>
    <w:p>
      <w:r>
        <w:t>Register of programs, studies, workstreams and internal projects active since January 2025, with FY2026 approved budgets. Budget is blank for licensee-run, program-summary and unbudgeted projects.</w:t>
      </w:r>
    </w:p>
    <w:p>
      <w:pPr>
        <w:pStyle w:val="Heading1"/>
      </w:pPr>
      <w:r>
        <w:t>LRT-1107 – CANOPY-1 and CANOPY-OLE (Phase 3, treatment-resistant hypertension)</w:t>
      </w:r>
    </w:p>
    <w:p>
      <w:r>
        <w:t>Status. LRT-1107 is an investigational oral small molecule in Phase 3. By August 31 CANOPY-1 had randomized 467 of 640 participants (73%) at 104 of 112 planned sites. CANOPY-OLE enrolled its first participant on June 11.</w:t>
      </w:r>
    </w:p>
    <w:p>
      <w:r>
        <w:t>Since June. The study team and Halvorsen agreed to plan on March 2027 for last participant randomized. The forecast is now last participant randomized March 16, 2027, database lock August 17, 2027 and topline results September 14, 2027, against a baseline topline of July 2, 2027. Change order 4, adding one country with six sites and about three months of CRO services, was proposed in August: $3.72 million in services plus an estimated $2.38 million in pass-through costs.</w:t>
      </w:r>
    </w:p>
    <w:p>
      <w:r>
        <w:t>Next decision. The board considers change order 4 on October 8. There is no gate before pre-NDA planning.</w:t>
      </w:r>
    </w:p>
    <w:p>
      <w:r>
        <w:t>Open questions. Whether the added country can activate sites fast enough to protect the March forecast; qualification of Hanlin Pharmatech as a backup API supplier, where the audit response is still not accepted and the qualification batch has moved to February 2027.</w:t>
      </w:r>
    </w:p>
    <w:p>
      <w:pPr>
        <w:pStyle w:val="Heading1"/>
      </w:pPr>
      <w:r>
        <w:t>LRT-2240 (after Phase 2a, chemotherapy-induced peripheral neuropathy)</w:t>
      </w:r>
    </w:p>
    <w:p>
      <w:r>
        <w:t>Status. LRT-2240 is an investigational oral small molecule in-licensed from Tamsin Biosciences in 2019. Study 2240-201 is complete and its clinical study report was finalized in June.</w:t>
      </w:r>
    </w:p>
    <w:p>
      <w:r>
        <w:t>Since June. The data room opened on June 3 and management meetings with two companies have been held since August 6. Phase 2b readiness work was paused in July pending the partnering outcome. No term sheet has been received, and indicative proposals are now expected in January 2027 rather than October.</w:t>
      </w:r>
    </w:p>
    <w:p>
      <w:r>
        <w:t>Next decision. The Phase 2b gate (G4b) is forecast for February 2027. If no partner commits by the first quarter of 2027, the board will decide whether to self-fund a Phase 2b start.</w:t>
      </w:r>
    </w:p>
    <w:p>
      <w:r>
        <w:t>Open questions. How long to hold the Phase 2b team and vendor shortlist while partnering continues.</w:t>
      </w:r>
    </w:p>
    <w:p>
      <w:pPr>
        <w:pStyle w:val="Heading1"/>
      </w:pPr>
      <w:r>
        <w:t>LRT-3318 (licensed to Castellane Pharma, MASH)</w:t>
      </w:r>
    </w:p>
    <w:p>
      <w:r>
        <w:t>Status. Castellane holds worldwide rights and runs development. Loblolly Ridge has received $55 million in license payments to date and supplies drug substance until technology transfer completes.</w:t>
      </w:r>
    </w:p>
    <w:p>
      <w:r>
        <w:t>Since June. Five of seven technology-transfer packages had been accepted by September 14, the stability and specifications package on September 11. The impurity control package is at risk for its October 30 due date because Castellane asked for more purge data. The second drug substance delivery (8.5 kg) shipped on June 23; the next is due November 20.</w:t>
      </w:r>
    </w:p>
    <w:p>
      <w:r>
        <w:t>Next decision. None at this committee; items go to the October joint steering committee.</w:t>
      </w:r>
    </w:p>
    <w:p>
      <w:pPr>
        <w:pStyle w:val="Heading1"/>
      </w:pPr>
      <w:r>
        <w:t>LRT-4051 (IND-enabling, diabetic kidney disease)</w:t>
      </w:r>
    </w:p>
    <w:p>
      <w:r>
        <w:t>Status. LRT-4051 is an investigational oral small molecule nominated at G2 in September 2025.</w:t>
      </w:r>
    </w:p>
    <w:p>
      <w:r>
        <w:t>Since June. GLP toxicology final reports are now forecast for December 4 (baseline October 30) and GMP API release for December 11 (baseline October 16). The IND forecast has moved from April 30 to June 4, 2027. The pre-IND meeting request is forecast for November 20, with a meeting expected in February 2027.</w:t>
      </w:r>
    </w:p>
    <w:p>
      <w:r>
        <w:t>Next decision. The G3 decision to submit the IND, planned for April 2027.</w:t>
      </w:r>
    </w:p>
    <w:p>
      <w:r>
        <w:t>Open questions. First-in-human sourcing has not been decided; a request for proposal is planned for November and December.</w:t>
      </w:r>
    </w:p>
    <w:p>
      <w:pPr>
        <w:pStyle w:val="Heading1"/>
      </w:pPr>
      <w:r>
        <w:t>Discovery</w:t>
      </w:r>
    </w:p>
    <w:p>
      <w:r>
        <w:t>DP-07 (cardiometabolic, lead optimization) profiled two development candidates by July; candidate nomination (G2) is targeted for May 2027. DP-09 (neuropathic pain, hit-to-lead) validated its assay cascade in May; lead series selection (G1) is forecast for March 2027, a month after baseline. DP-12 (renal target validation, with the Sabine Institute for Translational Medicine) expects its readout in January 2027.</w:t>
      </w:r>
    </w:p>
    <w:p>
      <w:r>
        <w:t>Compound synthesis for all three projects is outsourced to Anvaya Synthesis, whose chemistry FTE work order was increased by two FTE in April.</w:t>
      </w:r>
    </w:p>
    <w:p>
      <w:pPr>
        <w:pStyle w:val="Heading1"/>
      </w:pPr>
      <w:r>
        <w:t>Cross-program constraints</w:t>
      </w:r>
    </w:p>
    <w:p>
      <w:r>
        <w:t>Bioanalytical capacity. The two LC-MS/MS systems are close to full; research leadership expects to decide between a new instrument, a second shift and more outsourcing on October 2. DP-07, LRT-4051 and CANOPY-OLE all add bioanalytical demand in 2027.</w:t>
      </w:r>
    </w:p>
    <w:p>
      <w:r>
        <w:t>Clinical staff. LRT-1107 holds over a third of R&amp;D FTE. Any self-funded LRT-2240 Phase 2b would draw on the same clinical operations group. The Q4 FTE plan will follow separately with the October update.</w:t>
      </w:r>
    </w:p>
    <w:p>
      <w:r>
        <w:t>Research data. The proposed phase 2 of the R&amp;D Data Hub is not approved or budgeted; the manual ELN-to-registry step remains in place.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Okafor</dc:creator>
  <cp:keywords/>
  <dc:description>generated by python-docx</dc:description>
  <cp:lastModifiedBy/>
  <cp:revision>1</cp:revision>
  <dcterms:created xsi:type="dcterms:W3CDTF">2013-12-23T23:15:00Z</dcterms:created>
  <dcterms:modified xsi:type="dcterms:W3CDTF">2013-12-23T23:15:00Z</dcterms:modified>
  <cp:category/>
</cp:coreProperties>
</file>