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Package Cover Memo</w:t>
      </w:r>
    </w:p>
    <w:p>
      <w:pPr>
        <w:pStyle w:val="Subtitle"/>
      </w:pPr>
      <w:r>
        <w:t>Loblolly Ridge Therapeutics | Portfolio &amp; Program Management | 2026-09-25 | v1.0</w:t>
      </w:r>
    </w:p>
    <w:p>
      <w:r>
        <w:t>To the advisory team, from Grace Okafor, Vice President, Portfolio &amp; Program Management. This memo accompanies the information package for your review of how Loblolly Ridge coordinates R&amp;D programs, external partners, laboratory and development information, and budgets ahead of the 2027 readouts and financing decisions.</w:t>
      </w:r>
    </w:p>
    <w:p>
      <w:pPr>
        <w:pStyle w:val="Heading1"/>
      </w:pPr>
      <w:r>
        <w:t>Purpose of the package</w:t>
      </w:r>
    </w:p>
    <w:p>
      <w:r>
        <w:t>Loblolly Ridge Therapeutics, Inc. is a privately held company founded in 2012 and headquartered in The Woodlands, Texas, with 128 employees on September 1, 2026. We engaged your team in September 2026. The package contains selected documents, registers and extracts that show how we work today. It is not a complete record, and each document states its own date and version.</w:t>
      </w:r>
    </w:p>
    <w:p>
      <w:pPr>
        <w:pStyle w:val="Heading1"/>
      </w:pPr>
      <w:r>
        <w:t>Contents by area</w:t>
      </w:r>
    </w:p>
    <w:p>
      <w:pPr>
        <w:pStyle w:val="ListBullet"/>
      </w:pPr>
      <w:r>
        <w:t>Company and portfolio: Loblolly Ridge Therapeutics Company Overview (July 2026); Corporate Partnering Overview; Development Portfolio Summary – September 2026; Portfolio Project and Milestone Register; Board Executive Brief: Capital Allocation Ahead of 2027 Readouts.</w:t>
      </w:r>
    </w:p>
    <w:p>
      <w:pPr>
        <w:pStyle w:val="ListBullet"/>
      </w:pPr>
      <w:r>
        <w:t>Governance and resourcing: Stage-Gate and Portfolio Governance Procedure (rev. 3.1); FY2026 R&amp;D Resource Allocation Workbook.</w:t>
      </w:r>
    </w:p>
    <w:p>
      <w:pPr>
        <w:pStyle w:val="ListBullet"/>
      </w:pPr>
      <w:r>
        <w:t>Budgets: FY2026 R&amp;D Budget, Forecast and Accruals Workbook; Monthly R&amp;D Accrual Close Procedure (v2.0); R&amp;D Budget Review After August Close.</w:t>
      </w:r>
    </w:p>
    <w:p>
      <w:pPr>
        <w:pStyle w:val="ListBullet"/>
      </w:pPr>
      <w:r>
        <w:t>Outsourcing: External Partner Register and Work Orders; External Partner Selection, Qualification and Oversight SOP (rev. 4.0); Work Order and Change Order Process (v1.3); Vendor Deliverables Tracker, January–August 2026; External Partner Performance Review – Q3 2026 Interim.</w:t>
      </w:r>
    </w:p>
    <w:p>
      <w:pPr>
        <w:pStyle w:val="ListBullet"/>
      </w:pPr>
      <w:r>
        <w:t>LRT-1107: CANOPY-1 CRO Oversight Plan (v2.1); CANOPY-1 Enrollment Forecast Working Session with Halvorsen (June); CANOPY-1 Program Team Checkpoint – September 2026; LRT-1107 Development Program Overview (v3.0).</w:t>
      </w:r>
    </w:p>
    <w:p>
      <w:pPr>
        <w:pStyle w:val="ListBullet"/>
      </w:pPr>
      <w:r>
        <w:t>LRT-2240: LRT-2240 Non-Confidential Partnering Presentation; LRT-2240 Virtual Data Room Index; LRT-2240 Partnering Opportunity Tracker.</w:t>
      </w:r>
    </w:p>
    <w:p>
      <w:pPr>
        <w:pStyle w:val="ListBullet"/>
      </w:pPr>
      <w:r>
        <w:t>LRT-3318: LRT-3318 Technology Transfer Status Note.</w:t>
      </w:r>
    </w:p>
    <w:p>
      <w:pPr>
        <w:pStyle w:val="ListBullet"/>
      </w:pPr>
      <w:r>
        <w:t>LRT-4051: LRT-4051 IND-Enabling Workplan; LRT-4051 IND-Enabling Development Plan (v1.3); LRT-4051 Phase 1 Outsourcing Options.</w:t>
      </w:r>
    </w:p>
    <w:p>
      <w:pPr>
        <w:pStyle w:val="ListBullet"/>
      </w:pPr>
      <w:r>
        <w:t>Laboratory: Research Laboratory Operations Guide (rev. C); Laboratory Instrument Register and Utilization, March–August 2026; Design Proposal: Bioanalytical LC-MS/MS Capacity (draft 0.9); Research Leadership Review: Bioanalytical Capacity Options.</w:t>
      </w:r>
    </w:p>
    <w:p>
      <w:pPr>
        <w:pStyle w:val="ListBullet"/>
      </w:pPr>
      <w:r>
        <w:t>Research data: Assay Data Review and Release Work Instruction (rev. B); Research Data Flow Architecture Note (v1.2); R&amp;D Data Hub Phase 2 Proposal Review; CRO and Laboratory Data Transfer Specification (v1.4).</w:t>
      </w:r>
    </w:p>
    <w:p>
      <w:pPr>
        <w:pStyle w:val="ListBullet"/>
      </w:pPr>
      <w:r>
        <w:t>Supply: Clinical Supply Chain and CDMO Network Overview.</w:t>
      </w:r>
    </w:p>
    <w:p>
      <w:pPr>
        <w:pStyle w:val="ListBullet"/>
      </w:pPr>
      <w:r>
        <w:t>Quality: Quality Management System Overview (rev. 5); eQMS Migration Post-Implementation Review; 2025 Quality Management Review Summary; Controlled Documents and Quality Events Workbook.</w:t>
      </w:r>
    </w:p>
    <w:p>
      <w:pPr>
        <w:pStyle w:val="Heading1"/>
      </w:pPr>
      <w:r>
        <w:t>What is not included</w:t>
      </w:r>
    </w:p>
    <w:p>
      <w:r>
        <w:t>The package excludes full contracts, CRO-hosted patient-level systems, board minutes and partner-confidential terms. We have also not included the CRO enrollment extract by site, the monthly CANOPY-1 joint operations committee minutes, the Castellane obligations tracker, the LRT-2240 steering deck, the bioanalytical capital request memo or the Q4 2026 FTE plan, which is still in draft. Some documents refer to these; ask us if you need to see one and we will tell you whether it can be shared.</w:t>
      </w:r>
    </w:p>
    <w:p>
      <w:pPr>
        <w:pStyle w:val="Heading1"/>
      </w:pPr>
      <w:r>
        <w:t>Data conventions</w:t>
      </w:r>
    </w:p>
    <w:p>
      <w:pPr>
        <w:pStyle w:val="ListBullet"/>
      </w:pPr>
      <w:r>
        <w:t>Our fiscal year is the calendar year. Amounts are in U.S. dollars.</w:t>
      </w:r>
    </w:p>
    <w:p>
      <w:pPr>
        <w:pStyle w:val="ListBullet"/>
      </w:pPr>
      <w:r>
        <w:t>Dates are as stated in each document; registers are extracts as of the date shown and later events are not reflected.</w:t>
      </w:r>
    </w:p>
    <w:p>
      <w:pPr>
        <w:pStyle w:val="ListBullet"/>
      </w:pPr>
      <w:r>
        <w:t>Workbooks include a Read me, a Summary of formula totals, a Dictionary and the data sheets. Some Summary totals are not meaningful measures, and the Read me says which.</w:t>
      </w:r>
    </w:p>
    <w:p>
      <w:pPr>
        <w:pStyle w:val="ListBullet"/>
      </w:pPr>
      <w:r>
        <w:t>FTE figures are planning estimates by function heads, not timesheet data.</w:t>
      </w:r>
    </w:p>
    <w:p>
      <w:pPr>
        <w:pStyle w:val="ListBullet"/>
      </w:pPr>
      <w:r>
        <w:t>All Loblolly Ridge product candidates are investigational. Nothing in the package describes clinical results.</w:t>
      </w:r>
    </w:p>
    <w:p>
      <w:pPr>
        <w:pStyle w:val="Heading1"/>
      </w:pPr>
      <w:r>
        <w:t>Contacts</w:t>
      </w:r>
    </w:p>
    <w:p>
      <w:pPr>
        <w:pStyle w:val="ListBullet"/>
      </w:pPr>
      <w:r>
        <w:t>Package coordination and portfolio: Grace Okafor, Portfolio &amp; Program Management.</w:t>
      </w:r>
    </w:p>
    <w:p>
      <w:pPr>
        <w:pStyle w:val="ListBullet"/>
      </w:pPr>
      <w:r>
        <w:t>Budgets and accruals: Janelle Whitaker, Controller, for Dev Raghunathan, CFO.</w:t>
      </w:r>
    </w:p>
    <w:p>
      <w:pPr>
        <w:pStyle w:val="ListBullet"/>
      </w:pPr>
      <w:r>
        <w:t>Outsourcing and partner register: Kendra Mbatha, Outsourcing &amp; Procurement.</w:t>
      </w:r>
    </w:p>
    <w:p>
      <w:pPr>
        <w:pStyle w:val="ListBullet"/>
      </w:pPr>
      <w:r>
        <w:t>Clinical operations: Luis Ybarra.</w:t>
      </w:r>
    </w:p>
    <w:p>
      <w:pPr>
        <w:pStyle w:val="ListBullet"/>
      </w:pPr>
      <w:r>
        <w:t>Quality: Dr. Anneliese Park.</w:t>
      </w:r>
    </w:p>
    <w:p>
      <w:pPr>
        <w:pStyle w:val="ListBullet"/>
      </w:pPr>
      <w:r>
        <w:t>Laboratory and research data: Beth Kowalczyk and Samuel Oyelaran.</w:t>
      </w:r>
    </w:p>
    <w:p>
      <w:pPr>
        <w:pStyle w:val="ListBullet"/>
      </w:pPr>
      <w:r>
        <w:t>Please route requests for additional documents through Portfolio &amp; Program Management.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Okafor</dc:creator>
  <cp:keywords/>
  <dc:description>generated by python-docx</dc:description>
  <cp:lastModifiedBy/>
  <cp:revision>1</cp:revision>
  <dcterms:created xsi:type="dcterms:W3CDTF">2013-12-23T23:15:00Z</dcterms:created>
  <dcterms:modified xsi:type="dcterms:W3CDTF">2013-12-23T23:15:00Z</dcterms:modified>
  <cp:category/>
</cp:coreProperties>
</file>