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Production adjustment handling</w:t>
      </w:r>
    </w:p>
    <w:p>
      <w:pPr>
        <w:pStyle w:val="Subtitle"/>
      </w:pPr>
      <w:r>
        <w:t>Mesa Lantern Energy LLC | Production Accounting | 2026-09-26 | v0.1-draft</w:t>
      </w:r>
    </w:p>
    <w:p>
      <w:r>
        <w:t>This note explains how a corrected reading retains its history and how an analyst selects a single version for a summary. This draft is prepared for review analysts as part of Mesa Lantern Energy's initial information handoff. It describes the modeled operation at the stated date and should be read with the period and coverage of its supporting records.</w:t>
      </w:r>
    </w:p>
    <w:p>
      <w:pPr>
        <w:pStyle w:val="Heading1"/>
      </w:pPr>
      <w:r>
        <w:t>Purpose and immediate use</w:t>
      </w:r>
    </w:p>
    <w:p>
      <w:r>
        <w:t>An adjustment references one original daily production record and one stream. Keep the old and new values, posting date, and reason together. The daily record remains the lineage anchor even if the revised value is the one used in a later view. A correction submitted after month end changes a restatement, not the fact that the original month was closed on its recorded date.</w:t>
      </w:r>
    </w:p>
    <w:p>
      <w:pPr>
        <w:pStyle w:val="Heading1"/>
      </w:pPr>
      <w:r>
        <w:t>Adjustment lineage</w:t>
      </w:r>
    </w:p>
    <w:p>
      <w:r>
        <w:t>A production adjustment points back to the original daily record, names the stream being corrected, and keeps both original and revised values with a posting date and reason. Adjustments posted after the monthly freeze belong to a restatement view. Analysts should not add both the original and revised quantity when preparing a summary; they should select a declared version of the record.</w:t>
      </w:r>
    </w:p>
    <w:p>
      <w:pPr>
        <w:pStyle w:val="Heading1"/>
      </w:pPr>
      <w:r>
        <w:t>Daily field-to-ledger path</w:t>
      </w:r>
    </w:p>
    <w:p>
      <w:r>
        <w:t>Field operators enter well readings in Field Log by the next morning. Production Accounting compares those entries with Meter Historian readings, records exceptions, and posts reviewed values to Production Ledger. A correction preserves the first entry and a reason for the change. The review path matters because a later extract should be traceable to the reading and decision that produced it.</w:t>
      </w:r>
    </w:p>
    <w:p>
      <w:pPr>
        <w:pStyle w:val="Heading1"/>
      </w:pPr>
      <w:r>
        <w:t>Monthly close boundary</w:t>
      </w:r>
    </w:p>
    <w:p>
      <w:r>
        <w:t>Production Accounting freezes the monthly reporting snapshot on the tenth business day after month end. Changes after that point use a dated adjustment record rather than overwriting the frozen view. A reader comparing two months must therefore distinguish the original close from a later restatement view. The reporting period and extraction date are both necessary to interpret a number.</w:t>
      </w:r>
    </w:p>
    <w:p>
      <w:pPr>
        <w:pStyle w:val="Heading1"/>
      </w:pPr>
      <w:r>
        <w:t>Production stream definitions</w:t>
      </w:r>
    </w:p>
    <w:p>
      <w:r>
        <w:t>The modeled field ledger holds oil, including lease condensate, in stock tank barrels and raw gas in thousand cubic feet at its measurement point. The internal barrel-of-oil-equivalent view uses six Mcf of gas for one boe. That ratio is a reporting conversion only; it does not make gas and oil economically or energetically identical. Processed natural gas liquids are not attributed to individual wells in this extract.</w:t>
      </w:r>
    </w:p>
    <w:p>
      <w:pPr>
        <w:pStyle w:val="Heading1"/>
      </w:pPr>
      <w:r>
        <w:t>Record linkage</w:t>
      </w:r>
    </w:p>
    <w:p>
      <w:r>
        <w:t>Synthetic well, asset, location, vendor, work-order, and project keys connect the proposed datasets. Business users should see natural asset and project names where possible, while the keys preserve joins across extracts. A linked inspection and work order should refer to the same asset instance and location. A record without a valid link should be flagged for review rather than attached to the nearest plausible item.</w:t>
      </w:r>
    </w:p>
    <w:p>
      <w:pPr>
        <w:pStyle w:val="Heading1"/>
      </w:pPr>
      <w:r>
        <w:t>Record question for review</w:t>
      </w:r>
    </w:p>
    <w:p>
      <w:r>
        <w:t>A reader may find two changes to the same well-day. Review posting order and the value each change supersedes before calculating a revised view. Summing both revised values would double-count the day; discarding the first would erase the explanation for the final value.</w:t>
      </w:r>
    </w:p>
    <w:p>
      <w:pPr>
        <w:pStyle w:val="Heading1"/>
      </w:pPr>
      <w:r>
        <w:t>Review action and handoff</w:t>
      </w:r>
    </w:p>
    <w:p>
      <w:r>
        <w:t>The reviewer should check that the stream and units match, that the adjustment points to an existing record, and that no duplicate correction is counted twice. If the source reading is disputed, leave the issue open and identify the responsible owner rather than forcing a chosen value into the report.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Mesa Lantern Energy LLC • 0.1-draft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Robin Vega</dc:creator>
  <cp:keywords/>
  <dc:description>generated by python-docx</dc:description>
  <cp:lastModifiedBy/>
  <cp:revision>1</cp:revision>
  <dcterms:created xsi:type="dcterms:W3CDTF">2013-12-23T23:15:00Z</dcterms:created>
  <dcterms:modified xsi:type="dcterms:W3CDTF">2013-12-23T23:15:00Z</dcterms:modified>
  <cp:category/>
</cp:coreProperties>
</file>