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data ownership</w:t>
      </w:r>
    </w:p>
    <w:p>
      <w:pPr>
        <w:pStyle w:val="Subtitle"/>
      </w:pPr>
      <w:r>
        <w:t>Mesa Lantern Energy LLC | Production Accounting | 2026-09-26 | v0.1-draft</w:t>
      </w:r>
    </w:p>
    <w:p>
      <w:r>
        <w:t>This ownership note directs questions to the source record owner and explains the limited role of Reporting Mart. This draft is prepared for data stewards as part of Mesa Lantern Energy's initial information handoff. It describes the modeled operation at the stated date and should be read with the period and coverage of its supporting records.</w:t>
      </w:r>
    </w:p>
    <w:p>
      <w:pPr>
        <w:pStyle w:val="Heading1"/>
      </w:pPr>
      <w:r>
        <w:t>Purpose and immediate use</w:t>
      </w:r>
    </w:p>
    <w:p>
      <w:r>
        <w:t>A field reading begins with Field Operations, while Production Accounting owns the reviewed production entry and month close. Asset Integrity owns work-order priority and inspection closeout. Supply and Contracts owns vendor and invoice references. Reporting Mart copies these records for analysis; it cannot settle a disagreement by writing back to any register.</w:t>
      </w:r>
    </w:p>
    <w:p>
      <w:pPr>
        <w:pStyle w:val="Heading1"/>
      </w:pPr>
      <w:r>
        <w:t>Decision owners</w:t>
      </w:r>
    </w:p>
    <w:p>
      <w:r>
        <w:t>Field Operations is led by Avery Collins. Robin Vega is accountable for production accounting, Morgan Hale for asset integrity, Taylor Kim for development projects, and Casey Nolan for supply and contractor records. These assignments identify who can explain a record or approve a correction. They do not imply that one person performs every underlying field task or that another team may change a source record without its owner.</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Daily field-to-ledger path</w:t>
      </w:r>
    </w:p>
    <w:p>
      <w:r>
        <w:t>Field operators enter well readings in Field Log by the next morning. Production Accounting compares those entries with Meter Historian readings, records exceptions, and posts reviewed values to Production Ledger. A correction preserves the first entry and a reason for the change. The review path matters because a later extract should be traceable to the reading and decision that produced it.</w:t>
      </w:r>
    </w:p>
    <w:p>
      <w:pPr>
        <w:pStyle w:val="Heading1"/>
      </w:pPr>
      <w:r>
        <w:t>Work-order route</w:t>
      </w:r>
    </w:p>
    <w:p>
      <w:r>
        <w:t>A field request is tied to an asset and location. The integrity lead prioritizes it, and a supervisor confirms isolation and contractor readiness where needed. Completion is not inferred from a planned date: closeout requires a completion date, downtime record, and verifier. That sequence supports a distinction between an open request, work in progress, and a verified closed order.</w:t>
      </w:r>
    </w:p>
    <w:p>
      <w:pPr>
        <w:pStyle w:val="Heading1"/>
      </w:pPr>
      <w:r>
        <w:t>Inspection-to-work path</w:t>
      </w:r>
    </w:p>
    <w:p>
      <w:r>
        <w:t>Inspection Register holds scheduled and ad hoc checks of meters, tanks, compressors, and pads. An observation may open a linked work order, but the two records answer different questions: the inspection records what was seen and the work order records the response. Overdue observations stay open until a named owner verifies closure. A scheduled check without a finding need not create maintenance work.</w:t>
      </w:r>
    </w:p>
    <w:p>
      <w:pPr>
        <w:pStyle w:val="Heading1"/>
      </w:pPr>
      <w:r>
        <w:t>Contractor and invoice path</w:t>
      </w:r>
    </w:p>
    <w:p>
      <w:r>
        <w:t>Supply and Contracts records approved vendors, scope, location, mobilization dates, and invoice references. Before a mobilization is released, the field supervisor records a job safety analysis reference and readiness confirmation. After service, the supervisor confirms work performed; Supply and Contracts then matches the invoice. This modeled path keeps site release, service evidence, and payment review as separate decisions.</w:t>
      </w:r>
    </w:p>
    <w:p>
      <w:pPr>
        <w:pStyle w:val="Heading1"/>
      </w:pPr>
      <w:r>
        <w:t>Record question for review</w:t>
      </w:r>
    </w:p>
    <w:p>
      <w:r>
        <w:t>If a reporting table shows a closed work order but Inspection Register shows an open observation, ask Asset Integrity whether the observation still needs verification. Production Accounting can explain the reporting copy's timestamp but should not close an integrity record to remove the discrepancy.</w:t>
      </w:r>
    </w:p>
    <w:p>
      <w:pPr>
        <w:pStyle w:val="Heading1"/>
      </w:pPr>
      <w:r>
        <w:t>Review action and handoff</w:t>
      </w:r>
    </w:p>
    <w:p>
      <w:r>
        <w:t>When two extracts disagree, identify their source, period, and extraction date before deciding whether they describe different states of the same record. Corrections should return to the source owner and preserve an audit trail. A data user should log an unresolved link rather than repair it by guessing an asset or vendor.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Vega</dc:creator>
  <cp:keywords/>
  <dc:description>generated by python-docx</dc:description>
  <cp:lastModifiedBy/>
  <cp:revision>1</cp:revision>
  <dcterms:created xsi:type="dcterms:W3CDTF">2013-12-23T23:15:00Z</dcterms:created>
  <dcterms:modified xsi:type="dcterms:W3CDTF">2013-12-23T23:15:00Z</dcterms:modified>
  <cp:category/>
</cp:coreProperties>
</file>