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Information Package Cover Memo</w:t>
      </w:r>
    </w:p>
    <w:p>
      <w:pPr>
        <w:pStyle w:val="Subtitle"/>
      </w:pPr>
      <w:r>
        <w:t>Sedgewater Energy Holdings | Office of the Chief Operating Officer | 2026-09-25 | v1.0</w:t>
      </w:r>
    </w:p>
    <w:p>
      <w:r>
        <w:t>Cover memo from the Chief Operating Officer to the outside operations consultant, September 25, 2026. It explains what this information package contains, how the documents relate and what has been withheld.</w:t>
      </w:r>
    </w:p>
    <w:p>
      <w:pPr>
        <w:pStyle w:val="Heading1"/>
      </w:pPr>
      <w:r>
        <w:t>Purpose</w:t>
      </w:r>
    </w:p>
    <w:p>
      <w:r>
        <w:t>We assembled this package in September 2026 for your review of how planning, field work and regulatory reporting fit together at Sedgewater. The documents are working files as our teams use them, not documents prepared for the review, so some carry older dates or details that were later revised.</w:t>
      </w:r>
    </w:p>
    <w:p>
      <w:pPr>
        <w:pStyle w:val="Heading1"/>
      </w:pPr>
      <w:r>
        <w:t>Who we are</w:t>
      </w:r>
    </w:p>
    <w:p>
      <w:r>
        <w:t>Sedgewater Energy Holdings owns Sedgewater Electric Delivery, a transmission and distribution service provider in the ERCOT region that does not generate or sell electricity, and Sedgewater Gas Distribution, which buys, delivers and bills natural gas. Sedgewater Services Company provides shared services.</w:t>
      </w:r>
    </w:p>
    <w:p>
      <w:pPr>
        <w:pStyle w:val="Heading1"/>
      </w:pPr>
      <w:r>
        <w:t>What is in the package</w:t>
      </w:r>
    </w:p>
    <w:p>
      <w:pPr>
        <w:pStyle w:val="ListBullet"/>
      </w:pPr>
      <w:r>
        <w:t>Regulatory: the 2026 submissions calendar, the reliability metric standard and 2025 reliability report, the EOP hurricane and flood annex excerpt, the 2026 vegetation plan and the draft pole plan.</w:t>
      </w:r>
    </w:p>
    <w:p>
      <w:pPr>
        <w:pStyle w:val="ListBullet"/>
      </w:pPr>
      <w:r>
        <w:t>Procedures: work management, contractor requirements and gas leak management.</w:t>
      </w:r>
    </w:p>
    <w:p>
      <w:pPr>
        <w:pStyle w:val="ListBullet"/>
      </w:pPr>
      <w:r>
        <w:t>Data workbooks: feeders and pole inspections, vegetation, work orders and crew hours, interruptions, capital, O&amp;M, gas inventory and surveys, customer contacts and safety.</w:t>
      </w:r>
    </w:p>
    <w:p>
      <w:pPr>
        <w:pStyle w:val="ListBullet"/>
      </w:pPr>
      <w:r>
        <w:t>Reviews and proposals: the May 2026 after-action review, Reliability Council, operations review, materials memo, resiliency checkpoint, capital overview, Harbor North proposal, meter pilot, gas profile, steel review, customer operations and safety summary.</w:t>
      </w:r>
    </w:p>
    <w:p>
      <w:pPr>
        <w:pStyle w:val="ListBullet"/>
      </w:pPr>
      <w:r>
        <w:t>External and governance: REP service guide, community resiliency update, contractor forum, company overview, service area facts, lender update and the October board brief.</w:t>
      </w:r>
    </w:p>
    <w:p>
      <w:pPr>
        <w:pStyle w:val="Heading1"/>
      </w:pPr>
      <w:r>
        <w:t>Notes on the data</w:t>
      </w:r>
    </w:p>
    <w:p>
      <w:r>
        <w:t>The work-order extract covers Bayou and Crossroads only, the two districts that moved to the current WMS configuration first; crew hours cover all four districts.</w:t>
      </w:r>
    </w:p>
    <w:p>
      <w:r>
        <w:t>The regulatory calendar shows 61 submissions for 2026, 44 of them submitted by September 15, with one municipal report submitted two days late.</w:t>
      </w:r>
    </w:p>
    <w:p>
      <w:pPr>
        <w:pStyle w:val="Heading1"/>
      </w:pPr>
      <w:r>
        <w:t>What we have withheld</w:t>
      </w:r>
    </w:p>
    <w:p>
      <w:r>
        <w:t>Customer account and premise-level data, facility locations and maps, control-system details, security plans, personnel files and privileged legal material are not included. Distribution control and substation automation systems are outside the scope of the package.</w:t>
      </w:r>
    </w:p>
    <w:p>
      <w:pPr>
        <w:pStyle w:val="Heading1"/>
      </w:pPr>
      <w:r>
        <w:t>Available on request</w:t>
      </w:r>
    </w:p>
    <w:p>
      <w:r>
        <w:t>The next-generation meter pilot charter (approved February 2026), which defines the pilot's success measures, is available on request.</w:t>
      </w:r>
    </w:p>
    <w:p>
      <w:pPr>
        <w:pStyle w:val="Heading1"/>
      </w:pPr>
      <w:r>
        <w:t>Contacts</w:t>
      </w:r>
    </w:p>
    <w:p>
      <w:r>
        <w:t>Please route questions through my office; we will direct them to the document owners named in each file.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t>Sedgewater Energy Holdings • 1.0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Marcus Oyelaran</dc:creator>
  <cp:keywords/>
  <dc:description>generated by python-docx</dc:description>
  <cp:lastModifiedBy/>
  <cp:revision>1</cp:revision>
  <dcterms:created xsi:type="dcterms:W3CDTF">2013-12-23T23:15:00Z</dcterms:created>
  <dcterms:modified xsi:type="dcterms:W3CDTF">2013-12-23T23:15:00Z</dcterms:modified>
  <cp:category/>
</cp:coreProperties>
</file>