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Inspection observation closeout</w:t>
      </w:r>
    </w:p>
    <w:p>
      <w:pPr>
        <w:pStyle w:val="Subtitle"/>
      </w:pPr>
      <w:r>
        <w:t>Mesa Lantern Energy LLC | Asset Integrity | 2026-09-26 | v0.1-draft</w:t>
      </w:r>
    </w:p>
    <w:p>
      <w:r>
        <w:t>This procedure covers observations from meters, tanks, compressors, and pads and describes when a linked work order is needed. This draft is prepared for inspectors and owners as part of Mesa Lantern Energy's initial information handoff. It describes the modeled operation at the stated date and should be read with the period and coverage of its supporting records.</w:t>
      </w:r>
    </w:p>
    <w:p>
      <w:pPr>
        <w:pStyle w:val="Heading1"/>
      </w:pPr>
      <w:r>
        <w:t>Purpose and immediate use</w:t>
      </w:r>
    </w:p>
    <w:p>
      <w:r>
        <w:t>An inspection record retains the inspection date, asset, location, severity, due date, and state. A finding requiring repair can open a work order, which remains a separate execution record. The observation should not be closed merely because a work order exists. Closure requires a named owner to verify the outcome in Inspection Register.</w:t>
      </w:r>
    </w:p>
    <w:p>
      <w:pPr>
        <w:pStyle w:val="Heading1"/>
      </w:pPr>
      <w:r>
        <w:t>Inspection-to-work path</w:t>
      </w:r>
    </w:p>
    <w:p>
      <w:r>
        <w:t>Inspection Register holds scheduled and ad hoc checks of meters, tanks, compressors, and pads. An observation may open a linked work order, but the two records answer different questions: the inspection records what was seen and the work order records the response. Overdue observations stay open until a named owner verifies closure. A scheduled check without a finding need not create maintenance work.</w:t>
      </w:r>
    </w:p>
    <w:p>
      <w:pPr>
        <w:pStyle w:val="Heading1"/>
      </w:pPr>
      <w:r>
        <w:t>Inspection closure measure</w:t>
      </w:r>
    </w:p>
    <w:p>
      <w:r>
        <w:t>The closure rate divides observations closed by observations due in the reporting period. Items with future due dates are outside the denominator, even if entered during the period. An analyst should preserve open, closed, and not-applicable states separately and inspect linked work orders before explaining a change in the rate. The measure describes recorded closeout, not the absence of physical defects.</w:t>
      </w:r>
    </w:p>
    <w:p>
      <w:pPr>
        <w:pStyle w:val="Heading1"/>
      </w:pPr>
      <w:r>
        <w:t>Work-order route</w:t>
      </w:r>
    </w:p>
    <w:p>
      <w:r>
        <w:t>A field request is tied to an asset and location. The integrity lead prioritizes it, and a supervisor confirms isolation and contractor readiness where needed. Completion is not inferred from a planned date: closeout requires a completion date, downtime record, and verifier. That sequence supports a distinction between an open request, work in progress, and a verified closed order.</w:t>
      </w:r>
    </w:p>
    <w:p>
      <w:pPr>
        <w:pStyle w:val="Heading1"/>
      </w:pPr>
      <w:r>
        <w:t>Record linkage</w:t>
      </w:r>
    </w:p>
    <w:p>
      <w:r>
        <w:t>Synthetic well, asset, location, vendor, work-order, and project keys connect the proposed datasets. Business users should see natural asset and project names where possible, while the keys preserve joins across extracts. A linked inspection and work order should refer to the same asset instance and location. A record without a valid link should be flagged for review rather than attached to the nearest plausible item.</w:t>
      </w:r>
    </w:p>
    <w:p>
      <w:pPr>
        <w:pStyle w:val="Heading1"/>
      </w:pPr>
      <w:r>
        <w:t>Coverage and missing values</w:t>
      </w:r>
    </w:p>
    <w:p>
      <w:r>
        <w:t>The proposed extracts end on August 31, 2026. Production rows represent selected well-days, about 32 of 118 modeled wells per day on average, so their sums are not companywide production totals. Some meter or downtime values may be null, with a reason where available. A missing value is excluded from a numeric calculation and must never be silently treated as zero.</w:t>
      </w:r>
    </w:p>
    <w:p>
      <w:pPr>
        <w:pStyle w:val="Heading1"/>
      </w:pPr>
      <w:r>
        <w:t>Record question for review</w:t>
      </w:r>
    </w:p>
    <w:p>
      <w:r>
        <w:t>For a high-severity observation, follow the due date and linked work request. The work order may show service completed while the observation still awaits owner verification. Report the two states separately and ask the owner what evidence is needed to close the original finding.</w:t>
      </w:r>
    </w:p>
    <w:p>
      <w:pPr>
        <w:pStyle w:val="Heading1"/>
      </w:pPr>
      <w:r>
        <w:t>Review action and handoff</w:t>
      </w:r>
    </w:p>
    <w:p>
      <w:r>
        <w:t>For a periodic report, calculate closure using observations due in that period. Future-due items and not-applicable records should be visible but not silently folded into the denominator. Confirm that any work-order link points to the same asset instance before the pair is used as evidence of response.</w:t>
      </w:r>
    </w:p>
    <w:p>
      <w:pPr>
        <w:pStyle w:val="Heading1"/>
      </w:pPr>
      <w:r>
        <w:t>Companion extract summary</w:t>
      </w:r>
    </w:p>
    <w:p>
      <w:r>
        <w:t>The accompanying summary is calculated from the selected records in this extract. Read its period, contributing-record count, and units before comparing values. It does not substitute for the record-level definitions and coverage limitations described above.</w:t>
      </w:r>
    </w:p>
    <w:tbl>
      <w:tblPr>
        <w:tblStyle w:val="LightShading-Accent1"/>
        <w:tblW w:type="auto" w:w="0"/>
        <w:tblLook w:firstColumn="1" w:firstRow="1" w:lastColumn="0" w:lastRow="0" w:noHBand="0" w:noVBand="1" w:val="04A0"/>
      </w:tblPr>
      <w:tblGrid>
        <w:gridCol w:w="4320"/>
        <w:gridCol w:w="4320"/>
      </w:tblGrid>
      <w:tr>
        <w:tc>
          <w:tcPr>
            <w:tcW w:type="dxa" w:w="4320"/>
          </w:tcPr>
          <w:p>
            <w:r>
              <w:t>Measure</w:t>
            </w:r>
          </w:p>
        </w:tc>
        <w:tc>
          <w:tcPr>
            <w:tcW w:type="dxa" w:w="4320"/>
          </w:tcPr>
          <w:p>
            <w:r>
              <w:t>Value</w:t>
            </w:r>
          </w:p>
        </w:tc>
      </w:tr>
    </w:tbl>
    <w:p>
      <w:r>
        <w:t>Scheduled or ad hoc observations with optional work-order linkage.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Mesa Lantern Energy LLC • 0.1-draft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Hale</dc:creator>
  <cp:keywords/>
  <dc:description>generated by python-docx</dc:description>
  <cp:lastModifiedBy/>
  <cp:revision>1</cp:revision>
  <dcterms:created xsi:type="dcterms:W3CDTF">2013-12-23T23:15:00Z</dcterms:created>
  <dcterms:modified xsi:type="dcterms:W3CDTF">2013-12-23T23:15:00Z</dcterms:modified>
  <cp:category/>
</cp:coreProperties>
</file>