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Contractor mobilization readiness</w:t>
      </w:r>
    </w:p>
    <w:p>
      <w:pPr>
        <w:pStyle w:val="Subtitle"/>
      </w:pPr>
      <w:r>
        <w:t>Mesa Lantern Energy LLC | Supply and Contracts | 2026-09-26 | v0.1-draft</w:t>
      </w:r>
    </w:p>
    <w:p>
      <w:r>
        <w:t>This field-facing note defines the information required before a contractor visit is marked released. This draft is prepared for field and contract staff as part of Mesa Lantern Energy's initial information handoff. It describes the modeled operation at the stated date and should be read with the period and coverage of its supporting records.</w:t>
      </w:r>
    </w:p>
    <w:p>
      <w:pPr>
        <w:pStyle w:val="Heading1"/>
      </w:pPr>
      <w:r>
        <w:t>Purpose and immediate use</w:t>
      </w:r>
    </w:p>
    <w:p>
      <w:r>
        <w:t>Supply and Contracts identifies an approved vendor, scope, location, planned dates, and a related work order when there is one. The field supervisor confirms the job safety analysis reference and readiness for the specific site work. Proposed dates are planning information; released status signals the modeled readiness check has been recorded. A contractor’s arrival does not automatically close the related maintenance request.</w:t>
      </w:r>
    </w:p>
    <w:p>
      <w:pPr>
        <w:pStyle w:val="Heading1"/>
      </w:pPr>
      <w:r>
        <w:t>Contractor and invoice path</w:t>
      </w:r>
    </w:p>
    <w:p>
      <w:r>
        <w:t>Supply and Contracts records approved vendors, scope, location, mobilization dates, and invoice references. Before a mobilization is released, the field supervisor records a job safety analysis reference and readiness confirmation. After service, the supervisor confirms work performed; Supply and Contracts then matches the invoice. This modeled path keeps site release, service evidence, and payment review as separate decisions.</w:t>
      </w:r>
    </w:p>
    <w:p>
      <w:pPr>
        <w:pStyle w:val="Heading1"/>
      </w:pPr>
      <w:r>
        <w:t>Work-order route</w:t>
      </w:r>
    </w:p>
    <w:p>
      <w:r>
        <w:t>A field request is tied to an asset and location. The integrity lead prioritizes it, and a supervisor confirms isolation and contractor readiness where needed. Completion is not inferred from a planned date: closeout requires a completion date, downtime record, and verifier. That sequence supports a distinction between an open request, work in progress, and a verified closed order.</w:t>
      </w:r>
    </w:p>
    <w:p>
      <w:pPr>
        <w:pStyle w:val="Heading1"/>
      </w:pPr>
      <w:r>
        <w:t>Decision owners</w:t>
      </w:r>
    </w:p>
    <w:p>
      <w:r>
        <w:t>Field Operations is led by Avery Collins. Robin Vega is accountable for production accounting, Morgan Hale for asset integrity, Taylor Kim for development projects, and Casey Nolan for supply and contractor records. These assignments identify who can explain a record or approve a correction. They do not imply that one person performs every underlying field task or that another team may change a source record without its owner.</w:t>
      </w:r>
    </w:p>
    <w:p>
      <w:pPr>
        <w:pStyle w:val="Heading1"/>
      </w:pPr>
      <w:r>
        <w:t>Record linkage</w:t>
      </w:r>
    </w:p>
    <w:p>
      <w:r>
        <w:t>Synthetic well, asset, location, vendor, work-order, and project keys connect the proposed datasets. Business users should see natural asset and project names where possible, while the keys preserve joins across extracts. A linked inspection and work order should refer to the same asset instance and location. A record without a valid link should be flagged for review rather than attached to the nearest plausible item.</w:t>
      </w:r>
    </w:p>
    <w:p>
      <w:pPr>
        <w:pStyle w:val="Heading1"/>
      </w:pPr>
      <w:r>
        <w:t>System roles and handoffs</w:t>
      </w:r>
    </w:p>
    <w:p>
      <w:r>
        <w:t>Field Log and Meter Historian feed the reviewed Production Ledger. Inspection Register and Work Register exchange references when a finding leads to maintenance. Vendor Ledger carries contractor transactions. Reporting Mart receives read-only exports for monthly summaries; it does not write changes back to operational systems. Source entries and timestamped revisions remain in those systems, which is why a report should name its extraction date.</w:t>
      </w:r>
    </w:p>
    <w:p>
      <w:pPr>
        <w:pStyle w:val="Heading1"/>
      </w:pPr>
      <w:r>
        <w:t>Record question for review</w:t>
      </w:r>
    </w:p>
    <w:p>
      <w:r>
        <w:t>A vendor may be approved generally while a particular site visit is still proposed. Check the work scope, location, dates, job safety analysis reference, and readiness confirmation for that visit. Approval of the vendor alone does not release the specific mobilization.</w:t>
      </w:r>
    </w:p>
    <w:p>
      <w:pPr>
        <w:pStyle w:val="Heading1"/>
      </w:pPr>
      <w:r>
        <w:t>Review action and handoff</w:t>
      </w:r>
    </w:p>
    <w:p>
      <w:r>
        <w:t>When a mobilization changes, keep the revised work period and scope traceable. After the visit, Field Operations confirms the service performed. Only then can Supply and Contracts use the record in an invoice match. This division leaves a clear route for questions about site conditions, work completion, and commercial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Nolan</dc:creator>
  <cp:keywords/>
  <dc:description>generated by python-docx</dc:description>
  <cp:lastModifiedBy/>
  <cp:revision>1</cp:revision>
  <dcterms:created xsi:type="dcterms:W3CDTF">2013-12-23T23:15:00Z</dcterms:created>
  <dcterms:modified xsi:type="dcterms:W3CDTF">2013-12-23T23:15:00Z</dcterms:modified>
  <cp:category/>
</cp:coreProperties>
</file>