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Sage Creek access proposal</w:t>
      </w:r>
    </w:p>
    <w:p>
      <w:pPr>
        <w:pStyle w:val="Subtitle"/>
      </w:pPr>
      <w:r>
        <w:t>Mesa Lantern Energy LLC | Projects and Development | 2026-09-26 | v0.1-draft</w:t>
      </w:r>
    </w:p>
    <w:p>
      <w:r>
        <w:t>This proposal describes the modeled Sage Creek pad access improvement as an item awaiting authorization. This draft is prepared for capital review group as part of Mesa Lantern Energy's initial information handoff. It describes the modeled operation at the stated date and should be read with the period and coverage of its supporting records.</w:t>
      </w:r>
    </w:p>
    <w:p>
      <w:pPr>
        <w:pStyle w:val="Heading1"/>
      </w:pPr>
      <w:r>
        <w:t>Purpose and immediate use</w:t>
      </w:r>
    </w:p>
    <w:p>
      <w:r>
        <w:t>The current stage is proposed. The business case is to evaluate field access at Sage Creek using a scoped milestone and requested budget, without implying that roadwork has been purchased or performed. Taylor Kim owns the proposal, while Field Operations can describe site use and Supply and Contracts can explain how a contractor mobilization would be recorded if approved.</w:t>
      </w:r>
    </w:p>
    <w:p>
      <w:pPr>
        <w:pStyle w:val="Heading1"/>
      </w:pPr>
      <w:r>
        <w:t>Project authorization</w:t>
      </w:r>
    </w:p>
    <w:p>
      <w:r>
        <w:t>Projects and Development separates proposals from authorized work. The meter verification campaign is approved and in progress; the Sage Creek pad access improvement remains a proposal; the compressor overhaul is approved but has not started. Budget, schedule, owner, and approval date belong on milestones. A proposal may be evaluated, but its requested budget or target date is not evidence of expenditure or completion.</w:t>
      </w:r>
    </w:p>
    <w:p>
      <w:pPr>
        <w:pStyle w:val="Heading1"/>
      </w:pPr>
      <w:r>
        <w:t>Operating boundary</w:t>
      </w:r>
    </w:p>
    <w:p>
      <w:r>
        <w:t>Mesa Lantern Energy is modeled as a private onshore operator with two districts: High Plains in western Oklahoma and Red Mesa in the Texas Panhandle. Four named pads stand for the field footprint in this pilot. The 118 producing wells, roughly 16,400 boe per day, and 74 employees describe the modeled business at the reference date; they are planning context, not measurements from the supplied extracts.</w:t>
      </w:r>
    </w:p>
    <w:p>
      <w:pPr>
        <w:pStyle w:val="Heading1"/>
      </w:pPr>
      <w:r>
        <w:t>Contractor and invoice path</w:t>
      </w:r>
    </w:p>
    <w:p>
      <w:r>
        <w:t>Supply and Contracts records approved vendors, scope, location, mobilization dates, and invoice references. Before a mobilization is released, the field supervisor records a job safety analysis reference and readiness confirmation. After service, the supervisor confirms work performed; Supply and Contracts then matches the invoice. This modeled path keeps site release, service evidence, and payment review as separate decisions.</w:t>
      </w:r>
    </w:p>
    <w:p>
      <w:pPr>
        <w:pStyle w:val="Heading1"/>
      </w:pPr>
      <w:r>
        <w:t>Decision owners</w:t>
      </w:r>
    </w:p>
    <w:p>
      <w:r>
        <w:t>Field Operations is led by Avery Collins. Robin Vega is accountable for production accounting, Morgan Hale for asset integrity, Taylor Kim for development projects, and Casey Nolan for supply and contractor records. These assignments identify who can explain a record or approve a correction. They do not imply that one person performs every underlying field task or that another team may change a source record without its owner.</w:t>
      </w:r>
    </w:p>
    <w:p>
      <w:pPr>
        <w:pStyle w:val="Heading1"/>
      </w:pPr>
      <w:r>
        <w:t>Record question for review</w:t>
      </w:r>
    </w:p>
    <w:p>
      <w:r>
        <w:t>The proposal can name the pad and requested outcome while leaving contractor dates and actual cost open. If a later mobilization appears, its approved scope should be checked against the proposal's authorized revision. Until that evidence exists, the proposal remains a request for a decision.</w:t>
      </w:r>
    </w:p>
    <w:p>
      <w:pPr>
        <w:pStyle w:val="Heading1"/>
      </w:pPr>
      <w:r>
        <w:t>Review action and handoff</w:t>
      </w:r>
    </w:p>
    <w:p>
      <w:r>
        <w:t>The next decision is whether to authorize detailed work and dates. Until approval, show planned fields as requests and leave actual start and completion blank. A later contractor or invoice record should be matched to an approved scope rather than used retroactively to imply that this proposal was already executed.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Mesa Lantern Energy LLC • 0.1-draft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Kim</dc:creator>
  <cp:keywords/>
  <dc:description>generated by python-docx</dc:description>
  <cp:lastModifiedBy/>
  <cp:revision>1</cp:revision>
  <dcterms:created xsi:type="dcterms:W3CDTF">2013-12-23T23:15:00Z</dcterms:created>
  <dcterms:modified xsi:type="dcterms:W3CDTF">2013-12-23T23:15:00Z</dcterms:modified>
  <cp:category/>
</cp:coreProperties>
</file>